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jc w:val="center"/>
        <w:outlineLvl w:val="0"/>
        <w:rPr>
          <w:rFonts w:hint="eastAsia" w:ascii="黑体" w:hAnsi="黑体" w:eastAsia="黑体"/>
          <w:snapToGrid w:val="0"/>
          <w:sz w:val="30"/>
          <w:szCs w:val="30"/>
        </w:rPr>
      </w:pPr>
      <w:r>
        <w:rPr>
          <w:rFonts w:hint="eastAsia" w:ascii="黑体" w:hAnsi="黑体" w:eastAsia="黑体"/>
          <w:snapToGrid w:val="0"/>
          <w:sz w:val="30"/>
          <w:szCs w:val="30"/>
        </w:rPr>
        <w:t>一、建设项目基本情况</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519"/>
        <w:gridCol w:w="2174"/>
        <w:gridCol w:w="2064"/>
        <w:gridCol w:w="31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19" w:type="dxa"/>
            <w:tcMar>
              <w:top w:w="16" w:type="dxa"/>
              <w:left w:w="16" w:type="dxa"/>
              <w:right w:w="16" w:type="dxa"/>
            </w:tcMar>
            <w:vAlign w:val="center"/>
          </w:tcPr>
          <w:p>
            <w:pPr>
              <w:adjustRightInd w:val="0"/>
              <w:snapToGrid w:val="0"/>
              <w:jc w:val="center"/>
              <w:rPr>
                <w:rFonts w:cs="宋体"/>
                <w:sz w:val="24"/>
              </w:rPr>
            </w:pPr>
            <w:r>
              <w:rPr>
                <w:rFonts w:hint="eastAsia" w:cs="宋体"/>
                <w:sz w:val="24"/>
              </w:rPr>
              <w:t>建设项目名称</w:t>
            </w:r>
          </w:p>
        </w:tc>
        <w:tc>
          <w:tcPr>
            <w:tcW w:w="7351" w:type="dxa"/>
            <w:gridSpan w:val="3"/>
            <w:vAlign w:val="center"/>
          </w:tcPr>
          <w:p>
            <w:pPr>
              <w:adjustRightInd w:val="0"/>
              <w:snapToGrid w:val="0"/>
              <w:jc w:val="center"/>
              <w:rPr>
                <w:rFonts w:cs="宋体"/>
                <w:sz w:val="24"/>
              </w:rPr>
            </w:pPr>
            <w:r>
              <w:rPr>
                <w:rFonts w:hint="eastAsia" w:cs="宋体"/>
                <w:sz w:val="24"/>
              </w:rPr>
              <w:t>鄯善县巨东再生资源有限公司再生资源回收利用中心项目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519" w:type="dxa"/>
            <w:tcMar>
              <w:top w:w="16" w:type="dxa"/>
              <w:left w:w="16" w:type="dxa"/>
              <w:right w:w="16" w:type="dxa"/>
            </w:tcMar>
            <w:vAlign w:val="center"/>
          </w:tcPr>
          <w:p>
            <w:pPr>
              <w:adjustRightInd w:val="0"/>
              <w:snapToGrid w:val="0"/>
              <w:jc w:val="center"/>
              <w:rPr>
                <w:rFonts w:cs="宋体"/>
                <w:sz w:val="24"/>
              </w:rPr>
            </w:pPr>
            <w:r>
              <w:rPr>
                <w:rFonts w:hint="eastAsia" w:cs="宋体"/>
                <w:sz w:val="24"/>
              </w:rPr>
              <w:t>国民经济</w:t>
            </w:r>
          </w:p>
          <w:p>
            <w:pPr>
              <w:adjustRightInd w:val="0"/>
              <w:snapToGrid w:val="0"/>
              <w:jc w:val="center"/>
              <w:rPr>
                <w:rFonts w:cs="宋体"/>
                <w:sz w:val="24"/>
              </w:rPr>
            </w:pPr>
            <w:r>
              <w:rPr>
                <w:rFonts w:hint="eastAsia" w:cs="宋体"/>
                <w:sz w:val="24"/>
              </w:rPr>
              <w:t>行业类别</w:t>
            </w:r>
          </w:p>
        </w:tc>
        <w:tc>
          <w:tcPr>
            <w:tcW w:w="2174" w:type="dxa"/>
            <w:vAlign w:val="center"/>
          </w:tcPr>
          <w:p>
            <w:pPr>
              <w:adjustRightInd w:val="0"/>
              <w:snapToGrid w:val="0"/>
              <w:jc w:val="center"/>
              <w:rPr>
                <w:sz w:val="24"/>
              </w:rPr>
            </w:pPr>
            <w:r>
              <w:rPr>
                <w:rFonts w:hint="eastAsia"/>
                <w:sz w:val="24"/>
              </w:rPr>
              <w:t>C4210</w:t>
            </w:r>
            <w:r>
              <w:rPr>
                <w:sz w:val="24"/>
              </w:rPr>
              <w:t>金属废料和碎屑加工处理</w:t>
            </w:r>
          </w:p>
        </w:tc>
        <w:tc>
          <w:tcPr>
            <w:tcW w:w="2064" w:type="dxa"/>
            <w:vAlign w:val="center"/>
          </w:tcPr>
          <w:p>
            <w:pPr>
              <w:adjustRightInd w:val="0"/>
              <w:snapToGrid w:val="0"/>
              <w:jc w:val="center"/>
              <w:rPr>
                <w:rFonts w:cs="宋体"/>
                <w:sz w:val="24"/>
              </w:rPr>
            </w:pPr>
            <w:bookmarkStart w:id="0" w:name="_Hlk49843745"/>
            <w:r>
              <w:rPr>
                <w:rFonts w:hint="eastAsia" w:cs="宋体"/>
                <w:sz w:val="24"/>
              </w:rPr>
              <w:t>建设项目</w:t>
            </w:r>
          </w:p>
          <w:p>
            <w:pPr>
              <w:adjustRightInd w:val="0"/>
              <w:snapToGrid w:val="0"/>
              <w:jc w:val="center"/>
              <w:rPr>
                <w:rFonts w:cs="宋体"/>
                <w:sz w:val="24"/>
              </w:rPr>
            </w:pPr>
            <w:r>
              <w:rPr>
                <w:rFonts w:hint="eastAsia" w:cs="宋体"/>
                <w:sz w:val="24"/>
              </w:rPr>
              <w:t>行业类别</w:t>
            </w:r>
            <w:bookmarkEnd w:id="0"/>
          </w:p>
        </w:tc>
        <w:tc>
          <w:tcPr>
            <w:tcW w:w="3113" w:type="dxa"/>
            <w:vAlign w:val="center"/>
          </w:tcPr>
          <w:p>
            <w:pPr>
              <w:adjustRightInd w:val="0"/>
              <w:snapToGrid w:val="0"/>
              <w:rPr>
                <w:rFonts w:cs="宋体"/>
                <w:sz w:val="24"/>
              </w:rPr>
            </w:pPr>
            <w:r>
              <w:rPr>
                <w:rFonts w:cs="宋体"/>
                <w:sz w:val="24"/>
              </w:rPr>
              <w:t>三十九、废弃资源综合利用业 42</w:t>
            </w:r>
            <w:r>
              <w:rPr>
                <w:rFonts w:hint="eastAsia" w:cs="宋体"/>
                <w:sz w:val="24"/>
              </w:rPr>
              <w:t>：</w:t>
            </w:r>
            <w:r>
              <w:rPr>
                <w:rFonts w:hint="eastAsia" w:cs="宋体"/>
                <w:sz w:val="24"/>
                <w:lang w:val="en-US" w:eastAsia="zh-CN"/>
              </w:rPr>
              <w:t>85-</w:t>
            </w:r>
            <w:r>
              <w:rPr>
                <w:rFonts w:hint="eastAsia" w:cs="宋体"/>
                <w:sz w:val="24"/>
              </w:rPr>
              <w:t>金属废料和碎屑加工处理421；非金属废料和碎屑加工处理422（421和422均不含原料为危险废物的，均不含仅分拣、破碎的）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519" w:type="dxa"/>
            <w:tcMar>
              <w:top w:w="16" w:type="dxa"/>
              <w:left w:w="16" w:type="dxa"/>
              <w:right w:w="16" w:type="dxa"/>
            </w:tcMar>
            <w:vAlign w:val="center"/>
          </w:tcPr>
          <w:p>
            <w:pPr>
              <w:adjustRightInd w:val="0"/>
              <w:snapToGrid w:val="0"/>
              <w:jc w:val="center"/>
              <w:rPr>
                <w:rFonts w:cs="宋体"/>
                <w:sz w:val="24"/>
              </w:rPr>
            </w:pPr>
            <w:r>
              <w:rPr>
                <w:rFonts w:hint="eastAsia" w:cs="宋体"/>
                <w:sz w:val="24"/>
              </w:rPr>
              <w:t>建设性质</w:t>
            </w:r>
          </w:p>
        </w:tc>
        <w:tc>
          <w:tcPr>
            <w:tcW w:w="2174" w:type="dxa"/>
            <w:vAlign w:val="center"/>
          </w:tcPr>
          <w:p>
            <w:pPr>
              <w:jc w:val="left"/>
              <w:rPr>
                <w:rFonts w:cs="宋体"/>
                <w:sz w:val="24"/>
              </w:rPr>
            </w:pPr>
            <w:r>
              <w:rPr>
                <w:rFonts w:hint="eastAsia" w:cs="宋体"/>
                <w:sz w:val="24"/>
              </w:rPr>
              <w:sym w:font="Wingdings 2" w:char="F052"/>
            </w:r>
            <w:r>
              <w:rPr>
                <w:rFonts w:hint="eastAsia" w:cs="宋体"/>
                <w:sz w:val="24"/>
              </w:rPr>
              <w:t>新建（迁建）</w:t>
            </w:r>
          </w:p>
          <w:p>
            <w:pPr>
              <w:jc w:val="left"/>
              <w:rPr>
                <w:rFonts w:cs="宋体"/>
                <w:sz w:val="24"/>
              </w:rPr>
            </w:pPr>
            <w:r>
              <w:rPr>
                <w:rFonts w:hint="eastAsia" w:cs="宋体"/>
                <w:sz w:val="24"/>
              </w:rPr>
              <w:t>□改建</w:t>
            </w:r>
          </w:p>
          <w:p>
            <w:pPr>
              <w:jc w:val="left"/>
              <w:rPr>
                <w:rFonts w:cs="宋体"/>
                <w:sz w:val="24"/>
              </w:rPr>
            </w:pPr>
            <w:r>
              <w:rPr>
                <w:rFonts w:hint="eastAsia" w:cs="宋体"/>
                <w:sz w:val="24"/>
              </w:rPr>
              <w:t>□扩建</w:t>
            </w:r>
          </w:p>
          <w:p>
            <w:pPr>
              <w:jc w:val="left"/>
              <w:rPr>
                <w:rFonts w:cs="宋体"/>
                <w:sz w:val="24"/>
              </w:rPr>
            </w:pPr>
            <w:r>
              <w:rPr>
                <w:rFonts w:hint="eastAsia" w:cs="宋体"/>
                <w:sz w:val="24"/>
              </w:rPr>
              <w:t>□技术改造</w:t>
            </w:r>
          </w:p>
        </w:tc>
        <w:tc>
          <w:tcPr>
            <w:tcW w:w="2064" w:type="dxa"/>
            <w:vAlign w:val="center"/>
          </w:tcPr>
          <w:p>
            <w:pPr>
              <w:adjustRightInd w:val="0"/>
              <w:snapToGrid w:val="0"/>
              <w:jc w:val="center"/>
              <w:rPr>
                <w:rFonts w:cs="宋体"/>
                <w:sz w:val="24"/>
              </w:rPr>
            </w:pPr>
            <w:r>
              <w:rPr>
                <w:rFonts w:hint="eastAsia" w:cs="宋体"/>
                <w:sz w:val="24"/>
              </w:rPr>
              <w:t>建设项目</w:t>
            </w:r>
          </w:p>
          <w:p>
            <w:pPr>
              <w:adjustRightInd w:val="0"/>
              <w:snapToGrid w:val="0"/>
              <w:jc w:val="center"/>
              <w:rPr>
                <w:rFonts w:cs="宋体"/>
                <w:sz w:val="24"/>
              </w:rPr>
            </w:pPr>
            <w:r>
              <w:rPr>
                <w:rFonts w:hint="eastAsia" w:cs="宋体"/>
                <w:sz w:val="24"/>
              </w:rPr>
              <w:t>申报情形</w:t>
            </w:r>
          </w:p>
        </w:tc>
        <w:tc>
          <w:tcPr>
            <w:tcW w:w="3113" w:type="dxa"/>
            <w:vAlign w:val="center"/>
          </w:tcPr>
          <w:p>
            <w:pPr>
              <w:jc w:val="left"/>
              <w:rPr>
                <w:rFonts w:cs="宋体"/>
                <w:sz w:val="24"/>
              </w:rPr>
            </w:pPr>
            <w:r>
              <w:rPr>
                <w:rFonts w:hint="eastAsia" w:cs="宋体"/>
                <w:sz w:val="24"/>
              </w:rPr>
              <w:sym w:font="Wingdings 2" w:char="0052"/>
            </w:r>
            <w:r>
              <w:rPr>
                <w:rFonts w:hint="eastAsia" w:cs="宋体"/>
                <w:sz w:val="24"/>
              </w:rPr>
              <w:t>首次申报项目</w:t>
            </w:r>
          </w:p>
          <w:p>
            <w:pPr>
              <w:jc w:val="left"/>
              <w:rPr>
                <w:rFonts w:cs="宋体"/>
                <w:sz w:val="24"/>
              </w:rPr>
            </w:pPr>
            <w:r>
              <w:rPr>
                <w:rFonts w:hint="eastAsia" w:cs="宋体"/>
                <w:sz w:val="24"/>
              </w:rPr>
              <w:t>□不予批准后再次申报项目</w:t>
            </w:r>
          </w:p>
          <w:p>
            <w:pPr>
              <w:jc w:val="left"/>
              <w:rPr>
                <w:rFonts w:cs="宋体"/>
                <w:sz w:val="24"/>
              </w:rPr>
            </w:pPr>
            <w:r>
              <w:rPr>
                <w:rFonts w:hint="eastAsia" w:cs="宋体"/>
                <w:sz w:val="24"/>
              </w:rPr>
              <w:sym w:font="Wingdings 2" w:char="00A3"/>
            </w:r>
            <w:r>
              <w:rPr>
                <w:rFonts w:hint="eastAsia" w:cs="宋体"/>
                <w:sz w:val="24"/>
              </w:rPr>
              <w:t>超五年重新审核项目</w:t>
            </w:r>
          </w:p>
          <w:p>
            <w:pPr>
              <w:jc w:val="left"/>
              <w:rPr>
                <w:rFonts w:cs="宋体"/>
                <w:sz w:val="24"/>
              </w:rPr>
            </w:pPr>
            <w:r>
              <w:rPr>
                <w:rFonts w:hint="eastAsia" w:cs="宋体"/>
                <w:sz w:val="24"/>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519" w:type="dxa"/>
            <w:vAlign w:val="center"/>
          </w:tcPr>
          <w:p>
            <w:pPr>
              <w:autoSpaceDE w:val="0"/>
              <w:autoSpaceDN w:val="0"/>
              <w:adjustRightInd w:val="0"/>
              <w:snapToGrid w:val="0"/>
              <w:jc w:val="center"/>
              <w:rPr>
                <w:rFonts w:cs="宋体"/>
                <w:kern w:val="0"/>
                <w:sz w:val="24"/>
              </w:rPr>
            </w:pPr>
            <w:r>
              <w:rPr>
                <w:rFonts w:hint="eastAsia" w:cs="宋体"/>
                <w:kern w:val="0"/>
                <w:sz w:val="24"/>
              </w:rPr>
              <w:t>专项评价设置情况</w:t>
            </w:r>
          </w:p>
        </w:tc>
        <w:tc>
          <w:tcPr>
            <w:tcW w:w="7351" w:type="dxa"/>
            <w:gridSpan w:val="3"/>
            <w:vAlign w:val="center"/>
          </w:tcPr>
          <w:p>
            <w:pPr>
              <w:autoSpaceDE w:val="0"/>
              <w:autoSpaceDN w:val="0"/>
              <w:adjustRightInd w:val="0"/>
              <w:snapToGrid w:val="0"/>
              <w:spacing w:line="240" w:lineRule="auto"/>
              <w:jc w:val="center"/>
              <w:rPr>
                <w:rFonts w:cs="宋体"/>
                <w:kern w:val="0"/>
                <w:sz w:val="24"/>
              </w:rPr>
            </w:pPr>
            <w:r>
              <w:rPr>
                <w:rFonts w:hint="eastAsia" w:cs="宋体"/>
                <w:kern w:val="0"/>
                <w:sz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1519" w:type="dxa"/>
            <w:vAlign w:val="center"/>
          </w:tcPr>
          <w:p>
            <w:pPr>
              <w:autoSpaceDE w:val="0"/>
              <w:autoSpaceDN w:val="0"/>
              <w:adjustRightInd w:val="0"/>
              <w:snapToGrid w:val="0"/>
              <w:spacing w:line="360" w:lineRule="auto"/>
              <w:jc w:val="center"/>
              <w:rPr>
                <w:rFonts w:cs="宋体"/>
                <w:kern w:val="0"/>
                <w:sz w:val="24"/>
              </w:rPr>
            </w:pPr>
            <w:r>
              <w:rPr>
                <w:rFonts w:hint="eastAsia" w:cs="宋体"/>
                <w:sz w:val="24"/>
              </w:rPr>
              <w:t>规划情况</w:t>
            </w:r>
          </w:p>
        </w:tc>
        <w:tc>
          <w:tcPr>
            <w:tcW w:w="7351" w:type="dxa"/>
            <w:gridSpan w:val="3"/>
            <w:vAlign w:val="center"/>
          </w:tcPr>
          <w:p>
            <w:pPr>
              <w:pStyle w:val="1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519" w:type="dxa"/>
            <w:vAlign w:val="center"/>
          </w:tcPr>
          <w:p>
            <w:pPr>
              <w:adjustRightInd w:val="0"/>
              <w:snapToGrid w:val="0"/>
              <w:spacing w:line="360" w:lineRule="auto"/>
              <w:jc w:val="center"/>
              <w:rPr>
                <w:rFonts w:cs="宋体"/>
                <w:kern w:val="0"/>
                <w:sz w:val="24"/>
              </w:rPr>
            </w:pPr>
            <w:r>
              <w:rPr>
                <w:rFonts w:hint="eastAsia" w:cs="宋体"/>
                <w:sz w:val="24"/>
              </w:rPr>
              <w:t>规划环境影响评价情况</w:t>
            </w:r>
          </w:p>
        </w:tc>
        <w:tc>
          <w:tcPr>
            <w:tcW w:w="7351" w:type="dxa"/>
            <w:gridSpan w:val="3"/>
            <w:vAlign w:val="center"/>
          </w:tcPr>
          <w:p>
            <w:pPr>
              <w:widowControl/>
              <w:adjustRightInd w:val="0"/>
              <w:snapToGrid w:val="0"/>
              <w:spacing w:line="360" w:lineRule="auto"/>
              <w:jc w:val="left"/>
            </w:pPr>
          </w:p>
        </w:tc>
      </w:tr>
    </w:tbl>
    <w:p>
      <w:pPr>
        <w:spacing w:line="360" w:lineRule="auto"/>
        <w:outlineLvl w:val="0"/>
        <w:rPr>
          <w:rFonts w:eastAsia="黑体"/>
          <w:sz w:val="30"/>
        </w:rPr>
        <w:sectPr>
          <w:footerReference r:id="rId3" w:type="default"/>
          <w:pgSz w:w="11906" w:h="16838"/>
          <w:pgMar w:top="1701" w:right="1531" w:bottom="1701" w:left="1531" w:header="851" w:footer="1077" w:gutter="0"/>
          <w:pgBorders>
            <w:top w:val="none" w:sz="0" w:space="0"/>
            <w:left w:val="none" w:sz="0" w:space="0"/>
            <w:bottom w:val="none" w:sz="0" w:space="0"/>
            <w:right w:val="none" w:sz="0" w:space="0"/>
          </w:pgBorders>
          <w:pgNumType w:fmt="decimal" w:start="1"/>
          <w:cols w:space="720" w:num="1"/>
          <w:docGrid w:linePitch="312" w:charSpace="0"/>
        </w:sectPr>
      </w:pPr>
    </w:p>
    <w:p>
      <w:pPr>
        <w:pStyle w:val="21"/>
        <w:jc w:val="center"/>
        <w:outlineLvl w:val="0"/>
        <w:rPr>
          <w:rFonts w:hint="eastAsia" w:ascii="黑体" w:hAnsi="黑体" w:eastAsia="黑体"/>
          <w:snapToGrid w:val="0"/>
          <w:sz w:val="30"/>
          <w:szCs w:val="30"/>
        </w:rPr>
      </w:pPr>
      <w:r>
        <w:rPr>
          <w:rFonts w:hint="eastAsia" w:ascii="黑体" w:hAnsi="黑体" w:eastAsia="黑体"/>
          <w:snapToGrid w:val="0"/>
          <w:sz w:val="30"/>
          <w:szCs w:val="30"/>
        </w:rPr>
        <w:t>二、建设项目工程分析</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3"/>
        <w:gridCol w:w="816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394" w:hRule="atLeast"/>
          <w:jc w:val="center"/>
        </w:trPr>
        <w:tc>
          <w:tcPr>
            <w:tcW w:w="823" w:type="dxa"/>
            <w:vAlign w:val="center"/>
          </w:tcPr>
          <w:p>
            <w:pPr>
              <w:pStyle w:val="21"/>
              <w:adjustRightInd w:val="0"/>
              <w:snapToGrid w:val="0"/>
              <w:spacing w:before="0" w:beforeAutospacing="0" w:after="0" w:afterAutospacing="0"/>
              <w:jc w:val="center"/>
              <w:rPr>
                <w:rFonts w:ascii="Times New Roman" w:hAnsi="Times New Roman" w:cs="宋体"/>
                <w:sz w:val="21"/>
                <w:szCs w:val="21"/>
              </w:rPr>
            </w:pPr>
            <w:r>
              <w:rPr>
                <w:rFonts w:hint="eastAsia" w:ascii="Times New Roman" w:hAnsi="Times New Roman" w:cs="宋体"/>
                <w:szCs w:val="21"/>
              </w:rPr>
              <w:t>建设内容</w:t>
            </w:r>
          </w:p>
        </w:tc>
        <w:tc>
          <w:tcPr>
            <w:tcW w:w="8161" w:type="dxa"/>
          </w:tcPr>
          <w:p>
            <w:pPr>
              <w:adjustRightInd w:val="0"/>
              <w:snapToGrid w:val="0"/>
              <w:spacing w:line="360" w:lineRule="auto"/>
              <w:ind w:firstLine="482" w:firstLineChars="200"/>
              <w:rPr>
                <w:b/>
                <w:sz w:val="24"/>
              </w:rPr>
            </w:pPr>
            <w:r>
              <w:rPr>
                <w:rFonts w:hint="eastAsia"/>
                <w:b/>
                <w:sz w:val="24"/>
              </w:rPr>
              <w:t>2.</w:t>
            </w:r>
            <w:r>
              <w:rPr>
                <w:b/>
                <w:sz w:val="24"/>
              </w:rPr>
              <w:t>建设内容</w:t>
            </w:r>
          </w:p>
          <w:p>
            <w:pPr>
              <w:adjustRightInd w:val="0"/>
              <w:snapToGrid w:val="0"/>
              <w:spacing w:line="360" w:lineRule="auto"/>
              <w:ind w:firstLine="480" w:firstLineChars="200"/>
              <w:rPr>
                <w:sz w:val="24"/>
              </w:rPr>
            </w:pPr>
            <w:r>
              <w:rPr>
                <w:rFonts w:hint="eastAsia"/>
                <w:sz w:val="24"/>
              </w:rPr>
              <w:t>建设废金属、报废汽车、废旧五金、废旧家电等废旧物资回收生产线。项目年回收废钢15万吨、废铝5万吨、废铜1.5万吨、废旧汽车1万台、废旧五金1.8万吨、废旧家电62万台。</w:t>
            </w:r>
          </w:p>
          <w:p>
            <w:pPr>
              <w:adjustRightInd w:val="0"/>
              <w:snapToGrid w:val="0"/>
              <w:spacing w:line="360" w:lineRule="auto"/>
              <w:ind w:firstLine="480" w:firstLineChars="200"/>
              <w:rPr>
                <w:sz w:val="24"/>
              </w:rPr>
            </w:pPr>
            <w:r>
              <w:rPr>
                <w:sz w:val="24"/>
              </w:rPr>
              <w:t>具体建设内容见</w:t>
            </w:r>
            <w:r>
              <w:rPr>
                <w:rFonts w:hint="eastAsia"/>
                <w:sz w:val="24"/>
              </w:rPr>
              <w:t>下</w:t>
            </w:r>
            <w:r>
              <w:rPr>
                <w:sz w:val="24"/>
              </w:rPr>
              <w:t>表。</w:t>
            </w:r>
          </w:p>
          <w:p>
            <w:pPr>
              <w:jc w:val="center"/>
              <w:rPr>
                <w:b/>
                <w:color w:val="000000" w:themeColor="text1"/>
                <w14:textFill>
                  <w14:solidFill>
                    <w14:schemeClr w14:val="tx1"/>
                  </w14:solidFill>
                </w14:textFill>
              </w:rPr>
            </w:pPr>
            <w:r>
              <w:rPr>
                <w:b/>
                <w:color w:val="000000" w:themeColor="text1"/>
                <w14:textFill>
                  <w14:solidFill>
                    <w14:schemeClr w14:val="tx1"/>
                  </w14:solidFill>
                </w14:textFill>
              </w:rPr>
              <w:t>表2-1   建设项目组成一览表</w:t>
            </w:r>
          </w:p>
          <w:tbl>
            <w:tblPr>
              <w:tblStyle w:val="24"/>
              <w:tblW w:w="801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85" w:type="dxa"/>
                <w:bottom w:w="0" w:type="dxa"/>
                <w:right w:w="85" w:type="dxa"/>
              </w:tblCellMar>
            </w:tblPr>
            <w:tblGrid>
              <w:gridCol w:w="636"/>
              <w:gridCol w:w="1"/>
              <w:gridCol w:w="362"/>
              <w:gridCol w:w="947"/>
              <w:gridCol w:w="3"/>
              <w:gridCol w:w="5281"/>
              <w:gridCol w:w="4"/>
              <w:gridCol w:w="705"/>
              <w:gridCol w:w="7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gridAfter w:val="1"/>
                <w:wAfter w:w="41" w:type="pct"/>
                <w:cantSplit/>
                <w:trHeight w:val="215" w:hRule="atLeast"/>
                <w:tblHeader/>
                <w:jc w:val="center"/>
              </w:trPr>
              <w:tc>
                <w:tcPr>
                  <w:tcW w:w="397" w:type="pct"/>
                  <w:tcBorders>
                    <w:tl2br w:val="nil"/>
                    <w:tr2bl w:val="nil"/>
                  </w:tcBorders>
                  <w:vAlign w:val="center"/>
                </w:tcPr>
                <w:p>
                  <w:pPr>
                    <w:pStyle w:val="14"/>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工程分类</w:t>
                  </w:r>
                </w:p>
              </w:tc>
              <w:tc>
                <w:tcPr>
                  <w:tcW w:w="818" w:type="pct"/>
                  <w:gridSpan w:val="3"/>
                  <w:tcBorders>
                    <w:tl2br w:val="nil"/>
                    <w:tr2bl w:val="nil"/>
                  </w:tcBorders>
                  <w:vAlign w:val="center"/>
                </w:tcPr>
                <w:p>
                  <w:pPr>
                    <w:pStyle w:val="14"/>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建设内容</w:t>
                  </w:r>
                </w:p>
              </w:tc>
              <w:tc>
                <w:tcPr>
                  <w:tcW w:w="3298" w:type="pct"/>
                  <w:gridSpan w:val="2"/>
                  <w:tcBorders>
                    <w:tl2br w:val="nil"/>
                    <w:tr2bl w:val="nil"/>
                  </w:tcBorders>
                  <w:vAlign w:val="center"/>
                </w:tcPr>
                <w:p>
                  <w:pPr>
                    <w:pStyle w:val="14"/>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工程规模</w:t>
                  </w:r>
                </w:p>
              </w:tc>
              <w:tc>
                <w:tcPr>
                  <w:tcW w:w="443" w:type="pct"/>
                  <w:gridSpan w:val="2"/>
                  <w:tcBorders>
                    <w:tl2br w:val="nil"/>
                    <w:tr2bl w:val="nil"/>
                  </w:tcBorders>
                  <w:vAlign w:val="center"/>
                </w:tcPr>
                <w:p>
                  <w:pPr>
                    <w:pStyle w:val="14"/>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gridAfter w:val="1"/>
                <w:wAfter w:w="41" w:type="pct"/>
                <w:cantSplit/>
                <w:trHeight w:val="1858" w:hRule="atLeast"/>
                <w:jc w:val="center"/>
              </w:trPr>
              <w:tc>
                <w:tcPr>
                  <w:tcW w:w="397" w:type="pct"/>
                  <w:tcBorders>
                    <w:tl2br w:val="nil"/>
                    <w:tr2bl w:val="nil"/>
                  </w:tcBorders>
                  <w:vAlign w:val="center"/>
                </w:tcPr>
                <w:p>
                  <w:pPr>
                    <w:pStyle w:val="14"/>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主体工程</w:t>
                  </w:r>
                </w:p>
              </w:tc>
              <w:tc>
                <w:tcPr>
                  <w:tcW w:w="818" w:type="pct"/>
                  <w:gridSpan w:val="3"/>
                  <w:tcBorders>
                    <w:tl2br w:val="nil"/>
                    <w:tr2bl w:val="nil"/>
                  </w:tcBorders>
                  <w:vAlign w:val="center"/>
                </w:tcPr>
                <w:p>
                  <w:pPr>
                    <w:pStyle w:val="14"/>
                    <w:rPr>
                      <w:rFonts w:eastAsiaTheme="minorEastAsia"/>
                      <w:color w:val="000000" w:themeColor="text1"/>
                      <w:szCs w:val="21"/>
                      <w:lang w:eastAsia="zh-CN"/>
                      <w14:textFill>
                        <w14:solidFill>
                          <w14:schemeClr w14:val="tx1"/>
                        </w14:solidFill>
                      </w14:textFill>
                    </w:rPr>
                  </w:pPr>
                  <w:r>
                    <w:rPr>
                      <w:rFonts w:eastAsiaTheme="minorEastAsia"/>
                      <w:color w:val="000000" w:themeColor="text1"/>
                      <w:szCs w:val="21"/>
                      <w:lang w:eastAsia="zh-CN"/>
                      <w14:textFill>
                        <w14:solidFill>
                          <w14:schemeClr w14:val="tx1"/>
                        </w14:solidFill>
                      </w14:textFill>
                    </w:rPr>
                    <w:t>生产车间</w:t>
                  </w:r>
                </w:p>
              </w:tc>
              <w:tc>
                <w:tcPr>
                  <w:tcW w:w="3298" w:type="pct"/>
                  <w:gridSpan w:val="2"/>
                  <w:tcBorders>
                    <w:tl2br w:val="nil"/>
                    <w:tr2bl w:val="nil"/>
                  </w:tcBorders>
                  <w:vAlign w:val="center"/>
                </w:tcPr>
                <w:p>
                  <w:pPr>
                    <w:pStyle w:val="14"/>
                    <w:jc w:val="left"/>
                    <w:rPr>
                      <w:rFonts w:eastAsiaTheme="minorEastAsia"/>
                      <w:color w:val="000000" w:themeColor="text1"/>
                      <w:szCs w:val="2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1座，</w:t>
                  </w:r>
                  <w:r>
                    <w:rPr>
                      <w:rFonts w:eastAsiaTheme="minorEastAsia"/>
                      <w:color w:val="000000" w:themeColor="text1"/>
                      <w:szCs w:val="21"/>
                      <w:lang w:eastAsia="zh-CN"/>
                      <w14:textFill>
                        <w14:solidFill>
                          <w14:schemeClr w14:val="tx1"/>
                        </w14:solidFill>
                      </w14:textFill>
                    </w:rPr>
                    <w:t>总建筑面积8013.25m</w:t>
                  </w:r>
                  <w:r>
                    <w:rPr>
                      <w:rFonts w:eastAsiaTheme="minorEastAsia"/>
                      <w:color w:val="000000" w:themeColor="text1"/>
                      <w:szCs w:val="21"/>
                      <w:vertAlign w:val="superscript"/>
                      <w:lang w:eastAsia="zh-CN"/>
                      <w14:textFill>
                        <w14:solidFill>
                          <w14:schemeClr w14:val="tx1"/>
                        </w14:solidFill>
                      </w14:textFill>
                    </w:rPr>
                    <w:t>2</w:t>
                  </w:r>
                  <w:r>
                    <w:rPr>
                      <w:rFonts w:eastAsiaTheme="minorEastAsia"/>
                      <w:color w:val="000000" w:themeColor="text1"/>
                      <w:szCs w:val="21"/>
                      <w:lang w:eastAsia="zh-CN"/>
                      <w14:textFill>
                        <w14:solidFill>
                          <w14:schemeClr w14:val="tx1"/>
                        </w14:solidFill>
                      </w14:textFill>
                    </w:rPr>
                    <w:t>，建筑层数为1层，</w:t>
                  </w:r>
                  <w:r>
                    <w:rPr>
                      <w:rFonts w:hint="eastAsia" w:eastAsiaTheme="minorEastAsia"/>
                      <w:color w:val="000000" w:themeColor="text1"/>
                      <w:szCs w:val="21"/>
                      <w:lang w:eastAsia="zh-CN"/>
                      <w14:textFill>
                        <w14:solidFill>
                          <w14:schemeClr w14:val="tx1"/>
                        </w14:solidFill>
                      </w14:textFill>
                    </w:rPr>
                    <w:t>高度为</w:t>
                  </w:r>
                  <w:r>
                    <w:rPr>
                      <w:rFonts w:hint="eastAsia" w:eastAsiaTheme="minorEastAsia"/>
                      <w:color w:val="000000" w:themeColor="text1"/>
                      <w:szCs w:val="21"/>
                      <w:lang w:val="en-US" w:eastAsia="zh-CN"/>
                      <w14:textFill>
                        <w14:solidFill>
                          <w14:schemeClr w14:val="tx1"/>
                        </w14:solidFill>
                      </w14:textFill>
                    </w:rPr>
                    <w:t>8.2</w:t>
                  </w:r>
                  <w:r>
                    <w:rPr>
                      <w:rFonts w:hint="eastAsia" w:eastAsiaTheme="minorEastAsia"/>
                      <w:color w:val="000000" w:themeColor="text1"/>
                      <w:szCs w:val="21"/>
                      <w:lang w:eastAsia="zh-CN"/>
                      <w14:textFill>
                        <w14:solidFill>
                          <w14:schemeClr w14:val="tx1"/>
                        </w14:solidFill>
                      </w14:textFill>
                    </w:rPr>
                    <w:t>m，</w:t>
                  </w:r>
                  <w:r>
                    <w:rPr>
                      <w:rFonts w:eastAsiaTheme="minorEastAsia"/>
                      <w:color w:val="000000" w:themeColor="text1"/>
                      <w:szCs w:val="21"/>
                      <w:lang w:eastAsia="zh-CN"/>
                      <w14:textFill>
                        <w14:solidFill>
                          <w14:schemeClr w14:val="tx1"/>
                        </w14:solidFill>
                      </w14:textFill>
                    </w:rPr>
                    <w:t>全封闭式钢架结构，生产车间由南到北分为三个区域，南侧区域为废钢、废铝、废铜、废旧五金存放区，中间区域为废旧家电存放区，北侧区域主要为车辆预处理区、拆解区、切割区、成品堆放区、一般固废堆放区、安全气囊引爆区、</w:t>
                  </w:r>
                  <w:r>
                    <w:rPr>
                      <w:rFonts w:hint="eastAsia" w:eastAsiaTheme="minorEastAsia"/>
                      <w:color w:val="000000" w:themeColor="text1"/>
                      <w:szCs w:val="21"/>
                      <w:lang w:eastAsia="zh-CN"/>
                      <w14:textFill>
                        <w14:solidFill>
                          <w14:schemeClr w14:val="tx1"/>
                        </w14:solidFill>
                      </w14:textFill>
                    </w:rPr>
                    <w:t>危废贮存库</w:t>
                  </w:r>
                  <w:r>
                    <w:rPr>
                      <w:rFonts w:eastAsiaTheme="minorEastAsia"/>
                      <w:color w:val="000000" w:themeColor="text1"/>
                      <w:szCs w:val="21"/>
                      <w:lang w:eastAsia="zh-CN"/>
                      <w14:textFill>
                        <w14:solidFill>
                          <w14:schemeClr w14:val="tx1"/>
                        </w14:solidFill>
                      </w14:textFill>
                    </w:rPr>
                    <w:t>等。报废车辆、废旧家电、废五金以及废钢、废铝、废铜拆解全过程均在生产车间北侧区域进行</w:t>
                  </w:r>
                </w:p>
              </w:tc>
              <w:tc>
                <w:tcPr>
                  <w:tcW w:w="443" w:type="pct"/>
                  <w:gridSpan w:val="2"/>
                  <w:tcBorders>
                    <w:tl2br w:val="nil"/>
                    <w:tr2bl w:val="nil"/>
                  </w:tcBorders>
                  <w:vAlign w:val="center"/>
                </w:tcPr>
                <w:p>
                  <w:pPr>
                    <w:pStyle w:val="14"/>
                    <w:rPr>
                      <w:rFonts w:eastAsiaTheme="minorEastAsia"/>
                      <w:color w:val="000000" w:themeColor="text1"/>
                      <w:szCs w:val="21"/>
                      <w:lang w:eastAsia="zh-CN"/>
                      <w14:textFill>
                        <w14:solidFill>
                          <w14:schemeClr w14:val="tx1"/>
                        </w14:solidFill>
                      </w14:textFill>
                    </w:rPr>
                  </w:pPr>
                  <w:r>
                    <w:rPr>
                      <w:rFonts w:eastAsiaTheme="minorEastAsia"/>
                      <w:color w:val="000000" w:themeColor="text1"/>
                      <w:szCs w:val="21"/>
                      <w:lang w:eastAsia="zh-CN"/>
                      <w14:textFill>
                        <w14:solidFill>
                          <w14:schemeClr w14:val="tx1"/>
                        </w14:solidFill>
                      </w14:textFill>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gridAfter w:val="1"/>
                <w:wAfter w:w="41" w:type="pct"/>
                <w:cantSplit/>
                <w:trHeight w:val="483" w:hRule="atLeast"/>
                <w:jc w:val="center"/>
              </w:trPr>
              <w:tc>
                <w:tcPr>
                  <w:tcW w:w="397" w:type="pct"/>
                  <w:vMerge w:val="restart"/>
                  <w:tcBorders>
                    <w:tl2br w:val="nil"/>
                    <w:tr2bl w:val="nil"/>
                  </w:tcBorders>
                  <w:vAlign w:val="center"/>
                </w:tcPr>
                <w:p>
                  <w:pPr>
                    <w:pStyle w:val="14"/>
                    <w:rPr>
                      <w:rFonts w:eastAsiaTheme="minorEastAsia"/>
                      <w:color w:val="FF0000"/>
                      <w:szCs w:val="21"/>
                      <w:lang w:eastAsia="zh-CN"/>
                    </w:rPr>
                  </w:pPr>
                  <w:r>
                    <w:rPr>
                      <w:rFonts w:eastAsiaTheme="minorEastAsia"/>
                      <w:color w:val="000000" w:themeColor="text1"/>
                      <w:szCs w:val="21"/>
                      <w:lang w:eastAsia="zh-CN"/>
                      <w14:textFill>
                        <w14:solidFill>
                          <w14:schemeClr w14:val="tx1"/>
                        </w14:solidFill>
                      </w14:textFill>
                    </w:rPr>
                    <w:t>储运工程</w:t>
                  </w:r>
                </w:p>
              </w:tc>
              <w:tc>
                <w:tcPr>
                  <w:tcW w:w="818" w:type="pct"/>
                  <w:gridSpan w:val="3"/>
                  <w:tcBorders>
                    <w:tl2br w:val="nil"/>
                    <w:tr2bl w:val="nil"/>
                  </w:tcBorders>
                  <w:vAlign w:val="center"/>
                </w:tcPr>
                <w:p>
                  <w:pPr>
                    <w:pStyle w:val="14"/>
                    <w:rPr>
                      <w:rFonts w:eastAsiaTheme="minorEastAsia"/>
                      <w:color w:val="000000" w:themeColor="text1"/>
                      <w:szCs w:val="21"/>
                      <w:lang w:eastAsia="zh-CN"/>
                      <w14:textFill>
                        <w14:solidFill>
                          <w14:schemeClr w14:val="tx1"/>
                        </w14:solidFill>
                      </w14:textFill>
                    </w:rPr>
                  </w:pPr>
                  <w:r>
                    <w:rPr>
                      <w:rFonts w:eastAsiaTheme="minorEastAsia"/>
                      <w:color w:val="000000" w:themeColor="text1"/>
                      <w:szCs w:val="21"/>
                      <w:lang w:eastAsia="zh-CN"/>
                      <w14:textFill>
                        <w14:solidFill>
                          <w14:schemeClr w14:val="tx1"/>
                        </w14:solidFill>
                      </w14:textFill>
                    </w:rPr>
                    <w:t>大型车存车区</w:t>
                  </w:r>
                </w:p>
              </w:tc>
              <w:tc>
                <w:tcPr>
                  <w:tcW w:w="3298" w:type="pct"/>
                  <w:gridSpan w:val="2"/>
                  <w:tcBorders>
                    <w:tl2br w:val="nil"/>
                    <w:tr2bl w:val="nil"/>
                  </w:tcBorders>
                  <w:vAlign w:val="center"/>
                </w:tcPr>
                <w:p>
                  <w:pPr>
                    <w:pStyle w:val="14"/>
                    <w:jc w:val="left"/>
                    <w:rPr>
                      <w:rFonts w:eastAsiaTheme="minorEastAsia"/>
                      <w:color w:val="000000" w:themeColor="text1"/>
                      <w:szCs w:val="21"/>
                      <w:lang w:eastAsia="zh-CN"/>
                      <w14:textFill>
                        <w14:solidFill>
                          <w14:schemeClr w14:val="tx1"/>
                        </w14:solidFill>
                      </w14:textFill>
                    </w:rPr>
                  </w:pPr>
                  <w:r>
                    <w:rPr>
                      <w:rFonts w:eastAsiaTheme="minorEastAsia"/>
                      <w:color w:val="000000" w:themeColor="text1"/>
                      <w:szCs w:val="21"/>
                      <w:lang w:eastAsia="zh-CN"/>
                      <w14:textFill>
                        <w14:solidFill>
                          <w14:schemeClr w14:val="tx1"/>
                        </w14:solidFill>
                      </w14:textFill>
                    </w:rPr>
                    <w:t>位于厂区东侧，占地面积10000m</w:t>
                  </w:r>
                  <w:r>
                    <w:rPr>
                      <w:rFonts w:eastAsiaTheme="minorEastAsia"/>
                      <w:color w:val="000000" w:themeColor="text1"/>
                      <w:szCs w:val="21"/>
                      <w:vertAlign w:val="superscript"/>
                      <w:lang w:eastAsia="zh-CN"/>
                      <w14:textFill>
                        <w14:solidFill>
                          <w14:schemeClr w14:val="tx1"/>
                        </w14:solidFill>
                      </w14:textFill>
                    </w:rPr>
                    <w:t>2</w:t>
                  </w:r>
                  <w:r>
                    <w:rPr>
                      <w:rFonts w:eastAsiaTheme="minorEastAsia"/>
                      <w:color w:val="000000" w:themeColor="text1"/>
                      <w:szCs w:val="21"/>
                      <w:lang w:eastAsia="zh-CN"/>
                      <w14:textFill>
                        <w14:solidFill>
                          <w14:schemeClr w14:val="tx1"/>
                        </w14:solidFill>
                      </w14:textFill>
                    </w:rPr>
                    <w:t>，大型车辆存车区为露天布置，地面进行硬化处理</w:t>
                  </w:r>
                </w:p>
              </w:tc>
              <w:tc>
                <w:tcPr>
                  <w:tcW w:w="443" w:type="pct"/>
                  <w:gridSpan w:val="2"/>
                  <w:tcBorders>
                    <w:tl2br w:val="nil"/>
                    <w:tr2bl w:val="nil"/>
                  </w:tcBorders>
                  <w:vAlign w:val="center"/>
                </w:tcPr>
                <w:p>
                  <w:pPr>
                    <w:pStyle w:val="14"/>
                    <w:rPr>
                      <w:rFonts w:eastAsiaTheme="minorEastAsia"/>
                      <w:color w:val="000000" w:themeColor="text1"/>
                      <w:szCs w:val="21"/>
                      <w:lang w:eastAsia="zh-CN"/>
                      <w14:textFill>
                        <w14:solidFill>
                          <w14:schemeClr w14:val="tx1"/>
                        </w14:solidFill>
                      </w14:textFill>
                    </w:rPr>
                  </w:pPr>
                  <w:r>
                    <w:rPr>
                      <w:rFonts w:eastAsiaTheme="minorEastAsia"/>
                      <w:color w:val="000000" w:themeColor="text1"/>
                      <w:szCs w:val="21"/>
                      <w:lang w:eastAsia="zh-CN"/>
                      <w14:textFill>
                        <w14:solidFill>
                          <w14:schemeClr w14:val="tx1"/>
                        </w14:solidFill>
                      </w14:textFill>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gridAfter w:val="1"/>
                <w:wAfter w:w="41" w:type="pct"/>
                <w:cantSplit/>
                <w:trHeight w:val="471" w:hRule="atLeast"/>
                <w:jc w:val="center"/>
              </w:trPr>
              <w:tc>
                <w:tcPr>
                  <w:tcW w:w="397" w:type="pct"/>
                  <w:vMerge w:val="continue"/>
                  <w:tcBorders>
                    <w:tl2br w:val="nil"/>
                    <w:tr2bl w:val="nil"/>
                  </w:tcBorders>
                  <w:vAlign w:val="center"/>
                </w:tcPr>
                <w:p>
                  <w:pPr>
                    <w:pStyle w:val="14"/>
                    <w:rPr>
                      <w:rFonts w:eastAsiaTheme="minorEastAsia"/>
                      <w:color w:val="FF0000"/>
                      <w:szCs w:val="21"/>
                    </w:rPr>
                  </w:pPr>
                </w:p>
              </w:tc>
              <w:tc>
                <w:tcPr>
                  <w:tcW w:w="818" w:type="pct"/>
                  <w:gridSpan w:val="3"/>
                  <w:tcBorders>
                    <w:tl2br w:val="nil"/>
                    <w:tr2bl w:val="nil"/>
                  </w:tcBorders>
                  <w:vAlign w:val="center"/>
                </w:tcPr>
                <w:p>
                  <w:pPr>
                    <w:pStyle w:val="14"/>
                    <w:rPr>
                      <w:rFonts w:eastAsiaTheme="minorEastAsia"/>
                      <w:color w:val="000000" w:themeColor="text1"/>
                      <w:szCs w:val="21"/>
                      <w:lang w:eastAsia="zh-CN"/>
                      <w14:textFill>
                        <w14:solidFill>
                          <w14:schemeClr w14:val="tx1"/>
                        </w14:solidFill>
                      </w14:textFill>
                    </w:rPr>
                  </w:pPr>
                  <w:r>
                    <w:rPr>
                      <w:rFonts w:eastAsiaTheme="minorEastAsia"/>
                      <w:color w:val="000000" w:themeColor="text1"/>
                      <w:szCs w:val="21"/>
                      <w:lang w:eastAsia="zh-CN"/>
                      <w14:textFill>
                        <w14:solidFill>
                          <w14:schemeClr w14:val="tx1"/>
                        </w14:solidFill>
                      </w14:textFill>
                    </w:rPr>
                    <w:t>小型车存车区</w:t>
                  </w:r>
                </w:p>
              </w:tc>
              <w:tc>
                <w:tcPr>
                  <w:tcW w:w="3298" w:type="pct"/>
                  <w:gridSpan w:val="2"/>
                  <w:tcBorders>
                    <w:tl2br w:val="nil"/>
                    <w:tr2bl w:val="nil"/>
                  </w:tcBorders>
                  <w:vAlign w:val="center"/>
                </w:tcPr>
                <w:p>
                  <w:pPr>
                    <w:pStyle w:val="14"/>
                    <w:jc w:val="left"/>
                    <w:rPr>
                      <w:rFonts w:eastAsiaTheme="minorEastAsia"/>
                      <w:color w:val="000000" w:themeColor="text1"/>
                      <w:szCs w:val="21"/>
                      <w:lang w:eastAsia="zh-CN"/>
                      <w14:textFill>
                        <w14:solidFill>
                          <w14:schemeClr w14:val="tx1"/>
                        </w14:solidFill>
                      </w14:textFill>
                    </w:rPr>
                  </w:pPr>
                  <w:r>
                    <w:rPr>
                      <w:rFonts w:eastAsiaTheme="minorEastAsia"/>
                      <w:color w:val="000000" w:themeColor="text1"/>
                      <w:szCs w:val="21"/>
                      <w:lang w:eastAsia="zh-CN"/>
                      <w14:textFill>
                        <w14:solidFill>
                          <w14:schemeClr w14:val="tx1"/>
                        </w14:solidFill>
                      </w14:textFill>
                    </w:rPr>
                    <w:t>位于厂区东南侧，占地面积4200m</w:t>
                  </w:r>
                  <w:r>
                    <w:rPr>
                      <w:rFonts w:eastAsiaTheme="minorEastAsia"/>
                      <w:color w:val="000000" w:themeColor="text1"/>
                      <w:szCs w:val="21"/>
                      <w:vertAlign w:val="superscript"/>
                      <w:lang w:eastAsia="zh-CN"/>
                      <w14:textFill>
                        <w14:solidFill>
                          <w14:schemeClr w14:val="tx1"/>
                        </w14:solidFill>
                      </w14:textFill>
                    </w:rPr>
                    <w:t>2</w:t>
                  </w:r>
                  <w:r>
                    <w:rPr>
                      <w:rFonts w:eastAsiaTheme="minorEastAsia"/>
                      <w:color w:val="000000" w:themeColor="text1"/>
                      <w:szCs w:val="21"/>
                      <w:lang w:eastAsia="zh-CN"/>
                      <w14:textFill>
                        <w14:solidFill>
                          <w14:schemeClr w14:val="tx1"/>
                        </w14:solidFill>
                      </w14:textFill>
                    </w:rPr>
                    <w:t>，小型车辆存车区为露天布置，地面进行硬化处理</w:t>
                  </w:r>
                </w:p>
              </w:tc>
              <w:tc>
                <w:tcPr>
                  <w:tcW w:w="443" w:type="pct"/>
                  <w:gridSpan w:val="2"/>
                  <w:tcBorders>
                    <w:tl2br w:val="nil"/>
                    <w:tr2bl w:val="nil"/>
                  </w:tcBorders>
                  <w:vAlign w:val="center"/>
                </w:tcPr>
                <w:p>
                  <w:pPr>
                    <w:pStyle w:val="14"/>
                    <w:rPr>
                      <w:rFonts w:eastAsiaTheme="minorEastAsia"/>
                      <w:color w:val="000000" w:themeColor="text1"/>
                      <w:szCs w:val="21"/>
                      <w:lang w:eastAsia="zh-CN"/>
                      <w14:textFill>
                        <w14:solidFill>
                          <w14:schemeClr w14:val="tx1"/>
                        </w14:solidFill>
                      </w14:textFill>
                    </w:rPr>
                  </w:pPr>
                  <w:r>
                    <w:rPr>
                      <w:rFonts w:eastAsiaTheme="minorEastAsia"/>
                      <w:color w:val="000000" w:themeColor="text1"/>
                      <w:szCs w:val="21"/>
                      <w:lang w:eastAsia="zh-CN"/>
                      <w14:textFill>
                        <w14:solidFill>
                          <w14:schemeClr w14:val="tx1"/>
                        </w14:solidFill>
                      </w14:textFill>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gridAfter w:val="1"/>
                <w:wAfter w:w="41" w:type="pct"/>
                <w:cantSplit/>
                <w:trHeight w:val="178" w:hRule="atLeast"/>
                <w:jc w:val="center"/>
              </w:trPr>
              <w:tc>
                <w:tcPr>
                  <w:tcW w:w="397" w:type="pct"/>
                  <w:vMerge w:val="restart"/>
                  <w:tcBorders>
                    <w:tl2br w:val="nil"/>
                    <w:tr2bl w:val="nil"/>
                  </w:tcBorders>
                  <w:vAlign w:val="center"/>
                </w:tcPr>
                <w:p>
                  <w:pPr>
                    <w:pStyle w:val="14"/>
                    <w:rPr>
                      <w:rFonts w:eastAsiaTheme="minorEastAsia"/>
                      <w:color w:val="FF0000"/>
                      <w:szCs w:val="21"/>
                      <w:lang w:eastAsia="zh-CN"/>
                    </w:rPr>
                  </w:pPr>
                  <w:r>
                    <w:rPr>
                      <w:rFonts w:eastAsiaTheme="minorEastAsia"/>
                      <w:color w:val="000000" w:themeColor="text1"/>
                      <w:szCs w:val="21"/>
                      <w:lang w:eastAsia="zh-CN"/>
                      <w14:textFill>
                        <w14:solidFill>
                          <w14:schemeClr w14:val="tx1"/>
                        </w14:solidFill>
                      </w14:textFill>
                    </w:rPr>
                    <w:t>辅助工程</w:t>
                  </w:r>
                </w:p>
              </w:tc>
              <w:tc>
                <w:tcPr>
                  <w:tcW w:w="818" w:type="pct"/>
                  <w:gridSpan w:val="3"/>
                  <w:tcBorders>
                    <w:tl2br w:val="nil"/>
                    <w:tr2bl w:val="nil"/>
                  </w:tcBorders>
                  <w:vAlign w:val="center"/>
                </w:tcPr>
                <w:p>
                  <w:pPr>
                    <w:pStyle w:val="14"/>
                    <w:rPr>
                      <w:rFonts w:eastAsiaTheme="minorEastAsia"/>
                      <w:color w:val="000000" w:themeColor="text1"/>
                      <w:szCs w:val="21"/>
                      <w:lang w:eastAsia="zh-CN"/>
                      <w14:textFill>
                        <w14:solidFill>
                          <w14:schemeClr w14:val="tx1"/>
                        </w14:solidFill>
                      </w14:textFill>
                    </w:rPr>
                  </w:pPr>
                  <w:r>
                    <w:rPr>
                      <w:rFonts w:eastAsiaTheme="minorEastAsia"/>
                      <w:color w:val="000000" w:themeColor="text1"/>
                      <w:szCs w:val="21"/>
                      <w:lang w:eastAsia="zh-CN"/>
                      <w14:textFill>
                        <w14:solidFill>
                          <w14:schemeClr w14:val="tx1"/>
                        </w14:solidFill>
                      </w14:textFill>
                    </w:rPr>
                    <w:t>宿舍楼</w:t>
                  </w:r>
                </w:p>
              </w:tc>
              <w:tc>
                <w:tcPr>
                  <w:tcW w:w="3298" w:type="pct"/>
                  <w:gridSpan w:val="2"/>
                  <w:tcBorders>
                    <w:tl2br w:val="nil"/>
                    <w:tr2bl w:val="nil"/>
                  </w:tcBorders>
                  <w:vAlign w:val="center"/>
                </w:tcPr>
                <w:p>
                  <w:pPr>
                    <w:pStyle w:val="14"/>
                    <w:jc w:val="left"/>
                    <w:rPr>
                      <w:rFonts w:eastAsiaTheme="minorEastAsia"/>
                      <w:color w:val="000000" w:themeColor="text1"/>
                      <w:szCs w:val="21"/>
                      <w:lang w:eastAsia="zh-CN"/>
                      <w14:textFill>
                        <w14:solidFill>
                          <w14:schemeClr w14:val="tx1"/>
                        </w14:solidFill>
                      </w14:textFill>
                    </w:rPr>
                  </w:pPr>
                  <w:r>
                    <w:rPr>
                      <w:rFonts w:eastAsiaTheme="minorEastAsia"/>
                      <w:color w:val="000000" w:themeColor="text1"/>
                      <w:szCs w:val="21"/>
                      <w:lang w:eastAsia="zh-CN"/>
                      <w14:textFill>
                        <w14:solidFill>
                          <w14:schemeClr w14:val="tx1"/>
                        </w14:solidFill>
                      </w14:textFill>
                    </w:rPr>
                    <w:t>1栋，位于厂区西侧，</w:t>
                  </w:r>
                  <w:r>
                    <w:rPr>
                      <w:rFonts w:eastAsiaTheme="minorEastAsia"/>
                      <w:color w:val="000000"/>
                      <w:szCs w:val="21"/>
                      <w:lang w:eastAsia="zh-CN" w:bidi="ar"/>
                    </w:rPr>
                    <w:t>砖混结构，</w:t>
                  </w:r>
                  <w:r>
                    <w:rPr>
                      <w:rFonts w:hint="eastAsia" w:eastAsiaTheme="minorEastAsia"/>
                      <w:color w:val="000000"/>
                      <w:szCs w:val="21"/>
                      <w:lang w:eastAsia="zh-CN" w:bidi="ar"/>
                    </w:rPr>
                    <w:t>内设有食堂，</w:t>
                  </w:r>
                  <w:r>
                    <w:rPr>
                      <w:rFonts w:eastAsiaTheme="minorEastAsia"/>
                      <w:color w:val="000000" w:themeColor="text1"/>
                      <w:szCs w:val="21"/>
                      <w:lang w:eastAsia="zh-CN"/>
                      <w14:textFill>
                        <w14:solidFill>
                          <w14:schemeClr w14:val="tx1"/>
                        </w14:solidFill>
                      </w14:textFill>
                    </w:rPr>
                    <w:t>占地面积282m</w:t>
                  </w:r>
                  <w:r>
                    <w:rPr>
                      <w:rFonts w:eastAsiaTheme="minorEastAsia"/>
                      <w:color w:val="000000" w:themeColor="text1"/>
                      <w:szCs w:val="21"/>
                      <w:vertAlign w:val="superscript"/>
                      <w:lang w:eastAsia="zh-CN"/>
                      <w14:textFill>
                        <w14:solidFill>
                          <w14:schemeClr w14:val="tx1"/>
                        </w14:solidFill>
                      </w14:textFill>
                    </w:rPr>
                    <w:t>2</w:t>
                  </w:r>
                  <w:r>
                    <w:rPr>
                      <w:rFonts w:hint="eastAsia" w:eastAsiaTheme="minorEastAsia"/>
                      <w:color w:val="000000" w:themeColor="text1"/>
                      <w:szCs w:val="21"/>
                      <w:vertAlign w:val="baseline"/>
                      <w:lang w:eastAsia="zh-CN"/>
                      <w14:textFill>
                        <w14:solidFill>
                          <w14:schemeClr w14:val="tx1"/>
                        </w14:solidFill>
                      </w14:textFill>
                    </w:rPr>
                    <w:t>，</w:t>
                  </w:r>
                  <w:r>
                    <w:rPr>
                      <w:rFonts w:eastAsiaTheme="minorEastAsia"/>
                      <w:color w:val="000000" w:themeColor="text1"/>
                      <w:szCs w:val="21"/>
                      <w:lang w:eastAsia="zh-CN"/>
                      <w14:textFill>
                        <w14:solidFill>
                          <w14:schemeClr w14:val="tx1"/>
                        </w14:solidFill>
                      </w14:textFill>
                    </w:rPr>
                    <w:t>建筑层数为</w:t>
                  </w:r>
                  <w:r>
                    <w:rPr>
                      <w:rFonts w:hint="eastAsia" w:eastAsiaTheme="minorEastAsia"/>
                      <w:color w:val="000000" w:themeColor="text1"/>
                      <w:szCs w:val="21"/>
                      <w:lang w:val="en-US" w:eastAsia="zh-CN"/>
                      <w14:textFill>
                        <w14:solidFill>
                          <w14:schemeClr w14:val="tx1"/>
                        </w14:solidFill>
                      </w14:textFill>
                    </w:rPr>
                    <w:t>2</w:t>
                  </w:r>
                  <w:r>
                    <w:rPr>
                      <w:rFonts w:eastAsiaTheme="minorEastAsia"/>
                      <w:color w:val="000000" w:themeColor="text1"/>
                      <w:szCs w:val="21"/>
                      <w:lang w:eastAsia="zh-CN"/>
                      <w14:textFill>
                        <w14:solidFill>
                          <w14:schemeClr w14:val="tx1"/>
                        </w14:solidFill>
                      </w14:textFill>
                    </w:rPr>
                    <w:t>层</w:t>
                  </w:r>
                  <w:r>
                    <w:rPr>
                      <w:rFonts w:hint="eastAsia" w:eastAsiaTheme="minorEastAsia"/>
                      <w:color w:val="000000" w:themeColor="text1"/>
                      <w:szCs w:val="21"/>
                      <w:lang w:eastAsia="zh-CN"/>
                      <w14:textFill>
                        <w14:solidFill>
                          <w14:schemeClr w14:val="tx1"/>
                        </w14:solidFill>
                      </w14:textFill>
                    </w:rPr>
                    <w:t>，高度为</w:t>
                  </w:r>
                  <w:r>
                    <w:rPr>
                      <w:rFonts w:hint="eastAsia" w:eastAsiaTheme="minorEastAsia"/>
                      <w:color w:val="000000" w:themeColor="text1"/>
                      <w:szCs w:val="21"/>
                      <w:lang w:val="en-US" w:eastAsia="zh-CN"/>
                      <w14:textFill>
                        <w14:solidFill>
                          <w14:schemeClr w14:val="tx1"/>
                        </w14:solidFill>
                      </w14:textFill>
                    </w:rPr>
                    <w:t>6.</w:t>
                  </w:r>
                  <w:r>
                    <w:rPr>
                      <w:rFonts w:hint="eastAsia" w:eastAsiaTheme="minorEastAsia"/>
                      <w:color w:val="000000" w:themeColor="text1"/>
                      <w:szCs w:val="21"/>
                      <w:lang w:eastAsia="zh-CN"/>
                      <w14:textFill>
                        <w14:solidFill>
                          <w14:schemeClr w14:val="tx1"/>
                        </w14:solidFill>
                      </w14:textFill>
                    </w:rPr>
                    <w:t>m</w:t>
                  </w:r>
                </w:p>
              </w:tc>
              <w:tc>
                <w:tcPr>
                  <w:tcW w:w="443" w:type="pct"/>
                  <w:gridSpan w:val="2"/>
                  <w:tcBorders>
                    <w:tl2br w:val="nil"/>
                    <w:tr2bl w:val="nil"/>
                  </w:tcBorders>
                  <w:vAlign w:val="center"/>
                </w:tcPr>
                <w:p>
                  <w:pPr>
                    <w:adjustRightInd w:val="0"/>
                    <w:snapToGrid w:val="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gridAfter w:val="1"/>
                <w:wAfter w:w="41" w:type="pct"/>
                <w:cantSplit/>
                <w:trHeight w:val="178" w:hRule="atLeast"/>
                <w:jc w:val="center"/>
              </w:trPr>
              <w:tc>
                <w:tcPr>
                  <w:tcW w:w="397" w:type="pct"/>
                  <w:vMerge w:val="continue"/>
                  <w:tcBorders>
                    <w:tl2br w:val="nil"/>
                    <w:tr2bl w:val="nil"/>
                  </w:tcBorders>
                  <w:vAlign w:val="center"/>
                </w:tcPr>
                <w:p>
                  <w:pPr>
                    <w:pStyle w:val="14"/>
                    <w:rPr>
                      <w:rFonts w:eastAsiaTheme="minorEastAsia"/>
                    </w:rPr>
                  </w:pPr>
                </w:p>
              </w:tc>
              <w:tc>
                <w:tcPr>
                  <w:tcW w:w="818" w:type="pct"/>
                  <w:gridSpan w:val="3"/>
                  <w:tcBorders>
                    <w:tl2br w:val="nil"/>
                    <w:tr2bl w:val="nil"/>
                  </w:tcBorders>
                  <w:vAlign w:val="center"/>
                </w:tcPr>
                <w:p>
                  <w:pPr>
                    <w:pStyle w:val="14"/>
                    <w:rPr>
                      <w:rFonts w:eastAsiaTheme="minorEastAsia"/>
                      <w:color w:val="000000" w:themeColor="text1"/>
                      <w:szCs w:val="21"/>
                      <w:lang w:eastAsia="zh-CN"/>
                      <w14:textFill>
                        <w14:solidFill>
                          <w14:schemeClr w14:val="tx1"/>
                        </w14:solidFill>
                      </w14:textFill>
                    </w:rPr>
                  </w:pPr>
                  <w:r>
                    <w:rPr>
                      <w:rFonts w:eastAsiaTheme="minorEastAsia"/>
                      <w:color w:val="000000" w:themeColor="text1"/>
                      <w:szCs w:val="21"/>
                      <w:lang w:eastAsia="zh-CN"/>
                      <w14:textFill>
                        <w14:solidFill>
                          <w14:schemeClr w14:val="tx1"/>
                        </w14:solidFill>
                      </w14:textFill>
                    </w:rPr>
                    <w:t>办公楼</w:t>
                  </w:r>
                </w:p>
              </w:tc>
              <w:tc>
                <w:tcPr>
                  <w:tcW w:w="3298" w:type="pct"/>
                  <w:gridSpan w:val="2"/>
                  <w:tcBorders>
                    <w:tl2br w:val="nil"/>
                    <w:tr2bl w:val="nil"/>
                  </w:tcBorders>
                  <w:vAlign w:val="center"/>
                </w:tcPr>
                <w:p>
                  <w:pPr>
                    <w:pStyle w:val="14"/>
                    <w:jc w:val="left"/>
                    <w:rPr>
                      <w:rFonts w:eastAsiaTheme="minorEastAsia"/>
                      <w:color w:val="000000" w:themeColor="text1"/>
                      <w:szCs w:val="21"/>
                      <w:lang w:eastAsia="zh-CN"/>
                      <w14:textFill>
                        <w14:solidFill>
                          <w14:schemeClr w14:val="tx1"/>
                        </w14:solidFill>
                      </w14:textFill>
                    </w:rPr>
                  </w:pPr>
                  <w:r>
                    <w:rPr>
                      <w:rFonts w:eastAsiaTheme="minorEastAsia"/>
                      <w:color w:val="000000" w:themeColor="text1"/>
                      <w:szCs w:val="21"/>
                      <w:lang w:eastAsia="zh-CN"/>
                      <w14:textFill>
                        <w14:solidFill>
                          <w14:schemeClr w14:val="tx1"/>
                        </w14:solidFill>
                      </w14:textFill>
                    </w:rPr>
                    <w:t>1栋，位于厂区西南侧，</w:t>
                  </w:r>
                  <w:r>
                    <w:rPr>
                      <w:rFonts w:eastAsiaTheme="minorEastAsia"/>
                      <w:color w:val="000000"/>
                      <w:szCs w:val="21"/>
                      <w:lang w:eastAsia="zh-CN" w:bidi="ar"/>
                    </w:rPr>
                    <w:t>砖混结构，</w:t>
                  </w:r>
                  <w:r>
                    <w:rPr>
                      <w:rFonts w:eastAsiaTheme="minorEastAsia"/>
                      <w:color w:val="000000" w:themeColor="text1"/>
                      <w:szCs w:val="21"/>
                      <w:lang w:eastAsia="zh-CN"/>
                      <w14:textFill>
                        <w14:solidFill>
                          <w14:schemeClr w14:val="tx1"/>
                        </w14:solidFill>
                      </w14:textFill>
                    </w:rPr>
                    <w:t>占地面积284.81m</w:t>
                  </w:r>
                  <w:r>
                    <w:rPr>
                      <w:rFonts w:eastAsiaTheme="minorEastAsia"/>
                      <w:color w:val="000000" w:themeColor="text1"/>
                      <w:szCs w:val="21"/>
                      <w:vertAlign w:val="superscript"/>
                      <w:lang w:eastAsia="zh-CN"/>
                      <w14:textFill>
                        <w14:solidFill>
                          <w14:schemeClr w14:val="tx1"/>
                        </w14:solidFill>
                      </w14:textFill>
                    </w:rPr>
                    <w:t>2</w:t>
                  </w:r>
                  <w:r>
                    <w:rPr>
                      <w:rFonts w:hint="eastAsia" w:eastAsiaTheme="minorEastAsia"/>
                      <w:color w:val="000000" w:themeColor="text1"/>
                      <w:szCs w:val="21"/>
                      <w:vertAlign w:val="baseline"/>
                      <w:lang w:eastAsia="zh-CN"/>
                      <w14:textFill>
                        <w14:solidFill>
                          <w14:schemeClr w14:val="tx1"/>
                        </w14:solidFill>
                      </w14:textFill>
                    </w:rPr>
                    <w:t>，</w:t>
                  </w:r>
                  <w:r>
                    <w:rPr>
                      <w:rFonts w:eastAsiaTheme="minorEastAsia"/>
                      <w:color w:val="000000" w:themeColor="text1"/>
                      <w:szCs w:val="21"/>
                      <w:lang w:eastAsia="zh-CN"/>
                      <w14:textFill>
                        <w14:solidFill>
                          <w14:schemeClr w14:val="tx1"/>
                        </w14:solidFill>
                      </w14:textFill>
                    </w:rPr>
                    <w:t>建筑层数为</w:t>
                  </w:r>
                  <w:r>
                    <w:rPr>
                      <w:rFonts w:hint="eastAsia" w:eastAsiaTheme="minorEastAsia"/>
                      <w:color w:val="000000" w:themeColor="text1"/>
                      <w:szCs w:val="21"/>
                      <w:lang w:val="en-US" w:eastAsia="zh-CN"/>
                      <w14:textFill>
                        <w14:solidFill>
                          <w14:schemeClr w14:val="tx1"/>
                        </w14:solidFill>
                      </w14:textFill>
                    </w:rPr>
                    <w:t>2</w:t>
                  </w:r>
                  <w:r>
                    <w:rPr>
                      <w:rFonts w:eastAsiaTheme="minorEastAsia"/>
                      <w:color w:val="000000" w:themeColor="text1"/>
                      <w:szCs w:val="21"/>
                      <w:lang w:eastAsia="zh-CN"/>
                      <w14:textFill>
                        <w14:solidFill>
                          <w14:schemeClr w14:val="tx1"/>
                        </w14:solidFill>
                      </w14:textFill>
                    </w:rPr>
                    <w:t>层</w:t>
                  </w:r>
                  <w:r>
                    <w:rPr>
                      <w:rFonts w:hint="eastAsia" w:eastAsiaTheme="minorEastAsia"/>
                      <w:color w:val="000000" w:themeColor="text1"/>
                      <w:szCs w:val="21"/>
                      <w:lang w:eastAsia="zh-CN"/>
                      <w14:textFill>
                        <w14:solidFill>
                          <w14:schemeClr w14:val="tx1"/>
                        </w14:solidFill>
                      </w14:textFill>
                    </w:rPr>
                    <w:t>，高度为</w:t>
                  </w:r>
                  <w:r>
                    <w:rPr>
                      <w:rFonts w:hint="eastAsia" w:eastAsiaTheme="minorEastAsia"/>
                      <w:color w:val="000000" w:themeColor="text1"/>
                      <w:szCs w:val="21"/>
                      <w:lang w:val="en-US" w:eastAsia="zh-CN"/>
                      <w14:textFill>
                        <w14:solidFill>
                          <w14:schemeClr w14:val="tx1"/>
                        </w14:solidFill>
                      </w14:textFill>
                    </w:rPr>
                    <w:t>6.55</w:t>
                  </w:r>
                  <w:r>
                    <w:rPr>
                      <w:rFonts w:hint="eastAsia" w:eastAsiaTheme="minorEastAsia"/>
                      <w:color w:val="000000" w:themeColor="text1"/>
                      <w:szCs w:val="21"/>
                      <w:lang w:eastAsia="zh-CN"/>
                      <w14:textFill>
                        <w14:solidFill>
                          <w14:schemeClr w14:val="tx1"/>
                        </w14:solidFill>
                      </w14:textFill>
                    </w:rPr>
                    <w:t>m</w:t>
                  </w:r>
                </w:p>
              </w:tc>
              <w:tc>
                <w:tcPr>
                  <w:tcW w:w="443" w:type="pct"/>
                  <w:gridSpan w:val="2"/>
                  <w:tcBorders>
                    <w:tl2br w:val="nil"/>
                    <w:tr2bl w:val="nil"/>
                  </w:tcBorders>
                  <w:vAlign w:val="center"/>
                </w:tcPr>
                <w:p>
                  <w:pPr>
                    <w:adjustRightInd w:val="0"/>
                    <w:snapToGrid w:val="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gridAfter w:val="1"/>
                <w:wAfter w:w="41" w:type="pct"/>
                <w:cantSplit/>
                <w:trHeight w:val="483" w:hRule="atLeast"/>
                <w:jc w:val="center"/>
              </w:trPr>
              <w:tc>
                <w:tcPr>
                  <w:tcW w:w="397" w:type="pct"/>
                  <w:vMerge w:val="continue"/>
                  <w:tcBorders>
                    <w:tl2br w:val="nil"/>
                    <w:tr2bl w:val="nil"/>
                  </w:tcBorders>
                  <w:vAlign w:val="center"/>
                </w:tcPr>
                <w:p>
                  <w:pPr>
                    <w:pStyle w:val="14"/>
                    <w:rPr>
                      <w:rFonts w:eastAsiaTheme="minorEastAsia"/>
                      <w:color w:val="000000" w:themeColor="text1"/>
                      <w:szCs w:val="21"/>
                      <w:lang w:eastAsia="zh-CN"/>
                      <w14:textFill>
                        <w14:solidFill>
                          <w14:schemeClr w14:val="tx1"/>
                        </w14:solidFill>
                      </w14:textFill>
                    </w:rPr>
                  </w:pPr>
                </w:p>
              </w:tc>
              <w:tc>
                <w:tcPr>
                  <w:tcW w:w="818" w:type="pct"/>
                  <w:gridSpan w:val="3"/>
                  <w:tcBorders>
                    <w:tl2br w:val="nil"/>
                    <w:tr2bl w:val="nil"/>
                  </w:tcBorders>
                  <w:vAlign w:val="center"/>
                </w:tcPr>
                <w:p>
                  <w:pPr>
                    <w:pStyle w:val="14"/>
                    <w:rPr>
                      <w:rFonts w:eastAsiaTheme="minorEastAsia"/>
                      <w:color w:val="000000" w:themeColor="text1"/>
                      <w:szCs w:val="21"/>
                      <w:lang w:eastAsia="zh-CN"/>
                      <w14:textFill>
                        <w14:solidFill>
                          <w14:schemeClr w14:val="tx1"/>
                        </w14:solidFill>
                      </w14:textFill>
                    </w:rPr>
                  </w:pPr>
                  <w:r>
                    <w:rPr>
                      <w:rFonts w:eastAsiaTheme="minorEastAsia"/>
                      <w:color w:val="000000" w:themeColor="text1"/>
                      <w:szCs w:val="21"/>
                      <w:lang w:eastAsia="zh-CN"/>
                      <w14:textFill>
                        <w14:solidFill>
                          <w14:schemeClr w14:val="tx1"/>
                        </w14:solidFill>
                      </w14:textFill>
                    </w:rPr>
                    <w:t>查验区</w:t>
                  </w:r>
                </w:p>
              </w:tc>
              <w:tc>
                <w:tcPr>
                  <w:tcW w:w="3298" w:type="pct"/>
                  <w:gridSpan w:val="2"/>
                  <w:tcBorders>
                    <w:tl2br w:val="nil"/>
                    <w:tr2bl w:val="nil"/>
                  </w:tcBorders>
                  <w:vAlign w:val="center"/>
                </w:tcPr>
                <w:p>
                  <w:pPr>
                    <w:pStyle w:val="14"/>
                    <w:jc w:val="left"/>
                    <w:rPr>
                      <w:rFonts w:eastAsiaTheme="minorEastAsia"/>
                      <w:color w:val="000000" w:themeColor="text1"/>
                      <w:szCs w:val="21"/>
                      <w:lang w:eastAsia="zh-CN"/>
                      <w14:textFill>
                        <w14:solidFill>
                          <w14:schemeClr w14:val="tx1"/>
                        </w14:solidFill>
                      </w14:textFill>
                    </w:rPr>
                  </w:pPr>
                  <w:r>
                    <w:rPr>
                      <w:rFonts w:eastAsiaTheme="minorEastAsia"/>
                      <w:color w:val="000000" w:themeColor="text1"/>
                      <w:szCs w:val="21"/>
                      <w:lang w:eastAsia="zh-CN"/>
                      <w14:textFill>
                        <w14:solidFill>
                          <w14:schemeClr w14:val="tx1"/>
                        </w14:solidFill>
                      </w14:textFill>
                    </w:rPr>
                    <w:t>位于厂区西侧，设置地磅1座，用于进入厂区的报废汽车过磅称重</w:t>
                  </w:r>
                </w:p>
              </w:tc>
              <w:tc>
                <w:tcPr>
                  <w:tcW w:w="443" w:type="pct"/>
                  <w:gridSpan w:val="2"/>
                  <w:tcBorders>
                    <w:tl2br w:val="nil"/>
                    <w:tr2bl w:val="nil"/>
                  </w:tcBorders>
                  <w:vAlign w:val="center"/>
                </w:tcPr>
                <w:p>
                  <w:pPr>
                    <w:pStyle w:val="14"/>
                    <w:rPr>
                      <w:rFonts w:eastAsiaTheme="minorEastAsia"/>
                      <w:color w:val="000000" w:themeColor="text1"/>
                      <w:szCs w:val="21"/>
                      <w:lang w:eastAsia="zh-CN"/>
                      <w14:textFill>
                        <w14:solidFill>
                          <w14:schemeClr w14:val="tx1"/>
                        </w14:solidFill>
                      </w14:textFill>
                    </w:rPr>
                  </w:pPr>
                  <w:r>
                    <w:rPr>
                      <w:rFonts w:eastAsiaTheme="minorEastAsia"/>
                      <w:color w:val="000000" w:themeColor="text1"/>
                      <w:szCs w:val="21"/>
                      <w:lang w:eastAsia="zh-CN"/>
                      <w14:textFill>
                        <w14:solidFill>
                          <w14:schemeClr w14:val="tx1"/>
                        </w14:solidFill>
                      </w14:textFill>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gridAfter w:val="1"/>
                <w:wAfter w:w="41" w:type="pct"/>
                <w:cantSplit/>
                <w:trHeight w:val="175" w:hRule="atLeast"/>
                <w:jc w:val="center"/>
              </w:trPr>
              <w:tc>
                <w:tcPr>
                  <w:tcW w:w="397" w:type="pct"/>
                  <w:vMerge w:val="restart"/>
                  <w:tcBorders>
                    <w:tl2br w:val="nil"/>
                    <w:tr2bl w:val="nil"/>
                  </w:tcBorders>
                  <w:vAlign w:val="center"/>
                </w:tcPr>
                <w:p>
                  <w:pPr>
                    <w:pStyle w:val="14"/>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公用工程</w:t>
                  </w:r>
                </w:p>
              </w:tc>
              <w:tc>
                <w:tcPr>
                  <w:tcW w:w="818" w:type="pct"/>
                  <w:gridSpan w:val="3"/>
                  <w:tcBorders>
                    <w:tl2br w:val="nil"/>
                    <w:tr2bl w:val="nil"/>
                  </w:tcBorders>
                  <w:vAlign w:val="center"/>
                </w:tcPr>
                <w:p>
                  <w:pPr>
                    <w:pStyle w:val="14"/>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供电</w:t>
                  </w:r>
                </w:p>
              </w:tc>
              <w:tc>
                <w:tcPr>
                  <w:tcW w:w="3298" w:type="pct"/>
                  <w:gridSpan w:val="2"/>
                  <w:tcBorders>
                    <w:tl2br w:val="nil"/>
                    <w:tr2bl w:val="nil"/>
                  </w:tcBorders>
                  <w:vAlign w:val="center"/>
                </w:tcPr>
                <w:p>
                  <w:pPr>
                    <w:pStyle w:val="14"/>
                    <w:jc w:val="left"/>
                    <w:rPr>
                      <w:rFonts w:eastAsiaTheme="minorEastAsia"/>
                      <w:color w:val="000000" w:themeColor="text1"/>
                      <w:szCs w:val="21"/>
                      <w:lang w:eastAsia="zh-CN"/>
                      <w14:textFill>
                        <w14:solidFill>
                          <w14:schemeClr w14:val="tx1"/>
                        </w14:solidFill>
                      </w14:textFill>
                    </w:rPr>
                  </w:pPr>
                  <w:r>
                    <w:rPr>
                      <w:rFonts w:eastAsiaTheme="minorEastAsia"/>
                      <w:color w:val="000000" w:themeColor="text1"/>
                      <w:szCs w:val="21"/>
                      <w:lang w:eastAsia="zh-CN"/>
                      <w14:textFill>
                        <w14:solidFill>
                          <w14:schemeClr w14:val="tx1"/>
                        </w14:solidFill>
                      </w14:textFill>
                    </w:rPr>
                    <w:t>接入园区电网进行供电</w:t>
                  </w:r>
                </w:p>
              </w:tc>
              <w:tc>
                <w:tcPr>
                  <w:tcW w:w="443" w:type="pct"/>
                  <w:gridSpan w:val="2"/>
                  <w:tcBorders>
                    <w:tl2br w:val="nil"/>
                    <w:tr2bl w:val="nil"/>
                  </w:tcBorders>
                  <w:vAlign w:val="center"/>
                </w:tcPr>
                <w:p>
                  <w:pPr>
                    <w:pStyle w:val="14"/>
                    <w:rPr>
                      <w:rFonts w:eastAsiaTheme="minorEastAsia"/>
                      <w:color w:val="000000" w:themeColor="text1"/>
                      <w:szCs w:val="21"/>
                      <w:lang w:eastAsia="zh-CN"/>
                      <w14:textFill>
                        <w14:solidFill>
                          <w14:schemeClr w14:val="tx1"/>
                        </w14:solidFill>
                      </w14:textFill>
                    </w:rPr>
                  </w:pPr>
                  <w:r>
                    <w:rPr>
                      <w:rFonts w:eastAsiaTheme="minorEastAsia"/>
                      <w:color w:val="000000" w:themeColor="text1"/>
                      <w:szCs w:val="21"/>
                      <w:lang w:eastAsia="zh-CN"/>
                      <w14:textFill>
                        <w14:solidFill>
                          <w14:schemeClr w14:val="tx1"/>
                        </w14:solidFill>
                      </w14:textFill>
                    </w:rPr>
                    <w:t>依托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gridAfter w:val="1"/>
                <w:wAfter w:w="41" w:type="pct"/>
                <w:cantSplit/>
                <w:trHeight w:val="175" w:hRule="atLeast"/>
                <w:jc w:val="center"/>
              </w:trPr>
              <w:tc>
                <w:tcPr>
                  <w:tcW w:w="397" w:type="pct"/>
                  <w:vMerge w:val="continue"/>
                  <w:tcBorders>
                    <w:tl2br w:val="nil"/>
                    <w:tr2bl w:val="nil"/>
                  </w:tcBorders>
                  <w:vAlign w:val="center"/>
                </w:tcPr>
                <w:p>
                  <w:pPr>
                    <w:pStyle w:val="14"/>
                    <w:rPr>
                      <w:rFonts w:eastAsiaTheme="minorEastAsia"/>
                      <w:color w:val="000000" w:themeColor="text1"/>
                      <w:szCs w:val="21"/>
                      <w14:textFill>
                        <w14:solidFill>
                          <w14:schemeClr w14:val="tx1"/>
                        </w14:solidFill>
                      </w14:textFill>
                    </w:rPr>
                  </w:pPr>
                </w:p>
              </w:tc>
              <w:tc>
                <w:tcPr>
                  <w:tcW w:w="818" w:type="pct"/>
                  <w:gridSpan w:val="3"/>
                  <w:tcBorders>
                    <w:tl2br w:val="nil"/>
                    <w:tr2bl w:val="nil"/>
                  </w:tcBorders>
                  <w:vAlign w:val="center"/>
                </w:tcPr>
                <w:p>
                  <w:pPr>
                    <w:pStyle w:val="14"/>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供水</w:t>
                  </w:r>
                </w:p>
              </w:tc>
              <w:tc>
                <w:tcPr>
                  <w:tcW w:w="3298" w:type="pct"/>
                  <w:gridSpan w:val="2"/>
                  <w:tcBorders>
                    <w:tl2br w:val="nil"/>
                    <w:tr2bl w:val="nil"/>
                  </w:tcBorders>
                  <w:vAlign w:val="center"/>
                </w:tcPr>
                <w:p>
                  <w:pPr>
                    <w:pStyle w:val="14"/>
                    <w:jc w:val="left"/>
                    <w:rPr>
                      <w:rFonts w:eastAsiaTheme="minorEastAsia"/>
                      <w:color w:val="000000" w:themeColor="text1"/>
                      <w:szCs w:val="21"/>
                      <w:lang w:eastAsia="zh-CN"/>
                      <w14:textFill>
                        <w14:solidFill>
                          <w14:schemeClr w14:val="tx1"/>
                        </w14:solidFill>
                      </w14:textFill>
                    </w:rPr>
                  </w:pPr>
                  <w:r>
                    <w:rPr>
                      <w:rFonts w:eastAsiaTheme="minorEastAsia"/>
                      <w:color w:val="000000" w:themeColor="text1"/>
                      <w:szCs w:val="21"/>
                      <w:lang w:eastAsia="zh-CN"/>
                      <w14:textFill>
                        <w14:solidFill>
                          <w14:schemeClr w14:val="tx1"/>
                        </w14:solidFill>
                      </w14:textFill>
                    </w:rPr>
                    <w:t>来自市政供水管网</w:t>
                  </w:r>
                </w:p>
              </w:tc>
              <w:tc>
                <w:tcPr>
                  <w:tcW w:w="443" w:type="pct"/>
                  <w:gridSpan w:val="2"/>
                  <w:tcBorders>
                    <w:tl2br w:val="nil"/>
                    <w:tr2bl w:val="nil"/>
                  </w:tcBorders>
                  <w:vAlign w:val="center"/>
                </w:tcPr>
                <w:p>
                  <w:pPr>
                    <w:pStyle w:val="14"/>
                    <w:rPr>
                      <w:rFonts w:eastAsiaTheme="minorEastAsia"/>
                      <w:color w:val="000000" w:themeColor="text1"/>
                      <w:szCs w:val="21"/>
                      <w14:textFill>
                        <w14:solidFill>
                          <w14:schemeClr w14:val="tx1"/>
                        </w14:solidFill>
                      </w14:textFill>
                    </w:rPr>
                  </w:pPr>
                  <w:r>
                    <w:rPr>
                      <w:rFonts w:eastAsiaTheme="minorEastAsia"/>
                      <w:color w:val="000000" w:themeColor="text1"/>
                      <w:szCs w:val="21"/>
                      <w:lang w:eastAsia="zh-CN"/>
                      <w14:textFill>
                        <w14:solidFill>
                          <w14:schemeClr w14:val="tx1"/>
                        </w14:solidFill>
                      </w14:textFill>
                    </w:rPr>
                    <w:t>依托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gridAfter w:val="1"/>
                <w:wAfter w:w="41" w:type="pct"/>
                <w:cantSplit/>
                <w:trHeight w:val="175" w:hRule="atLeast"/>
                <w:jc w:val="center"/>
              </w:trPr>
              <w:tc>
                <w:tcPr>
                  <w:tcW w:w="397" w:type="pct"/>
                  <w:vMerge w:val="continue"/>
                  <w:tcBorders>
                    <w:tl2br w:val="nil"/>
                    <w:tr2bl w:val="nil"/>
                  </w:tcBorders>
                  <w:vAlign w:val="center"/>
                </w:tcPr>
                <w:p>
                  <w:pPr>
                    <w:pStyle w:val="14"/>
                    <w:rPr>
                      <w:rFonts w:eastAsiaTheme="minorEastAsia"/>
                      <w:color w:val="000000" w:themeColor="text1"/>
                      <w:szCs w:val="21"/>
                      <w14:textFill>
                        <w14:solidFill>
                          <w14:schemeClr w14:val="tx1"/>
                        </w14:solidFill>
                      </w14:textFill>
                    </w:rPr>
                  </w:pPr>
                </w:p>
              </w:tc>
              <w:tc>
                <w:tcPr>
                  <w:tcW w:w="818" w:type="pct"/>
                  <w:gridSpan w:val="3"/>
                  <w:tcBorders>
                    <w:tl2br w:val="nil"/>
                    <w:tr2bl w:val="nil"/>
                  </w:tcBorders>
                  <w:vAlign w:val="center"/>
                </w:tcPr>
                <w:p>
                  <w:pPr>
                    <w:pStyle w:val="14"/>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排水</w:t>
                  </w:r>
                </w:p>
              </w:tc>
              <w:tc>
                <w:tcPr>
                  <w:tcW w:w="3298" w:type="pct"/>
                  <w:gridSpan w:val="2"/>
                  <w:tcBorders>
                    <w:tl2br w:val="nil"/>
                    <w:tr2bl w:val="nil"/>
                  </w:tcBorders>
                  <w:vAlign w:val="center"/>
                </w:tcPr>
                <w:p>
                  <w:pPr>
                    <w:pStyle w:val="14"/>
                    <w:jc w:val="left"/>
                    <w:rPr>
                      <w:rFonts w:eastAsiaTheme="minorEastAsia"/>
                      <w:color w:val="000000" w:themeColor="text1"/>
                      <w:szCs w:val="21"/>
                      <w:lang w:eastAsia="zh-CN"/>
                      <w14:textFill>
                        <w14:solidFill>
                          <w14:schemeClr w14:val="tx1"/>
                        </w14:solidFill>
                      </w14:textFill>
                    </w:rPr>
                  </w:pPr>
                  <w:r>
                    <w:rPr>
                      <w:rFonts w:eastAsiaTheme="minorEastAsia"/>
                      <w:color w:val="000000" w:themeColor="text1"/>
                      <w:szCs w:val="21"/>
                      <w:lang w:eastAsia="zh-CN"/>
                      <w14:textFill>
                        <w14:solidFill>
                          <w14:schemeClr w14:val="tx1"/>
                        </w14:solidFill>
                      </w14:textFill>
                    </w:rPr>
                    <w:t>生活污水通过排水管道排入鄯善县污水处理厂处理；</w:t>
                  </w:r>
                  <w:r>
                    <w:rPr>
                      <w:rFonts w:hint="eastAsia" w:eastAsiaTheme="minorEastAsia"/>
                      <w:color w:val="000000" w:themeColor="text1"/>
                      <w:szCs w:val="21"/>
                      <w:lang w:eastAsia="zh-CN"/>
                      <w14:textFill>
                        <w14:solidFill>
                          <w14:schemeClr w14:val="tx1"/>
                        </w14:solidFill>
                      </w14:textFill>
                    </w:rPr>
                    <w:t>生产车间</w:t>
                  </w:r>
                  <w:r>
                    <w:rPr>
                      <w:rFonts w:eastAsiaTheme="minorEastAsia"/>
                      <w:color w:val="000000" w:themeColor="text1"/>
                      <w:szCs w:val="21"/>
                      <w:lang w:eastAsia="zh-CN"/>
                      <w14:textFill>
                        <w14:solidFill>
                          <w14:schemeClr w14:val="tx1"/>
                        </w14:solidFill>
                      </w14:textFill>
                    </w:rPr>
                    <w:t>地面清洗废水排入污水池通过油水分离器进行处理后由市政管网排至鄯善县污水处理厂处理</w:t>
                  </w:r>
                </w:p>
              </w:tc>
              <w:tc>
                <w:tcPr>
                  <w:tcW w:w="443" w:type="pct"/>
                  <w:gridSpan w:val="2"/>
                  <w:tcBorders>
                    <w:tl2br w:val="nil"/>
                    <w:tr2bl w:val="nil"/>
                  </w:tcBorders>
                  <w:vAlign w:val="center"/>
                </w:tcPr>
                <w:p>
                  <w:pPr>
                    <w:pStyle w:val="14"/>
                    <w:rPr>
                      <w:rFonts w:eastAsiaTheme="minorEastAsia"/>
                      <w:color w:val="000000" w:themeColor="text1"/>
                      <w:szCs w:val="21"/>
                      <w14:textFill>
                        <w14:solidFill>
                          <w14:schemeClr w14:val="tx1"/>
                        </w14:solidFill>
                      </w14:textFill>
                    </w:rPr>
                  </w:pPr>
                  <w:r>
                    <w:rPr>
                      <w:rFonts w:eastAsiaTheme="minorEastAsia"/>
                      <w:color w:val="000000" w:themeColor="text1"/>
                      <w:szCs w:val="21"/>
                      <w:lang w:eastAsia="zh-CN"/>
                      <w14:textFill>
                        <w14:solidFill>
                          <w14:schemeClr w14:val="tx1"/>
                        </w14:solidFill>
                      </w14:textFill>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gridAfter w:val="1"/>
                <w:wAfter w:w="41" w:type="pct"/>
                <w:cantSplit/>
                <w:trHeight w:val="175" w:hRule="atLeast"/>
                <w:jc w:val="center"/>
              </w:trPr>
              <w:tc>
                <w:tcPr>
                  <w:tcW w:w="397" w:type="pct"/>
                  <w:vMerge w:val="continue"/>
                  <w:tcBorders>
                    <w:tl2br w:val="nil"/>
                    <w:tr2bl w:val="nil"/>
                  </w:tcBorders>
                  <w:vAlign w:val="center"/>
                </w:tcPr>
                <w:p>
                  <w:pPr>
                    <w:pStyle w:val="14"/>
                    <w:rPr>
                      <w:rFonts w:eastAsiaTheme="minorEastAsia"/>
                      <w:color w:val="000000" w:themeColor="text1"/>
                      <w:szCs w:val="21"/>
                      <w14:textFill>
                        <w14:solidFill>
                          <w14:schemeClr w14:val="tx1"/>
                        </w14:solidFill>
                      </w14:textFill>
                    </w:rPr>
                  </w:pPr>
                </w:p>
              </w:tc>
              <w:tc>
                <w:tcPr>
                  <w:tcW w:w="818" w:type="pct"/>
                  <w:gridSpan w:val="3"/>
                  <w:tcBorders>
                    <w:tl2br w:val="nil"/>
                    <w:tr2bl w:val="nil"/>
                  </w:tcBorders>
                  <w:vAlign w:val="center"/>
                </w:tcPr>
                <w:p>
                  <w:pPr>
                    <w:pStyle w:val="14"/>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供暖</w:t>
                  </w:r>
                </w:p>
              </w:tc>
              <w:tc>
                <w:tcPr>
                  <w:tcW w:w="3298" w:type="pct"/>
                  <w:gridSpan w:val="2"/>
                  <w:tcBorders>
                    <w:tl2br w:val="nil"/>
                    <w:tr2bl w:val="nil"/>
                  </w:tcBorders>
                  <w:vAlign w:val="center"/>
                </w:tcPr>
                <w:p>
                  <w:pPr>
                    <w:pStyle w:val="14"/>
                    <w:jc w:val="left"/>
                    <w:rPr>
                      <w:rFonts w:eastAsiaTheme="minorEastAsia"/>
                      <w:color w:val="000000" w:themeColor="text1"/>
                      <w:szCs w:val="21"/>
                      <w:lang w:eastAsia="zh-CN"/>
                      <w14:textFill>
                        <w14:solidFill>
                          <w14:schemeClr w14:val="tx1"/>
                        </w14:solidFill>
                      </w14:textFill>
                    </w:rPr>
                  </w:pPr>
                  <w:r>
                    <w:rPr>
                      <w:rFonts w:eastAsiaTheme="minorEastAsia"/>
                      <w:color w:val="000000" w:themeColor="text1"/>
                      <w:szCs w:val="21"/>
                      <w:lang w:eastAsia="zh-CN"/>
                      <w14:textFill>
                        <w14:solidFill>
                          <w14:schemeClr w14:val="tx1"/>
                        </w14:solidFill>
                      </w14:textFill>
                    </w:rPr>
                    <w:t>采暖主要是办公等附属建筑，采用分体式空调</w:t>
                  </w:r>
                </w:p>
              </w:tc>
              <w:tc>
                <w:tcPr>
                  <w:tcW w:w="443" w:type="pct"/>
                  <w:gridSpan w:val="2"/>
                  <w:tcBorders>
                    <w:tl2br w:val="nil"/>
                    <w:tr2bl w:val="nil"/>
                  </w:tcBorders>
                  <w:vAlign w:val="center"/>
                </w:tcPr>
                <w:p>
                  <w:pPr>
                    <w:pStyle w:val="14"/>
                    <w:rPr>
                      <w:rFonts w:eastAsiaTheme="minorEastAsia"/>
                      <w:color w:val="000000" w:themeColor="text1"/>
                      <w:szCs w:val="21"/>
                      <w14:textFill>
                        <w14:solidFill>
                          <w14:schemeClr w14:val="tx1"/>
                        </w14:solidFill>
                      </w14:textFill>
                    </w:rPr>
                  </w:pPr>
                  <w:r>
                    <w:rPr>
                      <w:rFonts w:eastAsiaTheme="minorEastAsia"/>
                      <w:color w:val="000000" w:themeColor="text1"/>
                      <w:szCs w:val="21"/>
                      <w:lang w:eastAsia="zh-CN"/>
                      <w14:textFill>
                        <w14:solidFill>
                          <w14:schemeClr w14:val="tx1"/>
                        </w14:solidFill>
                      </w14:textFill>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cantSplit/>
                <w:trHeight w:val="1003" w:hRule="atLeast"/>
                <w:jc w:val="center"/>
              </w:trPr>
              <w:tc>
                <w:tcPr>
                  <w:tcW w:w="397" w:type="pct"/>
                  <w:gridSpan w:val="2"/>
                  <w:vMerge w:val="restart"/>
                  <w:tcBorders>
                    <w:tl2br w:val="nil"/>
                    <w:tr2bl w:val="nil"/>
                  </w:tcBorders>
                  <w:vAlign w:val="center"/>
                </w:tcPr>
                <w:p>
                  <w:pPr>
                    <w:pStyle w:val="14"/>
                    <w:rPr>
                      <w:rFonts w:eastAsiaTheme="minorEastAsia"/>
                      <w:color w:val="FF0000"/>
                      <w:szCs w:val="21"/>
                    </w:rPr>
                  </w:pPr>
                  <w:r>
                    <w:rPr>
                      <w:rFonts w:eastAsiaTheme="minorEastAsia"/>
                      <w:color w:val="000000" w:themeColor="text1"/>
                      <w:szCs w:val="21"/>
                      <w14:textFill>
                        <w14:solidFill>
                          <w14:schemeClr w14:val="tx1"/>
                        </w14:solidFill>
                      </w14:textFill>
                    </w:rPr>
                    <w:t>环保工程</w:t>
                  </w:r>
                </w:p>
              </w:tc>
              <w:tc>
                <w:tcPr>
                  <w:tcW w:w="225" w:type="pct"/>
                  <w:vMerge w:val="restart"/>
                  <w:tcBorders>
                    <w:tl2br w:val="nil"/>
                    <w:tr2bl w:val="nil"/>
                  </w:tcBorders>
                  <w:vAlign w:val="center"/>
                </w:tcPr>
                <w:p>
                  <w:pPr>
                    <w:pStyle w:val="14"/>
                    <w:rPr>
                      <w:rFonts w:eastAsiaTheme="minorEastAsia"/>
                      <w:color w:val="000000" w:themeColor="text1"/>
                      <w:szCs w:val="21"/>
                      <w:lang w:eastAsia="zh-CN"/>
                      <w14:textFill>
                        <w14:solidFill>
                          <w14:schemeClr w14:val="tx1"/>
                        </w14:solidFill>
                      </w14:textFill>
                    </w:rPr>
                  </w:pPr>
                  <w:r>
                    <w:rPr>
                      <w:rFonts w:eastAsiaTheme="minorEastAsia"/>
                      <w:color w:val="000000" w:themeColor="text1"/>
                      <w:szCs w:val="21"/>
                      <w:lang w:eastAsia="zh-CN"/>
                      <w14:textFill>
                        <w14:solidFill>
                          <w14:schemeClr w14:val="tx1"/>
                        </w14:solidFill>
                      </w14:textFill>
                    </w:rPr>
                    <w:t>废气</w:t>
                  </w:r>
                </w:p>
              </w:tc>
              <w:tc>
                <w:tcPr>
                  <w:tcW w:w="592" w:type="pct"/>
                  <w:gridSpan w:val="2"/>
                  <w:tcBorders>
                    <w:tl2br w:val="nil"/>
                    <w:tr2bl w:val="nil"/>
                  </w:tcBorders>
                  <w:vAlign w:val="center"/>
                </w:tcPr>
                <w:p>
                  <w:pPr>
                    <w:pStyle w:val="14"/>
                    <w:rPr>
                      <w:rFonts w:eastAsiaTheme="minorEastAsia"/>
                      <w:color w:val="000000" w:themeColor="text1"/>
                      <w:szCs w:val="21"/>
                      <w:lang w:eastAsia="zh-CN"/>
                      <w14:textFill>
                        <w14:solidFill>
                          <w14:schemeClr w14:val="tx1"/>
                        </w14:solidFill>
                      </w14:textFill>
                    </w:rPr>
                  </w:pPr>
                  <w:r>
                    <w:rPr>
                      <w:rFonts w:hint="eastAsia" w:eastAsiaTheme="minorEastAsia"/>
                      <w:color w:val="000000" w:themeColor="text1"/>
                      <w:szCs w:val="21"/>
                      <w:lang w:eastAsia="zh-CN"/>
                      <w14:textFill>
                        <w14:solidFill>
                          <w14:schemeClr w14:val="tx1"/>
                        </w14:solidFill>
                      </w14:textFill>
                    </w:rPr>
                    <w:t>拆解、破碎粉尘</w:t>
                  </w:r>
                </w:p>
              </w:tc>
              <w:tc>
                <w:tcPr>
                  <w:tcW w:w="3298" w:type="pct"/>
                  <w:gridSpan w:val="2"/>
                  <w:tcBorders>
                    <w:tl2br w:val="nil"/>
                    <w:tr2bl w:val="nil"/>
                  </w:tcBorders>
                  <w:vAlign w:val="center"/>
                </w:tcPr>
                <w:p>
                  <w:pPr>
                    <w:pStyle w:val="14"/>
                    <w:jc w:val="left"/>
                    <w:rPr>
                      <w:rFonts w:eastAsiaTheme="minorEastAsia"/>
                      <w:color w:val="000000" w:themeColor="text1"/>
                      <w:szCs w:val="21"/>
                      <w:lang w:eastAsia="zh-CN"/>
                      <w14:textFill>
                        <w14:solidFill>
                          <w14:schemeClr w14:val="tx1"/>
                        </w14:solidFill>
                      </w14:textFill>
                    </w:rPr>
                  </w:pPr>
                  <w:r>
                    <w:rPr>
                      <w:rFonts w:eastAsiaTheme="minorEastAsia"/>
                      <w:color w:val="000000" w:themeColor="text1"/>
                      <w:szCs w:val="21"/>
                      <w:lang w:eastAsia="zh-CN"/>
                      <w14:textFill>
                        <w14:solidFill>
                          <w14:schemeClr w14:val="tx1"/>
                        </w14:solidFill>
                      </w14:textFill>
                    </w:rPr>
                    <w:t>本项目废钢、废铝、废铜、报废汽车、废旧五金、废旧家电拆解、切割、破碎等工序均设置于封闭式车间内，产生的粉尘经集气罩收集，通过风机统一引至1套布袋除尘器进行处理后由1根15m高排气筒（DA001）排放</w:t>
                  </w:r>
                </w:p>
              </w:tc>
              <w:tc>
                <w:tcPr>
                  <w:tcW w:w="484" w:type="pct"/>
                  <w:gridSpan w:val="2"/>
                  <w:tcBorders>
                    <w:tl2br w:val="nil"/>
                    <w:tr2bl w:val="nil"/>
                  </w:tcBorders>
                  <w:vAlign w:val="center"/>
                </w:tcPr>
                <w:p>
                  <w:pPr>
                    <w:pStyle w:val="14"/>
                    <w:rPr>
                      <w:rFonts w:eastAsiaTheme="minorEastAsia"/>
                      <w:color w:val="000000" w:themeColor="text1"/>
                      <w:szCs w:val="21"/>
                      <w:lang w:eastAsia="zh-CN"/>
                      <w14:textFill>
                        <w14:solidFill>
                          <w14:schemeClr w14:val="tx1"/>
                        </w14:solidFill>
                      </w14:textFill>
                    </w:rPr>
                  </w:pPr>
                  <w:r>
                    <w:rPr>
                      <w:rFonts w:eastAsiaTheme="minorEastAsia"/>
                      <w:color w:val="000000" w:themeColor="text1"/>
                      <w:szCs w:val="21"/>
                      <w:lang w:eastAsia="zh-CN"/>
                      <w14:textFill>
                        <w14:solidFill>
                          <w14:schemeClr w14:val="tx1"/>
                        </w14:solidFill>
                      </w14:textFill>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cantSplit/>
                <w:trHeight w:val="791" w:hRule="atLeast"/>
                <w:jc w:val="center"/>
              </w:trPr>
              <w:tc>
                <w:tcPr>
                  <w:tcW w:w="397" w:type="pct"/>
                  <w:gridSpan w:val="2"/>
                  <w:vMerge w:val="continue"/>
                  <w:tcBorders>
                    <w:tl2br w:val="nil"/>
                    <w:tr2bl w:val="nil"/>
                  </w:tcBorders>
                  <w:vAlign w:val="center"/>
                </w:tcPr>
                <w:p>
                  <w:pPr>
                    <w:pStyle w:val="14"/>
                  </w:pPr>
                </w:p>
              </w:tc>
              <w:tc>
                <w:tcPr>
                  <w:tcW w:w="225" w:type="pct"/>
                  <w:vMerge w:val="continue"/>
                  <w:tcBorders>
                    <w:tl2br w:val="nil"/>
                    <w:tr2bl w:val="nil"/>
                  </w:tcBorders>
                  <w:vAlign w:val="center"/>
                </w:tcPr>
                <w:p>
                  <w:pPr>
                    <w:pStyle w:val="14"/>
                    <w:rPr>
                      <w:color w:val="000000" w:themeColor="text1"/>
                      <w14:textFill>
                        <w14:solidFill>
                          <w14:schemeClr w14:val="tx1"/>
                        </w14:solidFill>
                      </w14:textFill>
                    </w:rPr>
                  </w:pPr>
                </w:p>
              </w:tc>
              <w:tc>
                <w:tcPr>
                  <w:tcW w:w="592" w:type="pct"/>
                  <w:gridSpan w:val="2"/>
                  <w:tcBorders>
                    <w:tl2br w:val="nil"/>
                    <w:tr2bl w:val="nil"/>
                  </w:tcBorders>
                  <w:vAlign w:val="center"/>
                </w:tcPr>
                <w:p>
                  <w:pPr>
                    <w:pStyle w:val="14"/>
                    <w:rPr>
                      <w:rFonts w:hint="default" w:eastAsiaTheme="minorEastAsia"/>
                      <w:color w:val="000000" w:themeColor="text1"/>
                      <w:szCs w:val="21"/>
                      <w:lang w:val="en-US" w:eastAsia="zh-CN"/>
                      <w14:textFill>
                        <w14:solidFill>
                          <w14:schemeClr w14:val="tx1"/>
                        </w14:solidFill>
                      </w14:textFill>
                    </w:rPr>
                  </w:pPr>
                  <w:r>
                    <w:rPr>
                      <w:rFonts w:hint="eastAsia" w:eastAsiaTheme="minorEastAsia"/>
                      <w:color w:val="000000" w:themeColor="text1"/>
                      <w:szCs w:val="21"/>
                      <w:lang w:eastAsia="zh-CN"/>
                      <w14:textFill>
                        <w14:solidFill>
                          <w14:schemeClr w14:val="tx1"/>
                        </w14:solidFill>
                      </w14:textFill>
                    </w:rPr>
                    <w:t>车辆与处理有机废气、</w:t>
                  </w:r>
                  <w:r>
                    <w:rPr>
                      <w:rFonts w:hint="eastAsia" w:eastAsiaTheme="minorEastAsia"/>
                      <w:color w:val="000000" w:themeColor="text1"/>
                      <w:szCs w:val="21"/>
                      <w:lang w:val="en-US" w:eastAsia="zh-CN"/>
                      <w14:textFill>
                        <w14:solidFill>
                          <w14:schemeClr w14:val="tx1"/>
                        </w14:solidFill>
                      </w14:textFill>
                    </w:rPr>
                    <w:t>制冷剂抽取有机废气</w:t>
                  </w:r>
                </w:p>
              </w:tc>
              <w:tc>
                <w:tcPr>
                  <w:tcW w:w="3298" w:type="pct"/>
                  <w:gridSpan w:val="2"/>
                  <w:tcBorders>
                    <w:tl2br w:val="nil"/>
                    <w:tr2bl w:val="nil"/>
                  </w:tcBorders>
                  <w:vAlign w:val="center"/>
                </w:tcPr>
                <w:p>
                  <w:pPr>
                    <w:pStyle w:val="14"/>
                    <w:rPr>
                      <w:rFonts w:eastAsiaTheme="minorEastAsia"/>
                      <w:color w:val="000000" w:themeColor="text1"/>
                      <w:szCs w:val="21"/>
                      <w:lang w:eastAsia="zh-CN"/>
                      <w14:textFill>
                        <w14:solidFill>
                          <w14:schemeClr w14:val="tx1"/>
                        </w14:solidFill>
                      </w14:textFill>
                    </w:rPr>
                  </w:pPr>
                  <w:r>
                    <w:rPr>
                      <w:rFonts w:eastAsiaTheme="minorEastAsia"/>
                      <w:color w:val="000000" w:themeColor="text1"/>
                      <w:szCs w:val="21"/>
                      <w:lang w:eastAsia="zh-CN"/>
                      <w14:textFill>
                        <w14:solidFill>
                          <w14:schemeClr w14:val="tx1"/>
                        </w14:solidFill>
                      </w14:textFill>
                    </w:rPr>
                    <w:t>报废汽车预处理</w:t>
                  </w:r>
                  <w:r>
                    <w:rPr>
                      <w:rFonts w:hint="eastAsia" w:eastAsiaTheme="minorEastAsia"/>
                      <w:color w:val="000000" w:themeColor="text1"/>
                      <w:szCs w:val="21"/>
                      <w:lang w:eastAsia="zh-CN"/>
                      <w14:textFill>
                        <w14:solidFill>
                          <w14:schemeClr w14:val="tx1"/>
                        </w14:solidFill>
                      </w14:textFill>
                    </w:rPr>
                    <w:t>抽取废油时</w:t>
                  </w:r>
                  <w:r>
                    <w:rPr>
                      <w:rFonts w:eastAsiaTheme="minorEastAsia"/>
                      <w:color w:val="000000" w:themeColor="text1"/>
                      <w:szCs w:val="21"/>
                      <w:lang w:eastAsia="zh-CN"/>
                      <w14:textFill>
                        <w14:solidFill>
                          <w14:schemeClr w14:val="tx1"/>
                        </w14:solidFill>
                      </w14:textFill>
                    </w:rPr>
                    <w:t>产生的有机废气非甲烷总烃</w:t>
                  </w:r>
                  <w:r>
                    <w:rPr>
                      <w:rFonts w:hint="eastAsia" w:eastAsiaTheme="minorEastAsia"/>
                      <w:color w:val="000000" w:themeColor="text1"/>
                      <w:szCs w:val="21"/>
                      <w:lang w:val="en-US" w:eastAsia="zh-CN"/>
                      <w14:textFill>
                        <w14:solidFill>
                          <w14:schemeClr w14:val="tx1"/>
                        </w14:solidFill>
                      </w14:textFill>
                    </w:rPr>
                    <w:t>和废旧冰箱、废旧空调制冷剂抽取产生的非甲烷总烃</w:t>
                  </w:r>
                  <w:r>
                    <w:rPr>
                      <w:rFonts w:eastAsiaTheme="minorEastAsia"/>
                      <w:color w:val="000000" w:themeColor="text1"/>
                      <w:szCs w:val="21"/>
                      <w:lang w:eastAsia="zh-CN"/>
                      <w14:textFill>
                        <w14:solidFill>
                          <w14:schemeClr w14:val="tx1"/>
                        </w14:solidFill>
                      </w14:textFill>
                    </w:rPr>
                    <w:t>经集气罩收集通过1套活性炭吸附装置处理后由1根15m高排气筒（DA002）排放</w:t>
                  </w:r>
                </w:p>
              </w:tc>
              <w:tc>
                <w:tcPr>
                  <w:tcW w:w="484" w:type="pct"/>
                  <w:gridSpan w:val="2"/>
                  <w:tcBorders>
                    <w:tl2br w:val="nil"/>
                    <w:tr2bl w:val="nil"/>
                  </w:tcBorders>
                  <w:vAlign w:val="center"/>
                </w:tcPr>
                <w:p>
                  <w:pPr>
                    <w:adjustRightInd w:val="0"/>
                    <w:snapToGrid w:val="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cantSplit/>
                <w:trHeight w:val="474" w:hRule="atLeast"/>
                <w:jc w:val="center"/>
              </w:trPr>
              <w:tc>
                <w:tcPr>
                  <w:tcW w:w="397" w:type="pct"/>
                  <w:gridSpan w:val="2"/>
                  <w:vMerge w:val="continue"/>
                  <w:tcBorders>
                    <w:tl2br w:val="nil"/>
                    <w:tr2bl w:val="nil"/>
                  </w:tcBorders>
                  <w:vAlign w:val="center"/>
                </w:tcPr>
                <w:p>
                  <w:pPr>
                    <w:pStyle w:val="14"/>
                    <w:rPr>
                      <w:rFonts w:eastAsiaTheme="minorEastAsia"/>
                      <w:color w:val="FF0000"/>
                      <w:szCs w:val="21"/>
                      <w:lang w:eastAsia="zh-CN"/>
                    </w:rPr>
                  </w:pPr>
                </w:p>
              </w:tc>
              <w:tc>
                <w:tcPr>
                  <w:tcW w:w="225" w:type="pct"/>
                  <w:vMerge w:val="continue"/>
                  <w:tcBorders>
                    <w:tl2br w:val="nil"/>
                    <w:tr2bl w:val="nil"/>
                  </w:tcBorders>
                  <w:vAlign w:val="center"/>
                </w:tcPr>
                <w:p>
                  <w:pPr>
                    <w:pStyle w:val="14"/>
                    <w:rPr>
                      <w:rFonts w:eastAsiaTheme="minorEastAsia"/>
                      <w:color w:val="000000" w:themeColor="text1"/>
                      <w:szCs w:val="21"/>
                      <w:lang w:eastAsia="zh-CN"/>
                      <w14:textFill>
                        <w14:solidFill>
                          <w14:schemeClr w14:val="tx1"/>
                        </w14:solidFill>
                      </w14:textFill>
                    </w:rPr>
                  </w:pPr>
                </w:p>
              </w:tc>
              <w:tc>
                <w:tcPr>
                  <w:tcW w:w="592" w:type="pct"/>
                  <w:gridSpan w:val="2"/>
                  <w:tcBorders>
                    <w:tl2br w:val="nil"/>
                    <w:tr2bl w:val="nil"/>
                  </w:tcBorders>
                  <w:vAlign w:val="center"/>
                </w:tcPr>
                <w:p>
                  <w:pPr>
                    <w:pStyle w:val="14"/>
                    <w:rPr>
                      <w:rFonts w:eastAsiaTheme="minorEastAsia"/>
                      <w:color w:val="000000" w:themeColor="text1"/>
                      <w:szCs w:val="21"/>
                      <w:lang w:eastAsia="zh-CN"/>
                      <w14:textFill>
                        <w14:solidFill>
                          <w14:schemeClr w14:val="tx1"/>
                        </w14:solidFill>
                      </w14:textFill>
                    </w:rPr>
                  </w:pPr>
                  <w:r>
                    <w:rPr>
                      <w:rFonts w:hint="eastAsia" w:eastAsiaTheme="minorEastAsia"/>
                      <w:color w:val="000000" w:themeColor="text1"/>
                      <w:szCs w:val="21"/>
                      <w:lang w:eastAsia="zh-CN"/>
                      <w14:textFill>
                        <w14:solidFill>
                          <w14:schemeClr w14:val="tx1"/>
                        </w14:solidFill>
                      </w14:textFill>
                    </w:rPr>
                    <w:t>食堂油烟</w:t>
                  </w:r>
                </w:p>
              </w:tc>
              <w:tc>
                <w:tcPr>
                  <w:tcW w:w="3298" w:type="pct"/>
                  <w:gridSpan w:val="2"/>
                  <w:tcBorders>
                    <w:tl2br w:val="nil"/>
                    <w:tr2bl w:val="nil"/>
                  </w:tcBorders>
                  <w:vAlign w:val="center"/>
                </w:tcPr>
                <w:p>
                  <w:pPr>
                    <w:pStyle w:val="14"/>
                    <w:rPr>
                      <w:rFonts w:eastAsiaTheme="minorEastAsia"/>
                      <w:color w:val="000000" w:themeColor="text1"/>
                      <w:szCs w:val="21"/>
                      <w:lang w:eastAsia="zh-CN"/>
                      <w14:textFill>
                        <w14:solidFill>
                          <w14:schemeClr w14:val="tx1"/>
                        </w14:solidFill>
                      </w14:textFill>
                    </w:rPr>
                  </w:pPr>
                  <w:r>
                    <w:rPr>
                      <w:rFonts w:eastAsiaTheme="minorEastAsia"/>
                      <w:color w:val="000000" w:themeColor="text1"/>
                      <w:szCs w:val="21"/>
                      <w:lang w:eastAsia="zh-CN"/>
                      <w14:textFill>
                        <w14:solidFill>
                          <w14:schemeClr w14:val="tx1"/>
                        </w14:solidFill>
                      </w14:textFill>
                    </w:rPr>
                    <w:t>运营期食堂油烟通过油烟净化器进行处理后由管道引至房顶排放</w:t>
                  </w:r>
                </w:p>
              </w:tc>
              <w:tc>
                <w:tcPr>
                  <w:tcW w:w="484" w:type="pct"/>
                  <w:gridSpan w:val="2"/>
                  <w:tcBorders>
                    <w:tl2br w:val="nil"/>
                    <w:tr2bl w:val="nil"/>
                  </w:tcBorders>
                  <w:vAlign w:val="center"/>
                </w:tcPr>
                <w:p>
                  <w:pPr>
                    <w:adjustRightInd w:val="0"/>
                    <w:snapToGrid w:val="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gridAfter w:val="1"/>
                <w:wAfter w:w="41" w:type="pct"/>
                <w:cantSplit/>
                <w:trHeight w:val="70" w:hRule="atLeast"/>
                <w:jc w:val="center"/>
              </w:trPr>
              <w:tc>
                <w:tcPr>
                  <w:tcW w:w="397" w:type="pct"/>
                  <w:vMerge w:val="continue"/>
                  <w:tcBorders>
                    <w:tl2br w:val="nil"/>
                    <w:tr2bl w:val="nil"/>
                  </w:tcBorders>
                  <w:vAlign w:val="center"/>
                </w:tcPr>
                <w:p>
                  <w:pPr>
                    <w:pStyle w:val="14"/>
                    <w:rPr>
                      <w:rFonts w:eastAsiaTheme="minorEastAsia"/>
                      <w:color w:val="FF0000"/>
                      <w:szCs w:val="21"/>
                      <w:lang w:eastAsia="zh-CN"/>
                    </w:rPr>
                  </w:pPr>
                </w:p>
              </w:tc>
              <w:tc>
                <w:tcPr>
                  <w:tcW w:w="818" w:type="pct"/>
                  <w:gridSpan w:val="3"/>
                  <w:tcBorders>
                    <w:tl2br w:val="nil"/>
                    <w:tr2bl w:val="nil"/>
                  </w:tcBorders>
                  <w:vAlign w:val="center"/>
                </w:tcPr>
                <w:p>
                  <w:pPr>
                    <w:pStyle w:val="14"/>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废水</w:t>
                  </w:r>
                </w:p>
              </w:tc>
              <w:tc>
                <w:tcPr>
                  <w:tcW w:w="3298" w:type="pct"/>
                  <w:gridSpan w:val="2"/>
                  <w:tcBorders>
                    <w:tl2br w:val="nil"/>
                    <w:tr2bl w:val="nil"/>
                  </w:tcBorders>
                  <w:vAlign w:val="center"/>
                </w:tcPr>
                <w:p>
                  <w:pPr>
                    <w:pStyle w:val="14"/>
                    <w:jc w:val="left"/>
                    <w:rPr>
                      <w:rFonts w:eastAsiaTheme="minorEastAsia"/>
                      <w:color w:val="000000" w:themeColor="text1"/>
                      <w:szCs w:val="21"/>
                      <w:lang w:eastAsia="zh-CN"/>
                      <w14:textFill>
                        <w14:solidFill>
                          <w14:schemeClr w14:val="tx1"/>
                        </w14:solidFill>
                      </w14:textFill>
                    </w:rPr>
                  </w:pPr>
                  <w:r>
                    <w:rPr>
                      <w:rFonts w:eastAsiaTheme="minorEastAsia"/>
                      <w:color w:val="000000" w:themeColor="text1"/>
                      <w:szCs w:val="21"/>
                      <w:lang w:eastAsia="zh-CN"/>
                      <w14:textFill>
                        <w14:solidFill>
                          <w14:schemeClr w14:val="tx1"/>
                        </w14:solidFill>
                      </w14:textFill>
                    </w:rPr>
                    <w:t>生活污水通过排水管道排入鄯善县污水处理厂处理；地面清洗废水排入污水池通过油水分离器进行处理后由市政管网排至鄯善县污水处理厂处理</w:t>
                  </w:r>
                </w:p>
              </w:tc>
              <w:tc>
                <w:tcPr>
                  <w:tcW w:w="443" w:type="pct"/>
                  <w:gridSpan w:val="2"/>
                  <w:tcBorders>
                    <w:tl2br w:val="nil"/>
                    <w:tr2bl w:val="nil"/>
                  </w:tcBorders>
                  <w:vAlign w:val="center"/>
                </w:tcPr>
                <w:p>
                  <w:pPr>
                    <w:pStyle w:val="14"/>
                    <w:rPr>
                      <w:rFonts w:eastAsiaTheme="minorEastAsia"/>
                      <w:color w:val="000000" w:themeColor="text1"/>
                      <w:szCs w:val="21"/>
                      <w:lang w:eastAsia="zh-CN"/>
                      <w14:textFill>
                        <w14:solidFill>
                          <w14:schemeClr w14:val="tx1"/>
                        </w14:solidFill>
                      </w14:textFill>
                    </w:rPr>
                  </w:pPr>
                  <w:r>
                    <w:rPr>
                      <w:rFonts w:eastAsiaTheme="minorEastAsia"/>
                      <w:color w:val="000000" w:themeColor="text1"/>
                      <w:szCs w:val="21"/>
                      <w:lang w:eastAsia="zh-CN"/>
                      <w14:textFill>
                        <w14:solidFill>
                          <w14:schemeClr w14:val="tx1"/>
                        </w14:solidFill>
                      </w14:textFill>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gridAfter w:val="1"/>
                <w:wAfter w:w="41" w:type="pct"/>
                <w:cantSplit/>
                <w:trHeight w:val="70" w:hRule="atLeast"/>
                <w:jc w:val="center"/>
              </w:trPr>
              <w:tc>
                <w:tcPr>
                  <w:tcW w:w="397" w:type="pct"/>
                  <w:vMerge w:val="continue"/>
                  <w:tcBorders>
                    <w:tl2br w:val="nil"/>
                    <w:tr2bl w:val="nil"/>
                  </w:tcBorders>
                  <w:vAlign w:val="center"/>
                </w:tcPr>
                <w:p>
                  <w:pPr>
                    <w:pStyle w:val="14"/>
                    <w:rPr>
                      <w:rFonts w:eastAsiaTheme="minorEastAsia"/>
                      <w:color w:val="FF0000"/>
                      <w:szCs w:val="21"/>
                    </w:rPr>
                  </w:pPr>
                </w:p>
              </w:tc>
              <w:tc>
                <w:tcPr>
                  <w:tcW w:w="818" w:type="pct"/>
                  <w:gridSpan w:val="3"/>
                  <w:tcBorders>
                    <w:tl2br w:val="nil"/>
                    <w:tr2bl w:val="nil"/>
                  </w:tcBorders>
                  <w:vAlign w:val="center"/>
                </w:tcPr>
                <w:p>
                  <w:pPr>
                    <w:pStyle w:val="14"/>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噪声</w:t>
                  </w:r>
                </w:p>
              </w:tc>
              <w:tc>
                <w:tcPr>
                  <w:tcW w:w="3298" w:type="pct"/>
                  <w:gridSpan w:val="2"/>
                  <w:tcBorders>
                    <w:tl2br w:val="nil"/>
                    <w:tr2bl w:val="nil"/>
                  </w:tcBorders>
                  <w:vAlign w:val="center"/>
                </w:tcPr>
                <w:p>
                  <w:pPr>
                    <w:pStyle w:val="14"/>
                    <w:jc w:val="left"/>
                    <w:rPr>
                      <w:rFonts w:eastAsiaTheme="minorEastAsia"/>
                      <w:color w:val="000000" w:themeColor="text1"/>
                      <w:szCs w:val="21"/>
                      <w:lang w:eastAsia="zh-CN"/>
                      <w14:textFill>
                        <w14:solidFill>
                          <w14:schemeClr w14:val="tx1"/>
                        </w14:solidFill>
                      </w14:textFill>
                    </w:rPr>
                  </w:pPr>
                  <w:r>
                    <w:rPr>
                      <w:rFonts w:eastAsiaTheme="minorEastAsia"/>
                      <w:color w:val="000000" w:themeColor="text1"/>
                      <w:szCs w:val="21"/>
                      <w:lang w:eastAsia="zh-CN"/>
                      <w14:textFill>
                        <w14:solidFill>
                          <w14:schemeClr w14:val="tx1"/>
                        </w14:solidFill>
                      </w14:textFill>
                    </w:rPr>
                    <w:t>基础减振，车间隔声，并加强设备维护保养。</w:t>
                  </w:r>
                </w:p>
              </w:tc>
              <w:tc>
                <w:tcPr>
                  <w:tcW w:w="443" w:type="pct"/>
                  <w:gridSpan w:val="2"/>
                  <w:tcBorders>
                    <w:tl2br w:val="nil"/>
                    <w:tr2bl w:val="nil"/>
                  </w:tcBorders>
                  <w:vAlign w:val="center"/>
                </w:tcPr>
                <w:p>
                  <w:pPr>
                    <w:pStyle w:val="14"/>
                    <w:rPr>
                      <w:rFonts w:eastAsiaTheme="minorEastAsia"/>
                      <w:color w:val="000000" w:themeColor="text1"/>
                      <w:szCs w:val="21"/>
                      <w14:textFill>
                        <w14:solidFill>
                          <w14:schemeClr w14:val="tx1"/>
                        </w14:solidFill>
                      </w14:textFill>
                    </w:rPr>
                  </w:pPr>
                  <w:r>
                    <w:rPr>
                      <w:rFonts w:eastAsiaTheme="minorEastAsia"/>
                      <w:color w:val="000000" w:themeColor="text1"/>
                      <w:szCs w:val="21"/>
                      <w:lang w:eastAsia="zh-CN"/>
                      <w14:textFill>
                        <w14:solidFill>
                          <w14:schemeClr w14:val="tx1"/>
                        </w14:solidFill>
                      </w14:textFill>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cantSplit/>
                <w:trHeight w:val="635" w:hRule="atLeast"/>
                <w:jc w:val="center"/>
              </w:trPr>
              <w:tc>
                <w:tcPr>
                  <w:tcW w:w="397" w:type="pct"/>
                  <w:gridSpan w:val="2"/>
                  <w:vMerge w:val="continue"/>
                  <w:tcBorders>
                    <w:tl2br w:val="nil"/>
                    <w:tr2bl w:val="nil"/>
                  </w:tcBorders>
                  <w:vAlign w:val="center"/>
                </w:tcPr>
                <w:p>
                  <w:pPr>
                    <w:pStyle w:val="14"/>
                    <w:rPr>
                      <w:rFonts w:eastAsiaTheme="minorEastAsia"/>
                      <w:color w:val="FF0000"/>
                      <w:szCs w:val="21"/>
                    </w:rPr>
                  </w:pPr>
                </w:p>
              </w:tc>
              <w:tc>
                <w:tcPr>
                  <w:tcW w:w="225" w:type="pct"/>
                  <w:vMerge w:val="restart"/>
                  <w:tcBorders>
                    <w:tl2br w:val="nil"/>
                    <w:tr2bl w:val="nil"/>
                  </w:tcBorders>
                  <w:vAlign w:val="center"/>
                </w:tcPr>
                <w:p>
                  <w:pPr>
                    <w:pStyle w:val="14"/>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固废</w:t>
                  </w:r>
                </w:p>
              </w:tc>
              <w:tc>
                <w:tcPr>
                  <w:tcW w:w="592" w:type="pct"/>
                  <w:gridSpan w:val="2"/>
                  <w:tcBorders>
                    <w:tl2br w:val="nil"/>
                    <w:tr2bl w:val="nil"/>
                  </w:tcBorders>
                  <w:vAlign w:val="center"/>
                </w:tcPr>
                <w:p>
                  <w:pPr>
                    <w:pStyle w:val="14"/>
                    <w:rPr>
                      <w:rFonts w:eastAsiaTheme="minorEastAsia"/>
                      <w:color w:val="000000" w:themeColor="text1"/>
                      <w:szCs w:val="21"/>
                      <w14:textFill>
                        <w14:solidFill>
                          <w14:schemeClr w14:val="tx1"/>
                        </w14:solidFill>
                      </w14:textFill>
                    </w:rPr>
                  </w:pPr>
                  <w:r>
                    <w:rPr>
                      <w:rFonts w:eastAsiaTheme="minorEastAsia"/>
                      <w:color w:val="000000" w:themeColor="text1"/>
                      <w:szCs w:val="21"/>
                      <w:lang w:eastAsia="zh-CN"/>
                      <w14:textFill>
                        <w14:solidFill>
                          <w14:schemeClr w14:val="tx1"/>
                        </w14:solidFill>
                      </w14:textFill>
                    </w:rPr>
                    <w:t>生活垃圾</w:t>
                  </w:r>
                </w:p>
              </w:tc>
              <w:tc>
                <w:tcPr>
                  <w:tcW w:w="3298" w:type="pct"/>
                  <w:gridSpan w:val="2"/>
                  <w:tcBorders>
                    <w:tl2br w:val="nil"/>
                    <w:tr2bl w:val="nil"/>
                  </w:tcBorders>
                  <w:vAlign w:val="center"/>
                </w:tcPr>
                <w:p>
                  <w:pPr>
                    <w:pStyle w:val="14"/>
                    <w:jc w:val="left"/>
                    <w:rPr>
                      <w:rFonts w:eastAsiaTheme="minorEastAsia"/>
                      <w:color w:val="000000" w:themeColor="text1"/>
                      <w:szCs w:val="21"/>
                      <w:lang w:eastAsia="zh-CN"/>
                      <w14:textFill>
                        <w14:solidFill>
                          <w14:schemeClr w14:val="tx1"/>
                        </w14:solidFill>
                      </w14:textFill>
                    </w:rPr>
                  </w:pPr>
                  <w:r>
                    <w:rPr>
                      <w:rFonts w:eastAsiaTheme="minorEastAsia"/>
                      <w:color w:val="000000" w:themeColor="text1"/>
                      <w:szCs w:val="21"/>
                      <w:lang w:eastAsia="zh-CN"/>
                      <w14:textFill>
                        <w14:solidFill>
                          <w14:schemeClr w14:val="tx1"/>
                        </w14:solidFill>
                      </w14:textFill>
                    </w:rPr>
                    <w:t>本项目生活垃圾由垃圾桶收集，由市政环卫统一清运处理。</w:t>
                  </w:r>
                </w:p>
              </w:tc>
              <w:tc>
                <w:tcPr>
                  <w:tcW w:w="484" w:type="pct"/>
                  <w:gridSpan w:val="2"/>
                  <w:tcBorders>
                    <w:tl2br w:val="nil"/>
                    <w:tr2bl w:val="nil"/>
                  </w:tcBorders>
                  <w:vAlign w:val="center"/>
                </w:tcPr>
                <w:p>
                  <w:pPr>
                    <w:pStyle w:val="14"/>
                    <w:rPr>
                      <w:rFonts w:eastAsiaTheme="minorEastAsia"/>
                      <w:color w:val="000000" w:themeColor="text1"/>
                      <w:szCs w:val="21"/>
                      <w:lang w:eastAsia="zh-CN"/>
                      <w14:textFill>
                        <w14:solidFill>
                          <w14:schemeClr w14:val="tx1"/>
                        </w14:solidFill>
                      </w14:textFill>
                    </w:rPr>
                  </w:pPr>
                  <w:r>
                    <w:rPr>
                      <w:rFonts w:eastAsiaTheme="minorEastAsia"/>
                      <w:color w:val="000000" w:themeColor="text1"/>
                      <w:szCs w:val="21"/>
                      <w:lang w:eastAsia="zh-CN"/>
                      <w14:textFill>
                        <w14:solidFill>
                          <w14:schemeClr w14:val="tx1"/>
                        </w14:solidFill>
                      </w14:textFill>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cantSplit/>
                <w:trHeight w:val="635" w:hRule="atLeast"/>
                <w:jc w:val="center"/>
              </w:trPr>
              <w:tc>
                <w:tcPr>
                  <w:tcW w:w="397" w:type="pct"/>
                  <w:gridSpan w:val="2"/>
                  <w:vMerge w:val="continue"/>
                  <w:tcBorders>
                    <w:tl2br w:val="nil"/>
                    <w:tr2bl w:val="nil"/>
                  </w:tcBorders>
                  <w:vAlign w:val="center"/>
                </w:tcPr>
                <w:p>
                  <w:pPr>
                    <w:pStyle w:val="14"/>
                    <w:rPr>
                      <w:rFonts w:eastAsiaTheme="minorEastAsia"/>
                    </w:rPr>
                  </w:pPr>
                </w:p>
              </w:tc>
              <w:tc>
                <w:tcPr>
                  <w:tcW w:w="225" w:type="pct"/>
                  <w:vMerge w:val="continue"/>
                  <w:tcBorders>
                    <w:tl2br w:val="nil"/>
                    <w:tr2bl w:val="nil"/>
                  </w:tcBorders>
                  <w:vAlign w:val="center"/>
                </w:tcPr>
                <w:p>
                  <w:pPr>
                    <w:pStyle w:val="14"/>
                    <w:rPr>
                      <w:rFonts w:eastAsiaTheme="minorEastAsia"/>
                      <w:color w:val="000000" w:themeColor="text1"/>
                      <w14:textFill>
                        <w14:solidFill>
                          <w14:schemeClr w14:val="tx1"/>
                        </w14:solidFill>
                      </w14:textFill>
                    </w:rPr>
                  </w:pPr>
                </w:p>
              </w:tc>
              <w:tc>
                <w:tcPr>
                  <w:tcW w:w="592" w:type="pct"/>
                  <w:gridSpan w:val="2"/>
                  <w:tcBorders>
                    <w:tl2br w:val="nil"/>
                    <w:tr2bl w:val="nil"/>
                  </w:tcBorders>
                  <w:vAlign w:val="center"/>
                </w:tcPr>
                <w:p>
                  <w:pPr>
                    <w:pStyle w:val="14"/>
                    <w:rPr>
                      <w:rFonts w:eastAsiaTheme="minorEastAsia"/>
                      <w:color w:val="000000" w:themeColor="text1"/>
                      <w:szCs w:val="21"/>
                      <w14:textFill>
                        <w14:solidFill>
                          <w14:schemeClr w14:val="tx1"/>
                        </w14:solidFill>
                      </w14:textFill>
                    </w:rPr>
                  </w:pPr>
                  <w:r>
                    <w:rPr>
                      <w:rFonts w:eastAsiaTheme="minorEastAsia"/>
                      <w:color w:val="000000" w:themeColor="text1"/>
                      <w:szCs w:val="21"/>
                      <w:lang w:eastAsia="zh-CN"/>
                      <w14:textFill>
                        <w14:solidFill>
                          <w14:schemeClr w14:val="tx1"/>
                        </w14:solidFill>
                      </w14:textFill>
                    </w:rPr>
                    <w:t>一般固体废物</w:t>
                  </w:r>
                </w:p>
              </w:tc>
              <w:tc>
                <w:tcPr>
                  <w:tcW w:w="3298" w:type="pct"/>
                  <w:gridSpan w:val="2"/>
                  <w:tcBorders>
                    <w:tl2br w:val="nil"/>
                    <w:tr2bl w:val="nil"/>
                  </w:tcBorders>
                  <w:vAlign w:val="center"/>
                </w:tcPr>
                <w:p>
                  <w:pPr>
                    <w:pStyle w:val="14"/>
                    <w:jc w:val="left"/>
                    <w:rPr>
                      <w:rFonts w:eastAsiaTheme="minorEastAsia"/>
                      <w:color w:val="000000" w:themeColor="text1"/>
                      <w:szCs w:val="21"/>
                      <w:lang w:eastAsia="zh-CN"/>
                      <w14:textFill>
                        <w14:solidFill>
                          <w14:schemeClr w14:val="tx1"/>
                        </w14:solidFill>
                      </w14:textFill>
                    </w:rPr>
                  </w:pPr>
                  <w:r>
                    <w:rPr>
                      <w:rFonts w:eastAsiaTheme="minorEastAsia"/>
                      <w:color w:val="000000" w:themeColor="text1"/>
                      <w:szCs w:val="21"/>
                      <w:lang w:eastAsia="zh-CN"/>
                      <w14:textFill>
                        <w14:solidFill>
                          <w14:schemeClr w14:val="tx1"/>
                        </w14:solidFill>
                      </w14:textFill>
                    </w:rPr>
                    <w:t>废钢、废铝、废铜加工杂质、皮布制品、气囊、废绝缘纸、废橡胶、废电线、废电子杂件、粉尘、不可利用材料等一般固体废物分类收集后能回收综合利用的回收综合利用，不可回收综合利用的暂存于一般固废堆放区，由环卫部门统一清运。</w:t>
                  </w:r>
                </w:p>
              </w:tc>
              <w:tc>
                <w:tcPr>
                  <w:tcW w:w="484" w:type="pct"/>
                  <w:gridSpan w:val="2"/>
                  <w:tcBorders>
                    <w:tl2br w:val="nil"/>
                    <w:tr2bl w:val="nil"/>
                  </w:tcBorders>
                  <w:vAlign w:val="center"/>
                </w:tcPr>
                <w:p>
                  <w:pPr>
                    <w:adjustRightInd w:val="0"/>
                    <w:snapToGrid w:val="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cantSplit/>
                <w:trHeight w:val="635" w:hRule="atLeast"/>
                <w:jc w:val="center"/>
              </w:trPr>
              <w:tc>
                <w:tcPr>
                  <w:tcW w:w="397" w:type="pct"/>
                  <w:gridSpan w:val="2"/>
                  <w:vMerge w:val="continue"/>
                  <w:tcBorders>
                    <w:tl2br w:val="nil"/>
                    <w:tr2bl w:val="nil"/>
                  </w:tcBorders>
                  <w:vAlign w:val="center"/>
                </w:tcPr>
                <w:p>
                  <w:pPr>
                    <w:pStyle w:val="14"/>
                    <w:rPr>
                      <w:rFonts w:eastAsiaTheme="minorEastAsia"/>
                      <w:color w:val="FF0000"/>
                      <w:szCs w:val="21"/>
                    </w:rPr>
                  </w:pPr>
                </w:p>
              </w:tc>
              <w:tc>
                <w:tcPr>
                  <w:tcW w:w="225" w:type="pct"/>
                  <w:vMerge w:val="continue"/>
                  <w:tcBorders>
                    <w:tl2br w:val="nil"/>
                    <w:tr2bl w:val="nil"/>
                  </w:tcBorders>
                  <w:vAlign w:val="center"/>
                </w:tcPr>
                <w:p>
                  <w:pPr>
                    <w:pStyle w:val="14"/>
                    <w:rPr>
                      <w:rFonts w:eastAsiaTheme="minorEastAsia"/>
                      <w:color w:val="FF0000"/>
                      <w:szCs w:val="21"/>
                    </w:rPr>
                  </w:pPr>
                </w:p>
              </w:tc>
              <w:tc>
                <w:tcPr>
                  <w:tcW w:w="592" w:type="pct"/>
                  <w:gridSpan w:val="2"/>
                  <w:tcBorders>
                    <w:tl2br w:val="nil"/>
                    <w:tr2bl w:val="nil"/>
                  </w:tcBorders>
                  <w:vAlign w:val="center"/>
                </w:tcPr>
                <w:p>
                  <w:pPr>
                    <w:pStyle w:val="14"/>
                    <w:rPr>
                      <w:rFonts w:eastAsiaTheme="minorEastAsia"/>
                      <w:color w:val="000000" w:themeColor="text1"/>
                      <w:szCs w:val="21"/>
                      <w:lang w:eastAsia="zh-CN"/>
                      <w14:textFill>
                        <w14:solidFill>
                          <w14:schemeClr w14:val="tx1"/>
                        </w14:solidFill>
                      </w14:textFill>
                    </w:rPr>
                  </w:pPr>
                  <w:r>
                    <w:rPr>
                      <w:rFonts w:eastAsiaTheme="minorEastAsia"/>
                      <w:color w:val="000000" w:themeColor="text1"/>
                      <w:szCs w:val="21"/>
                      <w:lang w:eastAsia="zh-CN"/>
                      <w14:textFill>
                        <w14:solidFill>
                          <w14:schemeClr w14:val="tx1"/>
                        </w14:solidFill>
                      </w14:textFill>
                    </w:rPr>
                    <w:t>危险废物</w:t>
                  </w:r>
                </w:p>
              </w:tc>
              <w:tc>
                <w:tcPr>
                  <w:tcW w:w="3298" w:type="pct"/>
                  <w:gridSpan w:val="2"/>
                  <w:tcBorders>
                    <w:tl2br w:val="nil"/>
                    <w:tr2bl w:val="nil"/>
                  </w:tcBorders>
                  <w:vAlign w:val="center"/>
                </w:tcPr>
                <w:p>
                  <w:pPr>
                    <w:pStyle w:val="14"/>
                    <w:jc w:val="left"/>
                    <w:rPr>
                      <w:rFonts w:hint="default" w:eastAsiaTheme="minorEastAsia"/>
                      <w:color w:val="000000" w:themeColor="text1"/>
                      <w:szCs w:val="21"/>
                      <w:lang w:val="en-US" w:eastAsia="zh-CN"/>
                      <w14:textFill>
                        <w14:solidFill>
                          <w14:schemeClr w14:val="tx1"/>
                        </w14:solidFill>
                      </w14:textFill>
                    </w:rPr>
                  </w:pPr>
                  <w:r>
                    <w:rPr>
                      <w:rFonts w:eastAsiaTheme="minorEastAsia"/>
                      <w:color w:val="000000" w:themeColor="text1"/>
                      <w:szCs w:val="21"/>
                      <w:lang w:eastAsia="zh-CN"/>
                      <w14:textFill>
                        <w14:solidFill>
                          <w14:schemeClr w14:val="tx1"/>
                        </w14:solidFill>
                      </w14:textFill>
                    </w:rPr>
                    <w:t>购买成品</w:t>
                  </w:r>
                  <w:r>
                    <w:rPr>
                      <w:rFonts w:hint="eastAsia" w:eastAsiaTheme="minorEastAsia"/>
                      <w:color w:val="000000" w:themeColor="text1"/>
                      <w:szCs w:val="21"/>
                      <w:lang w:eastAsia="zh-CN"/>
                      <w14:textFill>
                        <w14:solidFill>
                          <w14:schemeClr w14:val="tx1"/>
                        </w14:solidFill>
                      </w14:textFill>
                    </w:rPr>
                    <w:t>危废贮存库</w:t>
                  </w:r>
                  <w:r>
                    <w:rPr>
                      <w:rFonts w:eastAsiaTheme="minorEastAsia"/>
                      <w:color w:val="000000" w:themeColor="text1"/>
                      <w:szCs w:val="21"/>
                      <w:lang w:eastAsia="zh-CN"/>
                      <w14:textFill>
                        <w14:solidFill>
                          <w14:schemeClr w14:val="tx1"/>
                        </w14:solidFill>
                      </w14:textFill>
                    </w:rPr>
                    <w:t>1座，位于生产车间北侧区域西南侧，面积3</w:t>
                  </w:r>
                  <w:r>
                    <w:rPr>
                      <w:rFonts w:hint="eastAsia" w:eastAsiaTheme="minorEastAsia"/>
                      <w:color w:val="000000" w:themeColor="text1"/>
                      <w:szCs w:val="21"/>
                      <w:lang w:val="en-US" w:eastAsia="zh-CN"/>
                      <w14:textFill>
                        <w14:solidFill>
                          <w14:schemeClr w14:val="tx1"/>
                        </w14:solidFill>
                      </w14:textFill>
                    </w:rPr>
                    <w:t>6</w:t>
                  </w:r>
                  <w:r>
                    <w:rPr>
                      <w:rFonts w:eastAsiaTheme="minorEastAsia"/>
                      <w:color w:val="000000" w:themeColor="text1"/>
                      <w:szCs w:val="21"/>
                      <w:lang w:eastAsia="zh-CN"/>
                      <w14:textFill>
                        <w14:solidFill>
                          <w14:schemeClr w14:val="tx1"/>
                        </w14:solidFill>
                      </w14:textFill>
                    </w:rPr>
                    <w:t>m</w:t>
                  </w:r>
                  <w:r>
                    <w:rPr>
                      <w:rFonts w:eastAsiaTheme="minorEastAsia"/>
                      <w:color w:val="000000" w:themeColor="text1"/>
                      <w:szCs w:val="21"/>
                      <w:vertAlign w:val="superscript"/>
                      <w:lang w:eastAsia="zh-CN"/>
                      <w14:textFill>
                        <w14:solidFill>
                          <w14:schemeClr w14:val="tx1"/>
                        </w14:solidFill>
                      </w14:textFill>
                    </w:rPr>
                    <w:t>2</w:t>
                  </w:r>
                  <w:r>
                    <w:rPr>
                      <w:rFonts w:eastAsiaTheme="minorEastAsia"/>
                      <w:color w:val="000000" w:themeColor="text1"/>
                      <w:szCs w:val="21"/>
                      <w:lang w:eastAsia="zh-CN"/>
                      <w14:textFill>
                        <w14:solidFill>
                          <w14:schemeClr w14:val="tx1"/>
                        </w14:solidFill>
                      </w14:textFill>
                    </w:rPr>
                    <w:t>，废活性炭、废矿物油、废电容器、制冷剂、废线路板、废石棉、废含汞开关、废蓄电池等危险废物分类收集后暂存于</w:t>
                  </w:r>
                  <w:r>
                    <w:rPr>
                      <w:rFonts w:hint="eastAsia" w:eastAsiaTheme="minorEastAsia"/>
                      <w:color w:val="000000" w:themeColor="text1"/>
                      <w:szCs w:val="21"/>
                      <w:lang w:eastAsia="zh-CN"/>
                      <w14:textFill>
                        <w14:solidFill>
                          <w14:schemeClr w14:val="tx1"/>
                        </w14:solidFill>
                      </w14:textFill>
                    </w:rPr>
                    <w:t>危废贮存库</w:t>
                  </w:r>
                  <w:r>
                    <w:rPr>
                      <w:rFonts w:eastAsiaTheme="minorEastAsia"/>
                      <w:color w:val="000000" w:themeColor="text1"/>
                      <w:szCs w:val="21"/>
                      <w:lang w:eastAsia="zh-CN"/>
                      <w14:textFill>
                        <w14:solidFill>
                          <w14:schemeClr w14:val="tx1"/>
                        </w14:solidFill>
                      </w14:textFill>
                    </w:rPr>
                    <w:t>，定期交由有资质的单位处置</w:t>
                  </w:r>
                  <w:r>
                    <w:rPr>
                      <w:rFonts w:hint="eastAsia" w:eastAsiaTheme="minorEastAsia"/>
                      <w:color w:val="000000" w:themeColor="text1"/>
                      <w:szCs w:val="21"/>
                      <w:lang w:eastAsia="zh-CN"/>
                      <w14:textFill>
                        <w14:solidFill>
                          <w14:schemeClr w14:val="tx1"/>
                        </w14:solidFill>
                      </w14:textFill>
                    </w:rPr>
                    <w:t>。</w:t>
                  </w:r>
                  <w:r>
                    <w:rPr>
                      <w:rFonts w:hint="eastAsia" w:eastAsiaTheme="minorEastAsia"/>
                      <w:color w:val="000000" w:themeColor="text1"/>
                      <w:szCs w:val="21"/>
                      <w:lang w:val="en-US" w:eastAsia="zh-CN"/>
                      <w14:textFill>
                        <w14:solidFill>
                          <w14:schemeClr w14:val="tx1"/>
                        </w14:solidFill>
                      </w14:textFill>
                    </w:rPr>
                    <w:t>危废贮存库采取重点防渗，设计堵截泄漏的裙脚等设施。</w:t>
                  </w:r>
                </w:p>
              </w:tc>
              <w:tc>
                <w:tcPr>
                  <w:tcW w:w="484" w:type="pct"/>
                  <w:gridSpan w:val="2"/>
                  <w:tcBorders>
                    <w:tl2br w:val="nil"/>
                    <w:tr2bl w:val="nil"/>
                  </w:tcBorders>
                  <w:vAlign w:val="center"/>
                </w:tcPr>
                <w:p>
                  <w:pPr>
                    <w:adjustRightInd w:val="0"/>
                    <w:snapToGrid w:val="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gridAfter w:val="1"/>
                <w:wAfter w:w="41" w:type="pct"/>
                <w:cantSplit/>
                <w:trHeight w:val="429" w:hRule="atLeast"/>
                <w:jc w:val="center"/>
              </w:trPr>
              <w:tc>
                <w:tcPr>
                  <w:tcW w:w="397" w:type="pct"/>
                  <w:vMerge w:val="continue"/>
                  <w:tcBorders>
                    <w:tl2br w:val="nil"/>
                    <w:tr2bl w:val="nil"/>
                  </w:tcBorders>
                  <w:vAlign w:val="center"/>
                </w:tcPr>
                <w:p>
                  <w:pPr>
                    <w:pStyle w:val="14"/>
                    <w:rPr>
                      <w:rFonts w:eastAsiaTheme="minorEastAsia"/>
                      <w:color w:val="FF0000"/>
                      <w:szCs w:val="21"/>
                      <w:lang w:eastAsia="zh-CN"/>
                    </w:rPr>
                  </w:pPr>
                </w:p>
              </w:tc>
              <w:tc>
                <w:tcPr>
                  <w:tcW w:w="818" w:type="pct"/>
                  <w:gridSpan w:val="3"/>
                  <w:tcBorders>
                    <w:tl2br w:val="nil"/>
                    <w:tr2bl w:val="nil"/>
                  </w:tcBorders>
                  <w:vAlign w:val="center"/>
                </w:tcPr>
                <w:p>
                  <w:pPr>
                    <w:pStyle w:val="14"/>
                    <w:rPr>
                      <w:rFonts w:eastAsiaTheme="minorEastAsia"/>
                      <w:color w:val="000000" w:themeColor="text1"/>
                      <w:szCs w:val="21"/>
                      <w:lang w:eastAsia="zh-CN"/>
                      <w14:textFill>
                        <w14:solidFill>
                          <w14:schemeClr w14:val="tx1"/>
                        </w14:solidFill>
                      </w14:textFill>
                    </w:rPr>
                  </w:pPr>
                  <w:r>
                    <w:rPr>
                      <w:rFonts w:eastAsiaTheme="minorEastAsia"/>
                      <w:color w:val="000000" w:themeColor="text1"/>
                      <w:szCs w:val="21"/>
                      <w:lang w:eastAsia="zh-CN"/>
                      <w14:textFill>
                        <w14:solidFill>
                          <w14:schemeClr w14:val="tx1"/>
                        </w14:solidFill>
                      </w14:textFill>
                    </w:rPr>
                    <w:t>生态</w:t>
                  </w:r>
                </w:p>
              </w:tc>
              <w:tc>
                <w:tcPr>
                  <w:tcW w:w="3298" w:type="pct"/>
                  <w:gridSpan w:val="2"/>
                  <w:tcBorders>
                    <w:tl2br w:val="nil"/>
                    <w:tr2bl w:val="nil"/>
                  </w:tcBorders>
                  <w:vAlign w:val="center"/>
                </w:tcPr>
                <w:p>
                  <w:pPr>
                    <w:pStyle w:val="14"/>
                    <w:jc w:val="left"/>
                    <w:rPr>
                      <w:rFonts w:eastAsiaTheme="minorEastAsia"/>
                      <w:color w:val="000000" w:themeColor="text1"/>
                      <w:szCs w:val="21"/>
                      <w:lang w:eastAsia="zh-CN"/>
                      <w14:textFill>
                        <w14:solidFill>
                          <w14:schemeClr w14:val="tx1"/>
                        </w14:solidFill>
                      </w14:textFill>
                    </w:rPr>
                  </w:pPr>
                  <w:r>
                    <w:rPr>
                      <w:rFonts w:eastAsiaTheme="minorEastAsia"/>
                      <w:color w:val="000000" w:themeColor="text1"/>
                      <w:szCs w:val="21"/>
                      <w:lang w:eastAsia="zh-CN"/>
                      <w14:textFill>
                        <w14:solidFill>
                          <w14:schemeClr w14:val="tx1"/>
                        </w14:solidFill>
                      </w14:textFill>
                    </w:rPr>
                    <w:t>厂区绿化</w:t>
                  </w:r>
                </w:p>
              </w:tc>
              <w:tc>
                <w:tcPr>
                  <w:tcW w:w="443" w:type="pct"/>
                  <w:gridSpan w:val="2"/>
                  <w:tcBorders>
                    <w:tl2br w:val="nil"/>
                    <w:tr2bl w:val="nil"/>
                  </w:tcBorders>
                  <w:vAlign w:val="center"/>
                </w:tcPr>
                <w:p>
                  <w:pPr>
                    <w:adjustRightInd w:val="0"/>
                    <w:snapToGrid w:val="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新建</w:t>
                  </w:r>
                </w:p>
              </w:tc>
            </w:tr>
          </w:tbl>
          <w:p>
            <w:pPr>
              <w:adjustRightInd w:val="0"/>
              <w:snapToGrid w:val="0"/>
              <w:spacing w:line="360" w:lineRule="auto"/>
              <w:ind w:firstLine="480" w:firstLineChars="200"/>
              <w:rPr>
                <w:sz w:val="24"/>
              </w:rPr>
            </w:pPr>
          </w:p>
        </w:tc>
      </w:tr>
    </w:tbl>
    <w:p>
      <w:pPr>
        <w:pStyle w:val="21"/>
        <w:jc w:val="center"/>
        <w:rPr>
          <w:rFonts w:hint="eastAsia" w:ascii="黑体" w:hAnsi="黑体" w:eastAsia="黑体"/>
          <w:snapToGrid w:val="0"/>
          <w:sz w:val="36"/>
          <w:szCs w:val="36"/>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21"/>
        <w:adjustRightInd w:val="0"/>
        <w:snapToGrid w:val="0"/>
        <w:spacing w:before="0" w:beforeAutospacing="0" w:after="0" w:afterAutospacing="0" w:line="14" w:lineRule="auto"/>
        <w:jc w:val="center"/>
        <w:rPr>
          <w:rFonts w:hint="eastAsia" w:ascii="黑体" w:hAnsi="黑体" w:eastAsia="黑体"/>
          <w:snapToGrid w:val="0"/>
          <w:sz w:val="30"/>
          <w:szCs w:val="30"/>
        </w:rPr>
      </w:pPr>
    </w:p>
    <w:p>
      <w:pPr>
        <w:pStyle w:val="21"/>
        <w:jc w:val="center"/>
        <w:outlineLvl w:val="0"/>
        <w:rPr>
          <w:rFonts w:hint="eastAsia" w:ascii="黑体" w:hAnsi="黑体" w:eastAsia="黑体"/>
          <w:snapToGrid w:val="0"/>
          <w:sz w:val="30"/>
          <w:szCs w:val="30"/>
        </w:rPr>
      </w:pPr>
      <w:r>
        <w:rPr>
          <w:rFonts w:hint="eastAsia" w:ascii="黑体" w:hAnsi="黑体" w:eastAsia="黑体"/>
          <w:snapToGrid w:val="0"/>
          <w:sz w:val="30"/>
          <w:szCs w:val="30"/>
        </w:rPr>
        <w:t>三、区域环境质量现状、环境保护目标及评价标准</w:t>
      </w:r>
    </w:p>
    <w:tbl>
      <w:tblPr>
        <w:tblStyle w:val="24"/>
        <w:tblW w:w="899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1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00" w:type="dxa"/>
            <w:tcMar>
              <w:left w:w="28" w:type="dxa"/>
              <w:right w:w="28" w:type="dxa"/>
            </w:tcMar>
            <w:vAlign w:val="center"/>
          </w:tcPr>
          <w:p>
            <w:pPr>
              <w:adjustRightInd w:val="0"/>
              <w:snapToGrid w:val="0"/>
              <w:jc w:val="center"/>
              <w:rPr>
                <w:rFonts w:cs="宋体"/>
                <w:kern w:val="0"/>
                <w:szCs w:val="21"/>
              </w:rPr>
            </w:pPr>
            <w:r>
              <w:rPr>
                <w:rFonts w:hint="eastAsia" w:cs="宋体"/>
                <w:kern w:val="0"/>
                <w:szCs w:val="21"/>
              </w:rPr>
              <w:t>污染</w:t>
            </w:r>
          </w:p>
          <w:p>
            <w:pPr>
              <w:adjustRightInd w:val="0"/>
              <w:snapToGrid w:val="0"/>
              <w:jc w:val="center"/>
              <w:rPr>
                <w:rFonts w:cs="宋体"/>
                <w:kern w:val="0"/>
                <w:szCs w:val="21"/>
              </w:rPr>
            </w:pPr>
            <w:r>
              <w:rPr>
                <w:rFonts w:hint="eastAsia" w:cs="宋体"/>
                <w:kern w:val="0"/>
                <w:szCs w:val="21"/>
              </w:rPr>
              <w:t>物排</w:t>
            </w:r>
          </w:p>
          <w:p>
            <w:pPr>
              <w:adjustRightInd w:val="0"/>
              <w:snapToGrid w:val="0"/>
              <w:jc w:val="center"/>
              <w:rPr>
                <w:rFonts w:cs="宋体"/>
                <w:kern w:val="0"/>
                <w:szCs w:val="21"/>
              </w:rPr>
            </w:pPr>
            <w:r>
              <w:rPr>
                <w:rFonts w:hint="eastAsia" w:cs="宋体"/>
                <w:kern w:val="0"/>
                <w:szCs w:val="21"/>
              </w:rPr>
              <w:t>放控</w:t>
            </w:r>
          </w:p>
          <w:p>
            <w:pPr>
              <w:adjustRightInd w:val="0"/>
              <w:snapToGrid w:val="0"/>
              <w:jc w:val="center"/>
              <w:rPr>
                <w:rFonts w:cs="宋体"/>
                <w:kern w:val="0"/>
                <w:szCs w:val="21"/>
              </w:rPr>
            </w:pPr>
            <w:r>
              <w:rPr>
                <w:rFonts w:hint="eastAsia" w:cs="宋体"/>
                <w:kern w:val="0"/>
                <w:szCs w:val="21"/>
              </w:rPr>
              <w:t>制标</w:t>
            </w:r>
          </w:p>
          <w:p>
            <w:pPr>
              <w:adjustRightInd w:val="0"/>
              <w:snapToGrid w:val="0"/>
              <w:jc w:val="center"/>
              <w:rPr>
                <w:rFonts w:cs="宋体"/>
                <w:kern w:val="0"/>
                <w:szCs w:val="21"/>
              </w:rPr>
            </w:pPr>
            <w:r>
              <w:rPr>
                <w:rFonts w:hint="eastAsia" w:cs="宋体"/>
                <w:kern w:val="0"/>
                <w:szCs w:val="21"/>
              </w:rPr>
              <w:t>准</w:t>
            </w:r>
          </w:p>
        </w:tc>
        <w:tc>
          <w:tcPr>
            <w:tcW w:w="8190" w:type="dxa"/>
            <w:vAlign w:val="center"/>
          </w:tcPr>
          <w:p>
            <w:pPr>
              <w:adjustRightInd w:val="0"/>
              <w:snapToGrid w:val="0"/>
              <w:spacing w:line="360" w:lineRule="auto"/>
              <w:rPr>
                <w:b/>
                <w:sz w:val="24"/>
              </w:rPr>
            </w:pPr>
            <w:r>
              <w:rPr>
                <w:rFonts w:hint="eastAsia"/>
                <w:b/>
                <w:sz w:val="24"/>
                <w:szCs w:val="20"/>
              </w:rPr>
              <w:t>1.</w:t>
            </w:r>
            <w:r>
              <w:rPr>
                <w:b/>
                <w:sz w:val="24"/>
                <w:szCs w:val="20"/>
              </w:rPr>
              <w:t>废</w:t>
            </w:r>
            <w:r>
              <w:rPr>
                <w:rFonts w:hint="eastAsia"/>
                <w:b/>
                <w:sz w:val="24"/>
                <w:szCs w:val="20"/>
              </w:rPr>
              <w:t>气</w:t>
            </w:r>
          </w:p>
          <w:p>
            <w:pPr>
              <w:adjustRightInd w:val="0"/>
              <w:snapToGrid w:val="0"/>
              <w:spacing w:line="360" w:lineRule="auto"/>
              <w:ind w:firstLine="480"/>
              <w:rPr>
                <w:kern w:val="0"/>
                <w:sz w:val="24"/>
              </w:rPr>
            </w:pPr>
            <w:r>
              <w:rPr>
                <w:rFonts w:hint="eastAsia"/>
                <w:kern w:val="0"/>
                <w:sz w:val="24"/>
              </w:rPr>
              <w:t>本项目拆解过程中产生的颗粒物、非甲烷总烃执行《大气污染物综合排放标准》（GB16297-1996）中表2新污染源大气污染物排放标准；厂内无组织非甲烷总烃执行《挥发性有机物污染物无组织排放控制标准》（GB37822-2019）厂区内VOCs无组织排放限值。</w:t>
            </w:r>
          </w:p>
          <w:p>
            <w:pPr>
              <w:adjustRightInd w:val="0"/>
              <w:snapToGrid w:val="0"/>
              <w:spacing w:line="360" w:lineRule="auto"/>
              <w:ind w:firstLine="480" w:firstLineChars="200"/>
              <w:rPr>
                <w:sz w:val="24"/>
              </w:rPr>
            </w:pPr>
            <w:r>
              <w:rPr>
                <w:rFonts w:hint="eastAsia"/>
                <w:kern w:val="0"/>
                <w:sz w:val="24"/>
              </w:rPr>
              <w:t>食堂油烟执行《饮食业油烟排放标准（试行）》（GB18483-2001）排放标准</w:t>
            </w:r>
            <w:r>
              <w:rPr>
                <w:rFonts w:hint="eastAsia"/>
                <w:sz w:val="24"/>
              </w:rPr>
              <w:t>。</w:t>
            </w:r>
          </w:p>
          <w:p>
            <w:pPr>
              <w:adjustRightInd w:val="0"/>
              <w:snapToGrid w:val="0"/>
              <w:spacing w:line="360" w:lineRule="auto"/>
              <w:rPr>
                <w:b/>
                <w:sz w:val="24"/>
              </w:rPr>
            </w:pPr>
            <w:r>
              <w:rPr>
                <w:rFonts w:hint="eastAsia"/>
                <w:b/>
                <w:sz w:val="24"/>
                <w:szCs w:val="20"/>
              </w:rPr>
              <w:t>2.</w:t>
            </w:r>
            <w:r>
              <w:rPr>
                <w:b/>
                <w:sz w:val="24"/>
                <w:szCs w:val="20"/>
              </w:rPr>
              <w:t>废水</w:t>
            </w:r>
          </w:p>
          <w:p>
            <w:pPr>
              <w:widowControl/>
              <w:adjustRightInd w:val="0"/>
              <w:snapToGrid w:val="0"/>
              <w:spacing w:line="360" w:lineRule="auto"/>
              <w:ind w:firstLine="480" w:firstLineChars="200"/>
              <w:rPr>
                <w:kern w:val="0"/>
                <w:sz w:val="24"/>
                <w:lang w:bidi="ar"/>
              </w:rPr>
            </w:pPr>
            <w:r>
              <w:rPr>
                <w:kern w:val="0"/>
                <w:sz w:val="24"/>
                <w:lang w:bidi="ar"/>
              </w:rPr>
              <w:t>项目营运期地面清洗废水排入污水池通过油水分离器进行处理后由市政管网排至鄯善县污水处理厂处理</w:t>
            </w:r>
            <w:r>
              <w:rPr>
                <w:rFonts w:hint="eastAsia"/>
                <w:kern w:val="0"/>
                <w:sz w:val="24"/>
                <w:lang w:bidi="ar"/>
              </w:rPr>
              <w:t>，</w:t>
            </w:r>
            <w:r>
              <w:rPr>
                <w:kern w:val="0"/>
                <w:sz w:val="24"/>
                <w:lang w:bidi="ar"/>
              </w:rPr>
              <w:t>生活污水通过排水管道排入鄯善县污水处理厂处理</w:t>
            </w:r>
            <w:r>
              <w:rPr>
                <w:rFonts w:hint="eastAsia"/>
                <w:kern w:val="0"/>
                <w:sz w:val="24"/>
                <w:lang w:bidi="ar"/>
              </w:rPr>
              <w:t>，</w:t>
            </w:r>
            <w:r>
              <w:rPr>
                <w:kern w:val="0"/>
                <w:sz w:val="24"/>
                <w:lang w:bidi="ar"/>
              </w:rPr>
              <w:t>执行《污水综合排放标准》（GB8978-1996）中三级标准。</w:t>
            </w:r>
          </w:p>
          <w:p>
            <w:pPr>
              <w:adjustRightInd w:val="0"/>
              <w:snapToGrid w:val="0"/>
              <w:spacing w:line="360" w:lineRule="auto"/>
              <w:rPr>
                <w:b/>
                <w:sz w:val="24"/>
                <w:szCs w:val="20"/>
              </w:rPr>
            </w:pPr>
            <w:r>
              <w:rPr>
                <w:rFonts w:hint="eastAsia"/>
                <w:b/>
                <w:sz w:val="24"/>
              </w:rPr>
              <w:t>3.</w:t>
            </w:r>
            <w:r>
              <w:rPr>
                <w:b/>
                <w:sz w:val="24"/>
              </w:rPr>
              <w:t>噪声</w:t>
            </w:r>
          </w:p>
          <w:p>
            <w:pPr>
              <w:adjustRightInd w:val="0"/>
              <w:snapToGrid w:val="0"/>
              <w:spacing w:line="360" w:lineRule="auto"/>
              <w:ind w:firstLine="480" w:firstLineChars="200"/>
              <w:rPr>
                <w:szCs w:val="20"/>
              </w:rPr>
            </w:pPr>
            <w:r>
              <w:rPr>
                <w:rFonts w:hint="eastAsia"/>
                <w:sz w:val="24"/>
              </w:rPr>
              <w:t>本项目</w:t>
            </w:r>
            <w:r>
              <w:rPr>
                <w:sz w:val="24"/>
              </w:rPr>
              <w:t>运营期厂界噪声执行《工业企业厂界环境噪声排放标准》（GB12348-2008）中</w:t>
            </w:r>
            <w:r>
              <w:rPr>
                <w:rFonts w:hint="eastAsia"/>
                <w:sz w:val="24"/>
              </w:rPr>
              <w:t>3</w:t>
            </w:r>
            <w:r>
              <w:rPr>
                <w:sz w:val="24"/>
              </w:rPr>
              <w:t>类标准，标准值见</w:t>
            </w:r>
            <w:r>
              <w:rPr>
                <w:rFonts w:hint="eastAsia"/>
                <w:sz w:val="24"/>
              </w:rPr>
              <w:t>下</w:t>
            </w:r>
            <w:r>
              <w:rPr>
                <w:sz w:val="24"/>
              </w:rPr>
              <w:t>表。</w:t>
            </w:r>
          </w:p>
          <w:p>
            <w:pPr>
              <w:adjustRightInd w:val="0"/>
              <w:snapToGrid w:val="0"/>
              <w:spacing w:line="360" w:lineRule="auto"/>
              <w:rPr>
                <w:b/>
                <w:sz w:val="24"/>
              </w:rPr>
            </w:pPr>
            <w:r>
              <w:rPr>
                <w:rFonts w:hint="eastAsia"/>
                <w:b/>
                <w:sz w:val="24"/>
              </w:rPr>
              <w:t>4.</w:t>
            </w:r>
            <w:r>
              <w:rPr>
                <w:b/>
                <w:sz w:val="24"/>
              </w:rPr>
              <w:t>固体废弃物</w:t>
            </w:r>
          </w:p>
          <w:p>
            <w:pPr>
              <w:adjustRightInd w:val="0"/>
              <w:snapToGrid w:val="0"/>
              <w:spacing w:line="360" w:lineRule="auto"/>
              <w:ind w:firstLine="480" w:firstLineChars="200"/>
              <w:rPr>
                <w:sz w:val="24"/>
              </w:rPr>
            </w:pPr>
            <w:r>
              <w:rPr>
                <w:rFonts w:hint="eastAsia"/>
                <w:sz w:val="24"/>
              </w:rPr>
              <w:t>一般固体废物排放执行《一般工业固体废物贮存和填埋污染控制标准》（GB18599-2020）；危险废物执行《危险废物贮存污染控制标准》（GB18597-2023）相关要求。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00" w:type="dxa"/>
            <w:vAlign w:val="center"/>
          </w:tcPr>
          <w:p>
            <w:pPr>
              <w:adjustRightInd w:val="0"/>
              <w:snapToGrid w:val="0"/>
              <w:jc w:val="center"/>
              <w:rPr>
                <w:rFonts w:cs="宋体"/>
                <w:kern w:val="0"/>
                <w:sz w:val="24"/>
                <w:szCs w:val="21"/>
              </w:rPr>
            </w:pPr>
            <w:r>
              <w:rPr>
                <w:rFonts w:hint="eastAsia" w:cs="宋体"/>
                <w:kern w:val="0"/>
                <w:sz w:val="24"/>
                <w:szCs w:val="21"/>
              </w:rPr>
              <w:t>总量</w:t>
            </w:r>
          </w:p>
          <w:p>
            <w:pPr>
              <w:adjustRightInd w:val="0"/>
              <w:snapToGrid w:val="0"/>
              <w:jc w:val="center"/>
              <w:rPr>
                <w:rFonts w:cs="宋体"/>
                <w:kern w:val="0"/>
                <w:sz w:val="24"/>
                <w:szCs w:val="21"/>
              </w:rPr>
            </w:pPr>
            <w:r>
              <w:rPr>
                <w:rFonts w:hint="eastAsia" w:cs="宋体"/>
                <w:kern w:val="0"/>
                <w:sz w:val="24"/>
                <w:szCs w:val="21"/>
              </w:rPr>
              <w:t>控制</w:t>
            </w:r>
          </w:p>
          <w:p>
            <w:pPr>
              <w:adjustRightInd w:val="0"/>
              <w:snapToGrid w:val="0"/>
              <w:jc w:val="center"/>
              <w:rPr>
                <w:rFonts w:cs="宋体"/>
                <w:kern w:val="0"/>
                <w:szCs w:val="21"/>
              </w:rPr>
            </w:pPr>
            <w:r>
              <w:rPr>
                <w:rFonts w:hint="eastAsia" w:cs="宋体"/>
                <w:kern w:val="0"/>
                <w:sz w:val="24"/>
                <w:szCs w:val="21"/>
              </w:rPr>
              <w:t>指标</w:t>
            </w:r>
          </w:p>
        </w:tc>
        <w:tc>
          <w:tcPr>
            <w:tcW w:w="8190" w:type="dxa"/>
            <w:vAlign w:val="center"/>
          </w:tcPr>
          <w:p>
            <w:pPr>
              <w:pStyle w:val="68"/>
              <w:spacing w:line="360" w:lineRule="auto"/>
              <w:ind w:firstLine="480" w:firstLineChars="200"/>
              <w:jc w:val="both"/>
              <w:rPr>
                <w:rFonts w:eastAsia="宋体"/>
                <w:color w:val="000000" w:themeColor="text1"/>
                <w:sz w:val="24"/>
                <w:szCs w:val="24"/>
                <w14:textFill>
                  <w14:solidFill>
                    <w14:schemeClr w14:val="tx1"/>
                  </w14:solidFill>
                </w14:textFill>
              </w:rPr>
            </w:pPr>
            <w:r>
              <w:rPr>
                <w:rFonts w:eastAsia="宋体"/>
                <w:sz w:val="24"/>
                <w:szCs w:val="24"/>
              </w:rPr>
              <w:t>根据</w:t>
            </w:r>
            <w:r>
              <w:rPr>
                <w:rFonts w:eastAsia="宋体"/>
                <w:color w:val="000000"/>
                <w:sz w:val="24"/>
                <w:szCs w:val="24"/>
              </w:rPr>
              <w:t>国家“十</w:t>
            </w:r>
            <w:r>
              <w:rPr>
                <w:rFonts w:hint="eastAsia" w:eastAsia="宋体"/>
                <w:color w:val="000000"/>
                <w:sz w:val="24"/>
                <w:szCs w:val="24"/>
              </w:rPr>
              <w:t>四</w:t>
            </w:r>
            <w:r>
              <w:rPr>
                <w:rFonts w:eastAsia="宋体"/>
                <w:color w:val="000000"/>
                <w:sz w:val="24"/>
                <w:szCs w:val="24"/>
              </w:rPr>
              <w:t>五”总量控制指标，并结合本项目排污特点，本项目总量控</w:t>
            </w:r>
            <w:r>
              <w:rPr>
                <w:rFonts w:eastAsia="宋体"/>
                <w:color w:val="000000" w:themeColor="text1"/>
                <w:sz w:val="24"/>
                <w:szCs w:val="24"/>
                <w14:textFill>
                  <w14:solidFill>
                    <w14:schemeClr w14:val="tx1"/>
                  </w14:solidFill>
                </w14:textFill>
              </w:rPr>
              <w:t>制推荐指标为</w:t>
            </w:r>
            <w:r>
              <w:rPr>
                <w:rFonts w:eastAsiaTheme="minorEastAsia"/>
                <w:color w:val="000000" w:themeColor="text1"/>
                <w:sz w:val="24"/>
                <w14:textFill>
                  <w14:solidFill>
                    <w14:schemeClr w14:val="tx1"/>
                  </w14:solidFill>
                </w14:textFill>
              </w:rPr>
              <w:t>VOCs</w:t>
            </w:r>
            <w:r>
              <w:rPr>
                <w:rFonts w:hint="eastAsia" w:eastAsia="宋体"/>
                <w:color w:val="000000" w:themeColor="text1"/>
                <w:sz w:val="24"/>
                <w:szCs w:val="24"/>
                <w14:textFill>
                  <w14:solidFill>
                    <w14:schemeClr w14:val="tx1"/>
                  </w14:solidFill>
                </w14:textFill>
              </w:rPr>
              <w:t>：0.</w:t>
            </w:r>
            <w:r>
              <w:rPr>
                <w:rFonts w:hint="eastAsia" w:eastAsia="宋体"/>
                <w:color w:val="000000" w:themeColor="text1"/>
                <w:sz w:val="24"/>
                <w:szCs w:val="24"/>
                <w:lang w:val="en-US" w:eastAsia="zh-CN"/>
                <w14:textFill>
                  <w14:solidFill>
                    <w14:schemeClr w14:val="tx1"/>
                  </w14:solidFill>
                </w14:textFill>
              </w:rPr>
              <w:t>758</w:t>
            </w:r>
            <w:r>
              <w:rPr>
                <w:rFonts w:eastAsia="宋体"/>
                <w:color w:val="000000" w:themeColor="text1"/>
                <w:sz w:val="24"/>
                <w:szCs w:val="24"/>
                <w14:textFill>
                  <w14:solidFill>
                    <w14:schemeClr w14:val="tx1"/>
                  </w14:solidFill>
                </w14:textFill>
              </w:rPr>
              <w:t>t/a。</w:t>
            </w:r>
          </w:p>
        </w:tc>
      </w:tr>
    </w:tbl>
    <w:p>
      <w:pPr>
        <w:pStyle w:val="21"/>
        <w:jc w:val="center"/>
        <w:outlineLvl w:val="0"/>
        <w:rPr>
          <w:rFonts w:hint="eastAsia" w:ascii="黑体" w:hAnsi="黑体" w:eastAsia="黑体"/>
          <w:snapToGrid w:val="0"/>
          <w:sz w:val="30"/>
          <w:szCs w:val="30"/>
        </w:rPr>
      </w:pPr>
      <w:r>
        <w:rPr>
          <w:rFonts w:ascii="黑体" w:hAnsi="黑体" w:eastAsia="黑体"/>
          <w:snapToGrid w:val="0"/>
          <w:sz w:val="36"/>
          <w:szCs w:val="36"/>
        </w:rPr>
        <w:br w:type="page"/>
      </w:r>
      <w:r>
        <w:rPr>
          <w:rFonts w:hint="eastAsia" w:ascii="黑体" w:hAnsi="黑体" w:eastAsia="黑体"/>
          <w:snapToGrid w:val="0"/>
          <w:sz w:val="30"/>
          <w:szCs w:val="30"/>
        </w:rPr>
        <w:t>四、主要环境影响和保护措施</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6"/>
        <w:gridCol w:w="81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49" w:hRule="atLeast"/>
          <w:jc w:val="center"/>
        </w:trPr>
        <w:tc>
          <w:tcPr>
            <w:tcW w:w="746" w:type="dxa"/>
            <w:tcMar>
              <w:left w:w="28" w:type="dxa"/>
              <w:right w:w="28" w:type="dxa"/>
            </w:tcMar>
            <w:vAlign w:val="center"/>
          </w:tcPr>
          <w:p>
            <w:pPr>
              <w:pStyle w:val="21"/>
              <w:adjustRightInd w:val="0"/>
              <w:snapToGrid w:val="0"/>
              <w:spacing w:before="0" w:beforeAutospacing="0" w:after="0" w:afterAutospacing="0"/>
              <w:jc w:val="center"/>
              <w:rPr>
                <w:rFonts w:ascii="Times New Roman" w:hAnsi="Times New Roman" w:cs="宋体"/>
                <w:kern w:val="2"/>
                <w:szCs w:val="24"/>
              </w:rPr>
            </w:pPr>
            <w:r>
              <w:rPr>
                <w:rFonts w:hint="eastAsia" w:ascii="Times New Roman" w:hAnsi="Times New Roman" w:cs="宋体"/>
                <w:kern w:val="2"/>
                <w:szCs w:val="24"/>
              </w:rPr>
              <w:t>施工</w:t>
            </w:r>
          </w:p>
          <w:p>
            <w:pPr>
              <w:pStyle w:val="21"/>
              <w:adjustRightInd w:val="0"/>
              <w:snapToGrid w:val="0"/>
              <w:spacing w:before="0" w:beforeAutospacing="0" w:after="0" w:afterAutospacing="0"/>
              <w:jc w:val="center"/>
              <w:rPr>
                <w:rFonts w:ascii="Times New Roman" w:hAnsi="Times New Roman" w:cs="宋体"/>
                <w:kern w:val="2"/>
                <w:szCs w:val="24"/>
              </w:rPr>
            </w:pPr>
            <w:r>
              <w:rPr>
                <w:rFonts w:hint="eastAsia" w:ascii="Times New Roman" w:hAnsi="Times New Roman" w:cs="宋体"/>
                <w:kern w:val="2"/>
                <w:szCs w:val="24"/>
              </w:rPr>
              <w:t>期环</w:t>
            </w:r>
          </w:p>
          <w:p>
            <w:pPr>
              <w:pStyle w:val="21"/>
              <w:adjustRightInd w:val="0"/>
              <w:snapToGrid w:val="0"/>
              <w:spacing w:before="0" w:beforeAutospacing="0" w:after="0" w:afterAutospacing="0"/>
              <w:jc w:val="center"/>
              <w:rPr>
                <w:rFonts w:ascii="Times New Roman" w:hAnsi="Times New Roman" w:cs="宋体"/>
                <w:kern w:val="2"/>
                <w:szCs w:val="24"/>
              </w:rPr>
            </w:pPr>
            <w:r>
              <w:rPr>
                <w:rFonts w:hint="eastAsia" w:ascii="Times New Roman" w:hAnsi="Times New Roman" w:cs="宋体"/>
                <w:kern w:val="2"/>
                <w:szCs w:val="24"/>
              </w:rPr>
              <w:t>境保</w:t>
            </w:r>
          </w:p>
          <w:p>
            <w:pPr>
              <w:pStyle w:val="21"/>
              <w:adjustRightInd w:val="0"/>
              <w:snapToGrid w:val="0"/>
              <w:spacing w:before="0" w:beforeAutospacing="0" w:after="0" w:afterAutospacing="0"/>
              <w:jc w:val="center"/>
              <w:rPr>
                <w:rFonts w:ascii="Times New Roman" w:hAnsi="Times New Roman" w:cs="宋体"/>
                <w:kern w:val="2"/>
                <w:szCs w:val="24"/>
              </w:rPr>
            </w:pPr>
            <w:r>
              <w:rPr>
                <w:rFonts w:hint="eastAsia" w:ascii="Times New Roman" w:hAnsi="Times New Roman" w:cs="宋体"/>
                <w:kern w:val="2"/>
                <w:szCs w:val="24"/>
              </w:rPr>
              <w:t>护措</w:t>
            </w:r>
          </w:p>
          <w:p>
            <w:pPr>
              <w:pStyle w:val="21"/>
              <w:adjustRightInd w:val="0"/>
              <w:snapToGrid w:val="0"/>
              <w:spacing w:before="0" w:beforeAutospacing="0" w:after="0" w:afterAutospacing="0"/>
              <w:jc w:val="center"/>
              <w:rPr>
                <w:rFonts w:ascii="Times New Roman" w:hAnsi="Times New Roman" w:cs="宋体"/>
                <w:bCs/>
                <w:kern w:val="2"/>
                <w:szCs w:val="24"/>
              </w:rPr>
            </w:pPr>
            <w:r>
              <w:rPr>
                <w:rFonts w:hint="eastAsia" w:ascii="Times New Roman" w:hAnsi="Times New Roman" w:cs="宋体"/>
                <w:kern w:val="2"/>
                <w:szCs w:val="24"/>
              </w:rPr>
              <w:t>施</w:t>
            </w:r>
          </w:p>
        </w:tc>
        <w:tc>
          <w:tcPr>
            <w:tcW w:w="8162" w:type="dxa"/>
            <w:vAlign w:val="center"/>
          </w:tcPr>
          <w:p>
            <w:pPr>
              <w:adjustRightInd w:val="0"/>
              <w:snapToGrid w:val="0"/>
              <w:spacing w:line="360" w:lineRule="auto"/>
              <w:ind w:firstLine="480" w:firstLineChars="200"/>
              <w:rPr>
                <w:bCs/>
                <w:sz w:val="24"/>
              </w:rPr>
            </w:pPr>
            <w:r>
              <w:rPr>
                <w:rFonts w:hint="eastAsia"/>
                <w:bCs/>
                <w:sz w:val="24"/>
              </w:rPr>
              <w:t>本项目施工已经全部结束，本次就施工期主要环境影响和保护措施进行回顾性分析。</w:t>
            </w:r>
          </w:p>
          <w:p>
            <w:pPr>
              <w:adjustRightInd w:val="0"/>
              <w:snapToGrid w:val="0"/>
              <w:spacing w:line="360" w:lineRule="auto"/>
              <w:ind w:firstLine="480" w:firstLineChars="200"/>
              <w:rPr>
                <w:sz w:val="24"/>
              </w:rPr>
            </w:pPr>
            <w:r>
              <w:rPr>
                <w:rFonts w:hint="eastAsia"/>
                <w:sz w:val="24"/>
              </w:rPr>
              <w:t>本项目购买现有空厂房进行建设，施工期产生的影响主要为对厂区和各车间地面做硬化和防渗处理及设备安装时产生的噪声。施工期产生的环境影响较小，随着施工期的结束，影响也随之消失，</w:t>
            </w:r>
            <w:r>
              <w:rPr>
                <w:rFonts w:hint="eastAsia"/>
                <w:bCs/>
                <w:sz w:val="24"/>
              </w:rPr>
              <w:t>本次就施工期主要环境影响和保护措施进行回顾性分析。</w:t>
            </w:r>
          </w:p>
          <w:p>
            <w:pPr>
              <w:adjustRightInd w:val="0"/>
              <w:snapToGrid w:val="0"/>
              <w:spacing w:line="360" w:lineRule="auto"/>
              <w:ind w:firstLine="480" w:firstLineChars="200"/>
              <w:rPr>
                <w:sz w:val="24"/>
              </w:rPr>
            </w:pPr>
            <w:r>
              <w:rPr>
                <w:rFonts w:hint="eastAsia"/>
                <w:sz w:val="24"/>
              </w:rPr>
              <w:t>本项目施工期产生的影响主要为施工废水、废气、噪声、固体废物产生的影响。</w:t>
            </w:r>
          </w:p>
          <w:p>
            <w:pPr>
              <w:adjustRightInd w:val="0"/>
              <w:snapToGrid w:val="0"/>
              <w:spacing w:line="360" w:lineRule="auto"/>
              <w:ind w:firstLine="442" w:firstLineChars="200"/>
              <w:rPr>
                <w:rFonts w:cs="宋体"/>
                <w:b/>
                <w:bCs/>
                <w:spacing w:val="-10"/>
                <w:sz w:val="24"/>
              </w:rPr>
            </w:pPr>
            <w:r>
              <w:rPr>
                <w:rFonts w:hint="eastAsia" w:cs="宋体"/>
                <w:b/>
                <w:bCs/>
                <w:spacing w:val="-10"/>
                <w:sz w:val="24"/>
              </w:rPr>
              <w:t>1.大气环境影响和污染防治措施</w:t>
            </w:r>
          </w:p>
          <w:p>
            <w:pPr>
              <w:adjustRightInd w:val="0"/>
              <w:snapToGrid w:val="0"/>
              <w:spacing w:line="360" w:lineRule="auto"/>
              <w:ind w:firstLine="480" w:firstLineChars="200"/>
              <w:rPr>
                <w:sz w:val="24"/>
              </w:rPr>
            </w:pPr>
            <w:r>
              <w:rPr>
                <w:rFonts w:hint="eastAsia"/>
                <w:sz w:val="24"/>
              </w:rPr>
              <w:t>本项目施工期大气污染物主要为扬尘，主要来自建筑材料的装卸、施工垃圾的清理，以及运输车辆在场地内行驶、运输车辆的车轮夹带泥土污染场地附近路面以及在有风条件下由于场地地表裸露而产生的扬尘，其中运输车在施工场内行驶产生的扬尘是主要污染源。施工期间产生的粉尘和扬尘会向四周扩散，对环境造成一定的影响。本项目施工期间采取</w:t>
            </w:r>
            <w:r>
              <w:rPr>
                <w:kern w:val="0"/>
                <w:sz w:val="24"/>
              </w:rPr>
              <w:t>对可能产生扬尘的建筑材料加盖篷布或避免露天堆放</w:t>
            </w:r>
            <w:r>
              <w:rPr>
                <w:rFonts w:hint="eastAsia"/>
                <w:kern w:val="0"/>
                <w:sz w:val="24"/>
              </w:rPr>
              <w:t>、定期洒水降尘等措施</w:t>
            </w:r>
            <w:r>
              <w:rPr>
                <w:rFonts w:hint="eastAsia"/>
                <w:sz w:val="24"/>
              </w:rPr>
              <w:t>，减少施工扬尘对周围环境空气的影响。</w:t>
            </w:r>
          </w:p>
          <w:p>
            <w:pPr>
              <w:adjustRightInd w:val="0"/>
              <w:snapToGrid w:val="0"/>
              <w:spacing w:line="360" w:lineRule="auto"/>
              <w:ind w:firstLine="482" w:firstLineChars="200"/>
              <w:rPr>
                <w:b/>
                <w:sz w:val="24"/>
              </w:rPr>
            </w:pPr>
            <w:r>
              <w:rPr>
                <w:rFonts w:hint="eastAsia"/>
                <w:b/>
                <w:sz w:val="24"/>
              </w:rPr>
              <w:t>2、水环境影响和污染防治措施</w:t>
            </w:r>
          </w:p>
          <w:p>
            <w:pPr>
              <w:adjustRightInd w:val="0"/>
              <w:snapToGrid w:val="0"/>
              <w:spacing w:line="360" w:lineRule="auto"/>
              <w:ind w:firstLine="480" w:firstLineChars="200"/>
              <w:rPr>
                <w:sz w:val="24"/>
              </w:rPr>
            </w:pPr>
            <w:r>
              <w:rPr>
                <w:rFonts w:hint="eastAsia"/>
                <w:sz w:val="24"/>
              </w:rPr>
              <w:t>施工期产生的废水主要为生产废水和生活污水，其中生产废水主要为混凝土搅拌清洗、车辆冲洗等废水，主要污染物为SS，利用沉淀池沉淀后用于洒水降尘、车辆清洗，不外排；生活污水经园区污水管网排至园区污水处理厂处理，未造成较大影响。</w:t>
            </w:r>
          </w:p>
          <w:p>
            <w:pPr>
              <w:adjustRightInd w:val="0"/>
              <w:snapToGrid w:val="0"/>
              <w:spacing w:line="360" w:lineRule="auto"/>
              <w:ind w:firstLine="482" w:firstLineChars="200"/>
              <w:rPr>
                <w:b/>
                <w:sz w:val="24"/>
              </w:rPr>
            </w:pPr>
            <w:r>
              <w:rPr>
                <w:rFonts w:hint="eastAsia"/>
                <w:b/>
                <w:sz w:val="24"/>
              </w:rPr>
              <w:t>3、声环境影响和污染防治措施</w:t>
            </w:r>
          </w:p>
          <w:p>
            <w:pPr>
              <w:adjustRightInd w:val="0"/>
              <w:snapToGrid w:val="0"/>
              <w:spacing w:line="360" w:lineRule="auto"/>
              <w:ind w:firstLine="480" w:firstLineChars="200"/>
              <w:rPr>
                <w:sz w:val="24"/>
              </w:rPr>
            </w:pPr>
            <w:r>
              <w:rPr>
                <w:rFonts w:hint="eastAsia"/>
                <w:sz w:val="24"/>
              </w:rPr>
              <w:t>施工期噪声主要来源于施工机械和设备安装产生的噪声，主要采取了如下措施：</w:t>
            </w:r>
          </w:p>
          <w:p>
            <w:pPr>
              <w:adjustRightInd w:val="0"/>
              <w:snapToGrid w:val="0"/>
              <w:spacing w:line="360" w:lineRule="auto"/>
              <w:ind w:firstLine="480" w:firstLineChars="200"/>
              <w:rPr>
                <w:sz w:val="24"/>
              </w:rPr>
            </w:pPr>
            <w:r>
              <w:rPr>
                <w:rFonts w:hint="eastAsia"/>
                <w:sz w:val="24"/>
              </w:rPr>
              <w:t>（1）选用符合国家有关标准的施工机具，低噪声设备。</w:t>
            </w:r>
          </w:p>
          <w:p>
            <w:pPr>
              <w:adjustRightInd w:val="0"/>
              <w:snapToGrid w:val="0"/>
              <w:spacing w:line="360" w:lineRule="auto"/>
              <w:ind w:firstLine="480" w:firstLineChars="200"/>
              <w:rPr>
                <w:sz w:val="24"/>
              </w:rPr>
            </w:pPr>
            <w:r>
              <w:rPr>
                <w:rFonts w:hint="eastAsia"/>
                <w:sz w:val="24"/>
              </w:rPr>
              <w:t>（2）加强设备的维修和保养，保持机械润滑，降低运行噪声。</w:t>
            </w:r>
          </w:p>
          <w:p>
            <w:pPr>
              <w:adjustRightInd w:val="0"/>
              <w:snapToGrid w:val="0"/>
              <w:spacing w:line="360" w:lineRule="auto"/>
              <w:ind w:firstLine="480" w:firstLineChars="200"/>
              <w:rPr>
                <w:sz w:val="24"/>
              </w:rPr>
            </w:pPr>
            <w:r>
              <w:rPr>
                <w:rFonts w:hint="eastAsia"/>
                <w:sz w:val="24"/>
              </w:rPr>
              <w:t>（3）对强噪声源作业面和流动施工机械操作人员佩戴噪声防护头盔、耳塞或耳罩等。</w:t>
            </w:r>
          </w:p>
          <w:p>
            <w:pPr>
              <w:adjustRightInd w:val="0"/>
              <w:snapToGrid w:val="0"/>
              <w:spacing w:line="360" w:lineRule="auto"/>
              <w:ind w:firstLine="480" w:firstLineChars="200"/>
              <w:rPr>
                <w:sz w:val="24"/>
              </w:rPr>
            </w:pPr>
            <w:r>
              <w:rPr>
                <w:rFonts w:hint="eastAsia"/>
                <w:sz w:val="24"/>
              </w:rPr>
              <w:t>（4）夜间禁止施工。</w:t>
            </w:r>
          </w:p>
          <w:p>
            <w:pPr>
              <w:adjustRightInd w:val="0"/>
              <w:snapToGrid w:val="0"/>
              <w:spacing w:line="360" w:lineRule="auto"/>
              <w:ind w:firstLine="480" w:firstLineChars="200"/>
              <w:rPr>
                <w:sz w:val="24"/>
              </w:rPr>
            </w:pPr>
            <w:r>
              <w:rPr>
                <w:rFonts w:hint="eastAsia"/>
                <w:sz w:val="24"/>
              </w:rPr>
              <w:t>因此，采取以上防治措施后，未对周边声环境造成较大影响。</w:t>
            </w:r>
          </w:p>
          <w:p>
            <w:pPr>
              <w:adjustRightInd w:val="0"/>
              <w:snapToGrid w:val="0"/>
              <w:spacing w:line="360" w:lineRule="auto"/>
              <w:ind w:firstLine="482" w:firstLineChars="200"/>
              <w:rPr>
                <w:b/>
                <w:sz w:val="24"/>
              </w:rPr>
            </w:pPr>
            <w:r>
              <w:rPr>
                <w:rFonts w:hint="eastAsia"/>
                <w:b/>
                <w:sz w:val="24"/>
              </w:rPr>
              <w:t>4、固体废物影响和处置措施</w:t>
            </w:r>
          </w:p>
          <w:p>
            <w:pPr>
              <w:adjustRightInd w:val="0"/>
              <w:snapToGrid w:val="0"/>
              <w:spacing w:line="360" w:lineRule="auto"/>
              <w:ind w:firstLine="480" w:firstLineChars="200"/>
              <w:rPr>
                <w:sz w:val="24"/>
              </w:rPr>
            </w:pPr>
            <w:r>
              <w:rPr>
                <w:rFonts w:hint="eastAsia"/>
                <w:sz w:val="24"/>
              </w:rPr>
              <w:t>施工期固体废物主要为建筑垃圾和生活垃圾，其中建筑垃圾主要为砂土、碎石和</w:t>
            </w:r>
            <w:r>
              <w:rPr>
                <w:rFonts w:hint="eastAsia"/>
                <w:sz w:val="24"/>
                <w:lang w:eastAsia="zh-CN"/>
              </w:rPr>
              <w:t>其他废弃物</w:t>
            </w:r>
            <w:r>
              <w:rPr>
                <w:rFonts w:hint="eastAsia"/>
                <w:sz w:val="24"/>
              </w:rPr>
              <w:t>等，可利用部分统一</w:t>
            </w:r>
            <w:r>
              <w:rPr>
                <w:sz w:val="24"/>
              </w:rPr>
              <w:t>收集后</w:t>
            </w:r>
            <w:r>
              <w:rPr>
                <w:rFonts w:hint="eastAsia"/>
                <w:sz w:val="24"/>
              </w:rPr>
              <w:t>回收利用，不可利用部分运输至项目附近的建筑垃圾填埋场填埋处理；生活垃圾通过垃圾桶集中收集，由环卫部门定期清运。因此，施工期间固体废物均妥善处理，未造成较大影响。</w:t>
            </w:r>
          </w:p>
          <w:p>
            <w:pPr>
              <w:adjustRightInd w:val="0"/>
              <w:snapToGrid w:val="0"/>
              <w:spacing w:line="360" w:lineRule="auto"/>
              <w:ind w:firstLine="482" w:firstLineChars="200"/>
              <w:rPr>
                <w:b/>
                <w:bCs/>
                <w:sz w:val="24"/>
              </w:rPr>
            </w:pPr>
            <w:r>
              <w:rPr>
                <w:rFonts w:hint="eastAsia"/>
                <w:b/>
                <w:bCs/>
                <w:sz w:val="24"/>
              </w:rPr>
              <w:t>5、生态环境影响和保护措施</w:t>
            </w:r>
          </w:p>
          <w:p>
            <w:pPr>
              <w:adjustRightInd w:val="0"/>
              <w:snapToGrid w:val="0"/>
              <w:spacing w:line="360" w:lineRule="auto"/>
              <w:ind w:firstLine="480" w:firstLineChars="200"/>
              <w:rPr>
                <w:rFonts w:cs="宋体"/>
                <w:sz w:val="24"/>
                <w:lang w:bidi="ar"/>
              </w:rPr>
            </w:pPr>
            <w:r>
              <w:rPr>
                <w:rFonts w:hint="eastAsia" w:cs="宋体"/>
                <w:sz w:val="24"/>
                <w:lang w:bidi="ar"/>
              </w:rPr>
              <w:t>（1）植被影响及措施</w:t>
            </w:r>
          </w:p>
          <w:p>
            <w:pPr>
              <w:adjustRightInd w:val="0"/>
              <w:snapToGrid w:val="0"/>
              <w:spacing w:line="360" w:lineRule="auto"/>
              <w:ind w:firstLine="480" w:firstLineChars="200"/>
              <w:rPr>
                <w:rFonts w:cs="宋体"/>
                <w:sz w:val="24"/>
                <w:lang w:bidi="ar"/>
              </w:rPr>
            </w:pPr>
            <w:r>
              <w:rPr>
                <w:rFonts w:hint="eastAsia" w:cs="宋体"/>
                <w:sz w:val="24"/>
                <w:lang w:bidi="ar"/>
              </w:rPr>
              <w:t>根据现场调查，本项目位于鄯善县工业园区内，所在区域干旱少水，植被分布盖度较低，本次主要占用裸土地和城镇村及工矿用地。</w:t>
            </w:r>
            <w:r>
              <w:rPr>
                <w:rFonts w:eastAsiaTheme="minorEastAsia"/>
                <w:sz w:val="24"/>
              </w:rPr>
              <w:t>由于建设地及其附近没有生态环境敏感区和受保护的动植物，因此，项目建设对植被的影响总体影响较小。</w:t>
            </w:r>
          </w:p>
          <w:p>
            <w:pPr>
              <w:adjustRightInd w:val="0"/>
              <w:snapToGrid w:val="0"/>
              <w:spacing w:line="360" w:lineRule="auto"/>
              <w:ind w:firstLine="480" w:firstLineChars="200"/>
              <w:rPr>
                <w:rFonts w:cs="宋体"/>
                <w:sz w:val="24"/>
                <w:lang w:bidi="ar"/>
              </w:rPr>
            </w:pPr>
            <w:r>
              <w:rPr>
                <w:rFonts w:cs="宋体"/>
                <w:sz w:val="24"/>
                <w:lang w:bidi="ar"/>
              </w:rPr>
              <w:t>（</w:t>
            </w:r>
            <w:r>
              <w:rPr>
                <w:rFonts w:hint="eastAsia" w:cs="宋体"/>
                <w:sz w:val="24"/>
                <w:lang w:bidi="ar"/>
              </w:rPr>
              <w:t>2</w:t>
            </w:r>
            <w:r>
              <w:rPr>
                <w:rFonts w:cs="宋体"/>
                <w:sz w:val="24"/>
                <w:lang w:bidi="ar"/>
              </w:rPr>
              <w:t>）</w:t>
            </w:r>
            <w:r>
              <w:rPr>
                <w:rFonts w:hint="eastAsia" w:cs="宋体"/>
                <w:sz w:val="24"/>
                <w:lang w:bidi="ar"/>
              </w:rPr>
              <w:t>动物影响及措施</w:t>
            </w:r>
          </w:p>
          <w:p>
            <w:pPr>
              <w:adjustRightInd w:val="0"/>
              <w:snapToGrid w:val="0"/>
              <w:spacing w:line="360" w:lineRule="auto"/>
              <w:ind w:firstLine="480" w:firstLineChars="200"/>
              <w:rPr>
                <w:rFonts w:cs="宋体"/>
                <w:sz w:val="24"/>
                <w:lang w:bidi="ar"/>
              </w:rPr>
            </w:pPr>
            <w:r>
              <w:rPr>
                <w:rFonts w:hint="eastAsia" w:cs="宋体"/>
                <w:sz w:val="24"/>
                <w:lang w:bidi="ar"/>
              </w:rPr>
              <w:t>本项目位于工业园区范围内，因项目周边受人为频繁活动影响，野生动物已迁徙至远处，施工过程未见大型动物分布，也未占用或穿越野生动物生境。施工期间夜间不施工，因此，项目施工对动物影响是短暂的，影响较小。</w:t>
            </w:r>
          </w:p>
          <w:p>
            <w:pPr>
              <w:adjustRightInd w:val="0"/>
              <w:snapToGrid w:val="0"/>
              <w:spacing w:line="360" w:lineRule="auto"/>
              <w:ind w:firstLine="480" w:firstLineChars="200"/>
              <w:rPr>
                <w:rFonts w:cs="宋体"/>
                <w:sz w:val="24"/>
                <w:lang w:bidi="ar"/>
              </w:rPr>
            </w:pPr>
            <w:r>
              <w:rPr>
                <w:rFonts w:cs="宋体"/>
                <w:sz w:val="24"/>
                <w:lang w:bidi="ar"/>
              </w:rPr>
              <w:t>（</w:t>
            </w:r>
            <w:r>
              <w:rPr>
                <w:rFonts w:hint="eastAsia" w:cs="宋体"/>
                <w:sz w:val="24"/>
                <w:lang w:bidi="ar"/>
              </w:rPr>
              <w:t>3</w:t>
            </w:r>
            <w:r>
              <w:rPr>
                <w:rFonts w:cs="宋体"/>
                <w:sz w:val="24"/>
                <w:lang w:bidi="ar"/>
              </w:rPr>
              <w:t>）</w:t>
            </w:r>
            <w:r>
              <w:rPr>
                <w:rFonts w:hint="eastAsia" w:cs="宋体"/>
                <w:sz w:val="24"/>
                <w:lang w:bidi="ar"/>
              </w:rPr>
              <w:t>水土流失影响及措施</w:t>
            </w:r>
          </w:p>
          <w:p>
            <w:pPr>
              <w:adjustRightInd w:val="0"/>
              <w:snapToGrid w:val="0"/>
              <w:spacing w:line="360" w:lineRule="auto"/>
              <w:ind w:firstLine="480" w:firstLineChars="200"/>
              <w:rPr>
                <w:rFonts w:cs="宋体"/>
                <w:sz w:val="24"/>
                <w:lang w:bidi="ar"/>
              </w:rPr>
            </w:pPr>
            <w:r>
              <w:rPr>
                <w:rFonts w:hint="eastAsia" w:cs="宋体"/>
                <w:sz w:val="24"/>
                <w:lang w:bidi="ar"/>
              </w:rPr>
              <w:t>对于施工产生的建筑垃圾，应选择合适的堆场，并采取覆盖措施，避免造成植被破坏和水土流失，</w:t>
            </w:r>
            <w:r>
              <w:rPr>
                <w:rFonts w:eastAsiaTheme="minorEastAsia"/>
                <w:kern w:val="0"/>
                <w:sz w:val="24"/>
              </w:rPr>
              <w:t>避免在降雨期间</w:t>
            </w:r>
            <w:r>
              <w:rPr>
                <w:rFonts w:hint="eastAsia" w:eastAsiaTheme="minorEastAsia"/>
                <w:kern w:val="0"/>
                <w:sz w:val="24"/>
              </w:rPr>
              <w:t>施工</w:t>
            </w:r>
            <w:r>
              <w:rPr>
                <w:rFonts w:eastAsiaTheme="minorEastAsia"/>
                <w:kern w:val="0"/>
                <w:sz w:val="24"/>
              </w:rPr>
              <w:t>，造成水土流失。项目</w:t>
            </w:r>
            <w:r>
              <w:rPr>
                <w:rFonts w:hint="eastAsia" w:eastAsiaTheme="minorEastAsia"/>
                <w:kern w:val="0"/>
                <w:sz w:val="24"/>
              </w:rPr>
              <w:t>施工</w:t>
            </w:r>
            <w:r>
              <w:rPr>
                <w:rFonts w:eastAsiaTheme="minorEastAsia"/>
                <w:kern w:val="0"/>
                <w:sz w:val="24"/>
              </w:rPr>
              <w:t>采用拦挡措施、防尘网苫盖等工程措施进行防护。</w:t>
            </w:r>
            <w:r>
              <w:rPr>
                <w:rFonts w:hint="eastAsia" w:eastAsiaTheme="minorEastAsia"/>
                <w:kern w:val="0"/>
                <w:sz w:val="24"/>
                <w:lang w:eastAsia="zh-CN"/>
              </w:rPr>
              <w:t>主体工程</w:t>
            </w:r>
            <w:r>
              <w:rPr>
                <w:rFonts w:hint="eastAsia" w:cs="宋体"/>
                <w:sz w:val="24"/>
                <w:lang w:bidi="ar"/>
              </w:rPr>
              <w:t>结束后，立即对绿化区种植草木，项目区建成后尽快恢复周围受影响的植被，做好项目区内的绿化规划。</w:t>
            </w:r>
          </w:p>
          <w:p>
            <w:pPr>
              <w:adjustRightInd w:val="0"/>
              <w:snapToGrid w:val="0"/>
              <w:spacing w:line="360" w:lineRule="auto"/>
              <w:ind w:firstLine="480" w:firstLineChars="200"/>
              <w:rPr>
                <w:sz w:val="24"/>
              </w:rPr>
            </w:pPr>
            <w:r>
              <w:rPr>
                <w:rFonts w:hint="eastAsia" w:cs="宋体"/>
                <w:sz w:val="24"/>
                <w:lang w:bidi="ar"/>
              </w:rPr>
              <w:t>总体而言，生态环境影响较小。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51" w:hRule="atLeast"/>
          <w:jc w:val="center"/>
        </w:trPr>
        <w:tc>
          <w:tcPr>
            <w:tcW w:w="746" w:type="dxa"/>
            <w:tcMar>
              <w:left w:w="28" w:type="dxa"/>
              <w:right w:w="28" w:type="dxa"/>
            </w:tcMar>
            <w:vAlign w:val="center"/>
          </w:tcPr>
          <w:p>
            <w:pPr>
              <w:adjustRightInd w:val="0"/>
              <w:snapToGrid w:val="0"/>
              <w:jc w:val="center"/>
              <w:rPr>
                <w:rFonts w:cs="宋体"/>
                <w:bCs/>
                <w:sz w:val="24"/>
              </w:rPr>
            </w:pPr>
            <w:r>
              <w:rPr>
                <w:rFonts w:hint="eastAsia" w:cs="宋体"/>
                <w:bCs/>
                <w:sz w:val="24"/>
              </w:rPr>
              <w:t>运营</w:t>
            </w:r>
          </w:p>
          <w:p>
            <w:pPr>
              <w:adjustRightInd w:val="0"/>
              <w:snapToGrid w:val="0"/>
              <w:jc w:val="center"/>
              <w:rPr>
                <w:rFonts w:cs="宋体"/>
                <w:bCs/>
                <w:sz w:val="24"/>
              </w:rPr>
            </w:pPr>
            <w:r>
              <w:rPr>
                <w:rFonts w:hint="eastAsia" w:cs="宋体"/>
                <w:bCs/>
                <w:sz w:val="24"/>
              </w:rPr>
              <w:t>期环</w:t>
            </w:r>
          </w:p>
          <w:p>
            <w:pPr>
              <w:adjustRightInd w:val="0"/>
              <w:snapToGrid w:val="0"/>
              <w:jc w:val="center"/>
              <w:rPr>
                <w:rFonts w:cs="宋体"/>
                <w:bCs/>
                <w:sz w:val="24"/>
              </w:rPr>
            </w:pPr>
            <w:r>
              <w:rPr>
                <w:rFonts w:hint="eastAsia" w:cs="宋体"/>
                <w:bCs/>
                <w:sz w:val="24"/>
              </w:rPr>
              <w:t>境影</w:t>
            </w:r>
          </w:p>
          <w:p>
            <w:pPr>
              <w:adjustRightInd w:val="0"/>
              <w:snapToGrid w:val="0"/>
              <w:jc w:val="center"/>
              <w:rPr>
                <w:rFonts w:cs="宋体"/>
                <w:bCs/>
                <w:sz w:val="24"/>
              </w:rPr>
            </w:pPr>
            <w:r>
              <w:rPr>
                <w:rFonts w:hint="eastAsia" w:cs="宋体"/>
                <w:bCs/>
                <w:sz w:val="24"/>
              </w:rPr>
              <w:t>响和</w:t>
            </w:r>
          </w:p>
          <w:p>
            <w:pPr>
              <w:adjustRightInd w:val="0"/>
              <w:snapToGrid w:val="0"/>
              <w:jc w:val="center"/>
              <w:rPr>
                <w:rFonts w:cs="宋体"/>
                <w:bCs/>
                <w:sz w:val="24"/>
              </w:rPr>
            </w:pPr>
            <w:r>
              <w:rPr>
                <w:rFonts w:hint="eastAsia" w:cs="宋体"/>
                <w:bCs/>
                <w:sz w:val="24"/>
              </w:rPr>
              <w:t>保护</w:t>
            </w:r>
          </w:p>
          <w:p>
            <w:pPr>
              <w:adjustRightInd w:val="0"/>
              <w:snapToGrid w:val="0"/>
              <w:jc w:val="center"/>
              <w:rPr>
                <w:rFonts w:cs="宋体"/>
                <w:bCs/>
                <w:sz w:val="24"/>
              </w:rPr>
            </w:pPr>
            <w:r>
              <w:rPr>
                <w:rFonts w:hint="eastAsia" w:cs="宋体"/>
                <w:bCs/>
                <w:sz w:val="24"/>
              </w:rPr>
              <w:t>措施</w:t>
            </w:r>
          </w:p>
        </w:tc>
        <w:tc>
          <w:tcPr>
            <w:tcW w:w="8162" w:type="dxa"/>
            <w:vAlign w:val="center"/>
          </w:tcPr>
          <w:p>
            <w:pPr>
              <w:adjustRightInd w:val="0"/>
              <w:snapToGrid w:val="0"/>
              <w:spacing w:line="360" w:lineRule="auto"/>
              <w:ind w:firstLine="482" w:firstLineChars="200"/>
              <w:rPr>
                <w:rFonts w:eastAsiaTheme="minorEastAsia"/>
                <w:b/>
                <w:sz w:val="24"/>
              </w:rPr>
            </w:pPr>
            <w:r>
              <w:rPr>
                <w:rFonts w:eastAsiaTheme="minorEastAsia"/>
                <w:b/>
                <w:sz w:val="24"/>
              </w:rPr>
              <w:t>1.废气</w:t>
            </w:r>
          </w:p>
          <w:p>
            <w:pPr>
              <w:adjustRightInd w:val="0"/>
              <w:snapToGrid w:val="0"/>
              <w:spacing w:line="360" w:lineRule="auto"/>
              <w:ind w:firstLine="480" w:firstLineChars="200"/>
              <w:rPr>
                <w:rFonts w:eastAsiaTheme="minorEastAsia"/>
                <w:bCs/>
                <w:sz w:val="24"/>
              </w:rPr>
            </w:pPr>
            <w:r>
              <w:rPr>
                <w:rFonts w:eastAsiaTheme="minorEastAsia"/>
                <w:bCs/>
                <w:sz w:val="24"/>
              </w:rPr>
              <w:t>本项目各类报废汽车均不在厂区进行清洗，项目涉及废气主要为</w:t>
            </w:r>
            <w:r>
              <w:rPr>
                <w:rFonts w:hint="eastAsia" w:eastAsiaTheme="minorEastAsia"/>
                <w:bCs/>
                <w:sz w:val="24"/>
              </w:rPr>
              <w:t>报废</w:t>
            </w:r>
            <w:r>
              <w:rPr>
                <w:rFonts w:eastAsiaTheme="minorEastAsia"/>
                <w:bCs/>
                <w:sz w:val="24"/>
              </w:rPr>
              <w:t>汽车、家电、五金</w:t>
            </w:r>
            <w:r>
              <w:rPr>
                <w:rFonts w:hint="eastAsia" w:eastAsiaTheme="minorEastAsia"/>
                <w:bCs/>
                <w:sz w:val="24"/>
              </w:rPr>
              <w:t>、废钢、废铝、废铜</w:t>
            </w:r>
            <w:r>
              <w:rPr>
                <w:rFonts w:eastAsiaTheme="minorEastAsia"/>
                <w:bCs/>
                <w:sz w:val="24"/>
              </w:rPr>
              <w:t>等</w:t>
            </w:r>
            <w:r>
              <w:rPr>
                <w:rFonts w:hint="eastAsia" w:eastAsiaTheme="minorEastAsia"/>
                <w:bCs/>
                <w:sz w:val="24"/>
              </w:rPr>
              <w:t>拆解、</w:t>
            </w:r>
            <w:r>
              <w:rPr>
                <w:rFonts w:eastAsiaTheme="minorEastAsia"/>
                <w:bCs/>
                <w:sz w:val="24"/>
              </w:rPr>
              <w:t>切割、破碎产生的粉尘，各类废油抽取产生的挥发性有机物（非甲烷总烃）。</w:t>
            </w:r>
          </w:p>
          <w:p>
            <w:pPr>
              <w:adjustRightInd w:val="0"/>
              <w:snapToGrid w:val="0"/>
              <w:spacing w:line="360" w:lineRule="auto"/>
              <w:ind w:firstLine="482" w:firstLineChars="200"/>
              <w:rPr>
                <w:rFonts w:eastAsiaTheme="minorEastAsia"/>
                <w:b/>
                <w:bCs/>
                <w:sz w:val="24"/>
              </w:rPr>
            </w:pPr>
            <w:r>
              <w:rPr>
                <w:rFonts w:eastAsiaTheme="minorEastAsia"/>
                <w:b/>
                <w:bCs/>
                <w:sz w:val="24"/>
              </w:rPr>
              <w:t>1.1有组织废气</w:t>
            </w:r>
          </w:p>
          <w:p>
            <w:pPr>
              <w:adjustRightInd w:val="0"/>
              <w:snapToGrid w:val="0"/>
              <w:spacing w:line="360" w:lineRule="auto"/>
              <w:rPr>
                <w:b/>
                <w:bCs/>
                <w:sz w:val="24"/>
              </w:rPr>
            </w:pPr>
            <w:r>
              <w:rPr>
                <w:rFonts w:hint="eastAsia"/>
                <w:b/>
                <w:bCs/>
                <w:sz w:val="24"/>
              </w:rPr>
              <w:t>2.废水</w:t>
            </w:r>
          </w:p>
          <w:p>
            <w:pPr>
              <w:adjustRightInd w:val="0"/>
              <w:snapToGrid w:val="0"/>
              <w:spacing w:line="360" w:lineRule="auto"/>
              <w:ind w:firstLine="482" w:firstLineChars="200"/>
              <w:rPr>
                <w:b/>
                <w:bCs/>
                <w:sz w:val="24"/>
              </w:rPr>
            </w:pPr>
            <w:r>
              <w:rPr>
                <w:rFonts w:hint="eastAsia"/>
                <w:b/>
                <w:bCs/>
                <w:sz w:val="24"/>
              </w:rPr>
              <w:t>2.1废水处理</w:t>
            </w:r>
          </w:p>
          <w:p>
            <w:pPr>
              <w:adjustRightInd w:val="0"/>
              <w:snapToGrid w:val="0"/>
              <w:spacing w:line="360" w:lineRule="auto"/>
              <w:ind w:firstLine="480" w:firstLineChars="200"/>
              <w:rPr>
                <w:sz w:val="24"/>
              </w:rPr>
            </w:pPr>
            <w:r>
              <w:rPr>
                <w:rFonts w:hint="eastAsia"/>
                <w:sz w:val="24"/>
              </w:rPr>
              <w:t>本项目产生的废水主要来自车间的地面清洁废水、生活污水。本项目对报废汽车、废家电、五金等本身及拆下来的零件不进行清洗。</w:t>
            </w:r>
          </w:p>
          <w:p>
            <w:pPr>
              <w:adjustRightInd w:val="0"/>
              <w:snapToGrid w:val="0"/>
              <w:spacing w:line="360" w:lineRule="auto"/>
              <w:ind w:firstLine="480" w:firstLineChars="200"/>
              <w:rPr>
                <w:sz w:val="24"/>
              </w:rPr>
            </w:pPr>
            <w:r>
              <w:rPr>
                <w:rFonts w:hint="eastAsia"/>
                <w:sz w:val="24"/>
              </w:rPr>
              <w:t>本项目生活污水</w:t>
            </w:r>
            <w:r>
              <w:rPr>
                <w:sz w:val="24"/>
              </w:rPr>
              <w:t>通过排水管道排入</w:t>
            </w:r>
            <w:r>
              <w:rPr>
                <w:rFonts w:hint="eastAsia"/>
                <w:sz w:val="24"/>
              </w:rPr>
              <w:t>鄯善县</w:t>
            </w:r>
            <w:r>
              <w:rPr>
                <w:sz w:val="24"/>
              </w:rPr>
              <w:t>污水处理厂处理</w:t>
            </w:r>
            <w:r>
              <w:rPr>
                <w:rFonts w:hint="eastAsia"/>
                <w:sz w:val="24"/>
              </w:rPr>
              <w:t>；地面清洗</w:t>
            </w:r>
            <w:r>
              <w:rPr>
                <w:sz w:val="24"/>
              </w:rPr>
              <w:t>废水</w:t>
            </w:r>
            <w:r>
              <w:rPr>
                <w:rFonts w:hint="eastAsia"/>
                <w:sz w:val="24"/>
              </w:rPr>
              <w:t>排</w:t>
            </w:r>
            <w:r>
              <w:rPr>
                <w:color w:val="000000" w:themeColor="text1"/>
                <w:sz w:val="24"/>
                <w14:textFill>
                  <w14:solidFill>
                    <w14:schemeClr w14:val="tx1"/>
                  </w14:solidFill>
                </w14:textFill>
              </w:rPr>
              <w:t>入污水池通</w:t>
            </w:r>
            <w:r>
              <w:rPr>
                <w:sz w:val="24"/>
              </w:rPr>
              <w:t>过油水分离器进行处理后由</w:t>
            </w:r>
            <w:r>
              <w:rPr>
                <w:rFonts w:hint="eastAsia"/>
                <w:sz w:val="24"/>
              </w:rPr>
              <w:t>市政管网</w:t>
            </w:r>
            <w:r>
              <w:rPr>
                <w:sz w:val="24"/>
              </w:rPr>
              <w:t>排</w:t>
            </w:r>
            <w:r>
              <w:rPr>
                <w:rFonts w:hint="eastAsia"/>
                <w:sz w:val="24"/>
              </w:rPr>
              <w:t>至鄯善县</w:t>
            </w:r>
            <w:r>
              <w:rPr>
                <w:sz w:val="24"/>
              </w:rPr>
              <w:t>污水处理厂处理</w:t>
            </w:r>
            <w:r>
              <w:rPr>
                <w:rFonts w:hint="eastAsia"/>
                <w:sz w:val="24"/>
              </w:rPr>
              <w:t>。</w:t>
            </w:r>
          </w:p>
          <w:p>
            <w:pPr>
              <w:adjustRightInd w:val="0"/>
              <w:snapToGrid w:val="0"/>
              <w:spacing w:line="360" w:lineRule="auto"/>
              <w:ind w:firstLine="480" w:firstLineChars="200"/>
              <w:rPr>
                <w:rFonts w:eastAsiaTheme="minorEastAsia"/>
                <w:sz w:val="24"/>
              </w:rPr>
            </w:pPr>
            <w:r>
              <w:rPr>
                <w:rFonts w:eastAsiaTheme="minorEastAsia"/>
                <w:kern w:val="0"/>
                <w:sz w:val="24"/>
              </w:rPr>
              <w:t>本环评要求建设单位在食堂厨房排水口设置隔油池，使得食堂厨房餐饮废水经过隔油处理后与其他生活污水一同排入</w:t>
            </w:r>
            <w:r>
              <w:rPr>
                <w:rFonts w:eastAsiaTheme="minorEastAsia"/>
                <w:sz w:val="24"/>
              </w:rPr>
              <w:t>污水管道</w:t>
            </w:r>
            <w:r>
              <w:rPr>
                <w:rFonts w:eastAsiaTheme="minorEastAsia"/>
                <w:kern w:val="0"/>
                <w:sz w:val="24"/>
              </w:rPr>
              <w:t>，</w:t>
            </w:r>
            <w:r>
              <w:rPr>
                <w:rFonts w:eastAsiaTheme="minorEastAsia"/>
                <w:sz w:val="24"/>
              </w:rPr>
              <w:t>经园区污水管网排至鄯善县污水处理厂进行处理。</w:t>
            </w:r>
          </w:p>
          <w:p>
            <w:pPr>
              <w:pStyle w:val="58"/>
              <w:adjustRightInd w:val="0"/>
              <w:ind w:firstLine="482"/>
              <w:jc w:val="both"/>
              <w:rPr>
                <w:rFonts w:ascii="Times New Roman" w:hAnsi="Times New Roman" w:eastAsiaTheme="minorEastAsia"/>
                <w:b/>
                <w:snapToGrid/>
                <w:kern w:val="2"/>
              </w:rPr>
            </w:pPr>
            <w:r>
              <w:rPr>
                <w:rFonts w:ascii="Times New Roman" w:hAnsi="Times New Roman" w:eastAsiaTheme="minorEastAsia"/>
                <w:b/>
                <w:snapToGrid/>
                <w:kern w:val="2"/>
              </w:rPr>
              <w:t>3.噪声</w:t>
            </w:r>
          </w:p>
          <w:p>
            <w:pPr>
              <w:pStyle w:val="79"/>
              <w:adjustRightInd w:val="0"/>
              <w:snapToGrid w:val="0"/>
              <w:spacing w:line="360" w:lineRule="auto"/>
              <w:ind w:firstLine="480"/>
              <w:jc w:val="both"/>
              <w:rPr>
                <w:rFonts w:eastAsiaTheme="minorEastAsia"/>
                <w:lang w:eastAsia="zh-CN"/>
              </w:rPr>
            </w:pPr>
            <w:r>
              <w:rPr>
                <w:lang w:eastAsia="zh-CN" w:bidi="ar"/>
              </w:rPr>
              <w:t>根据预</w:t>
            </w:r>
            <w:r>
              <w:rPr>
                <w:rFonts w:eastAsiaTheme="minorEastAsia"/>
                <w:lang w:eastAsia="zh-CN" w:bidi="ar"/>
              </w:rPr>
              <w:t>测结果可知，正常工况下项目厂界四周昼间噪声预测值均符合《工业企业厂界环境噪声排放标准》（GB12348-2008）中的3类标准。故项目实施后对周围声环境影响较小。</w:t>
            </w:r>
          </w:p>
          <w:p>
            <w:pPr>
              <w:pStyle w:val="58"/>
              <w:adjustRightInd w:val="0"/>
              <w:ind w:firstLine="482"/>
              <w:jc w:val="both"/>
              <w:rPr>
                <w:rFonts w:ascii="Times New Roman" w:hAnsi="Times New Roman" w:eastAsiaTheme="minorEastAsia"/>
                <w:b/>
              </w:rPr>
            </w:pPr>
            <w:r>
              <w:rPr>
                <w:rFonts w:ascii="Times New Roman" w:hAnsi="Times New Roman" w:eastAsiaTheme="minorEastAsia"/>
                <w:b/>
              </w:rPr>
              <w:t>4</w:t>
            </w:r>
            <w:r>
              <w:rPr>
                <w:rFonts w:hint="eastAsia" w:ascii="Times New Roman" w:hAnsi="Times New Roman" w:eastAsiaTheme="minorEastAsia"/>
                <w:b/>
              </w:rPr>
              <w:t>.</w:t>
            </w:r>
            <w:r>
              <w:rPr>
                <w:rFonts w:ascii="Times New Roman" w:hAnsi="Times New Roman" w:eastAsiaTheme="minorEastAsia"/>
                <w:b/>
              </w:rPr>
              <w:t>固体废物</w:t>
            </w:r>
          </w:p>
          <w:p>
            <w:pPr>
              <w:pStyle w:val="58"/>
              <w:adjustRightInd w:val="0"/>
              <w:jc w:val="both"/>
              <w:rPr>
                <w:rFonts w:ascii="Times New Roman" w:hAnsi="Times New Roman" w:eastAsiaTheme="minorEastAsia"/>
              </w:rPr>
            </w:pPr>
            <w:r>
              <w:rPr>
                <w:rFonts w:ascii="Times New Roman" w:hAnsi="Times New Roman" w:eastAsiaTheme="minorEastAsia"/>
              </w:rPr>
              <w:t>本项目为废钢、废铝、废铜、废旧五金、废旧家电、报废车辆拆解项目，由于其行业特征，生产过程中产生大量的固体废物，其中大部分以目前的技术经济水平是可以利用的，即作为本项目的产品，在厂区内分类收集后直接出售给相关回收单位再生利用。其余不可利用的为本项目产生的固废，包括一般工业固废、危险废物及职工生活垃圾。</w:t>
            </w:r>
          </w:p>
          <w:p>
            <w:pPr>
              <w:pStyle w:val="58"/>
              <w:adjustRightInd w:val="0"/>
              <w:ind w:firstLine="482"/>
              <w:jc w:val="both"/>
              <w:rPr>
                <w:rFonts w:ascii="Times New Roman" w:hAnsi="Times New Roman" w:eastAsiaTheme="minorEastAsia"/>
                <w:b/>
              </w:rPr>
            </w:pPr>
            <w:r>
              <w:rPr>
                <w:rFonts w:ascii="Times New Roman" w:hAnsi="Times New Roman" w:eastAsiaTheme="minorEastAsia"/>
                <w:b/>
              </w:rPr>
              <w:t>（1）一般工业固废</w:t>
            </w:r>
          </w:p>
          <w:p>
            <w:pPr>
              <w:pStyle w:val="58"/>
              <w:adjustRightInd w:val="0"/>
              <w:jc w:val="both"/>
              <w:rPr>
                <w:rFonts w:ascii="Times New Roman" w:hAnsi="Times New Roman" w:eastAsiaTheme="minorEastAsia"/>
              </w:rPr>
            </w:pPr>
            <w:r>
              <w:rPr>
                <w:rFonts w:ascii="Times New Roman" w:hAnsi="Times New Roman" w:eastAsiaTheme="minorEastAsia"/>
              </w:rPr>
              <w:t>本项目一般工业固废主要为</w:t>
            </w:r>
            <w:r>
              <w:rPr>
                <w:rFonts w:hint="eastAsia" w:ascii="Times New Roman" w:hAnsi="Times New Roman" w:eastAsiaTheme="minorEastAsia"/>
                <w:lang w:val="en-US" w:eastAsia="zh-CN"/>
              </w:rPr>
              <w:t>不可组装的零部件及拆解产物中的一般固废、除尘器收集的粉尘、废活性炭、含油污泥等。</w:t>
            </w:r>
          </w:p>
          <w:p>
            <w:pPr>
              <w:pStyle w:val="58"/>
              <w:adjustRightInd w:val="0"/>
              <w:ind w:firstLine="482"/>
              <w:jc w:val="both"/>
              <w:rPr>
                <w:rFonts w:ascii="Times New Roman" w:hAnsi="Times New Roman" w:eastAsiaTheme="minorEastAsia"/>
                <w:b/>
                <w:bCs/>
              </w:rPr>
            </w:pPr>
            <w:r>
              <w:rPr>
                <w:rFonts w:ascii="Times New Roman" w:hAnsi="Times New Roman" w:eastAsiaTheme="minorEastAsia"/>
                <w:b/>
                <w:bCs/>
              </w:rPr>
              <w:t>（2）危险废物</w:t>
            </w:r>
          </w:p>
          <w:p>
            <w:pPr>
              <w:pStyle w:val="58"/>
              <w:adjustRightInd w:val="0"/>
              <w:jc w:val="both"/>
              <w:rPr>
                <w:rFonts w:hint="default" w:ascii="Times New Roman" w:hAnsi="Times New Roman" w:eastAsiaTheme="minorEastAsia"/>
                <w:color w:val="000000" w:themeColor="text1"/>
                <w:lang w:val="en-US" w:eastAsia="zh-CN"/>
                <w14:textFill>
                  <w14:solidFill>
                    <w14:schemeClr w14:val="tx1"/>
                  </w14:solidFill>
                </w14:textFill>
              </w:rPr>
            </w:pPr>
            <w:r>
              <w:rPr>
                <w:rFonts w:ascii="Times New Roman" w:hAnsi="Times New Roman" w:eastAsiaTheme="minorEastAsia"/>
              </w:rPr>
              <w:t>本项目</w:t>
            </w:r>
            <w:r>
              <w:rPr>
                <w:rFonts w:hint="eastAsia" w:ascii="Times New Roman" w:hAnsi="Times New Roman" w:eastAsiaTheme="minorEastAsia"/>
                <w:lang w:val="en-US" w:eastAsia="zh-CN"/>
              </w:rPr>
              <w:t>报废</w:t>
            </w:r>
            <w:r>
              <w:rPr>
                <w:rFonts w:ascii="Times New Roman" w:hAnsi="Times New Roman" w:eastAsiaTheme="minorEastAsia"/>
              </w:rPr>
              <w:t>汽车、废旧五金、废旧家电</w:t>
            </w:r>
            <w:r>
              <w:rPr>
                <w:rFonts w:hint="eastAsia" w:ascii="Times New Roman" w:hAnsi="Times New Roman" w:eastAsiaTheme="minorEastAsia"/>
                <w:lang w:eastAsia="zh-CN"/>
              </w:rPr>
              <w:t>、</w:t>
            </w:r>
            <w:r>
              <w:rPr>
                <w:rFonts w:hint="eastAsia" w:ascii="Times New Roman" w:hAnsi="Times New Roman" w:eastAsiaTheme="minorEastAsia"/>
                <w:lang w:val="en-US" w:eastAsia="zh-CN"/>
              </w:rPr>
              <w:t>废钢、废铝、废铜</w:t>
            </w:r>
            <w:r>
              <w:rPr>
                <w:rFonts w:ascii="Times New Roman" w:hAnsi="Times New Roman" w:eastAsiaTheme="minorEastAsia"/>
              </w:rPr>
              <w:t>拆解过</w:t>
            </w:r>
            <w:r>
              <w:rPr>
                <w:rFonts w:hint="eastAsia" w:ascii="Times New Roman" w:hAnsi="Times New Roman" w:eastAsiaTheme="minorEastAsia"/>
              </w:rPr>
              <w:t>程中</w:t>
            </w:r>
            <w:r>
              <w:rPr>
                <w:rFonts w:ascii="Times New Roman" w:hAnsi="Times New Roman" w:eastAsiaTheme="minorEastAsia"/>
              </w:rPr>
              <w:t>产生的废蓄电池、废尾气</w:t>
            </w:r>
            <w:r>
              <w:rPr>
                <w:rFonts w:hint="eastAsia" w:ascii="Times New Roman" w:hAnsi="Times New Roman" w:eastAsiaTheme="minorEastAsia"/>
              </w:rPr>
              <w:t>催化剂</w:t>
            </w:r>
            <w:r>
              <w:rPr>
                <w:rFonts w:ascii="Times New Roman" w:hAnsi="Times New Roman" w:eastAsiaTheme="minorEastAsia"/>
              </w:rPr>
              <w:t>、废油液、废制冷剂、废含汞开关、</w:t>
            </w:r>
            <w:r>
              <w:rPr>
                <w:rFonts w:hint="eastAsia" w:ascii="Times New Roman" w:hAnsi="Times New Roman" w:eastAsiaTheme="minorEastAsia"/>
                <w:lang w:val="en-US" w:eastAsia="zh-CN"/>
              </w:rPr>
              <w:t>废</w:t>
            </w:r>
            <w:r>
              <w:rPr>
                <w:rFonts w:ascii="Times New Roman" w:hAnsi="Times New Roman" w:eastAsiaTheme="minorEastAsia"/>
              </w:rPr>
              <w:t>电路板、废电容器及</w:t>
            </w:r>
            <w:r>
              <w:rPr>
                <w:rFonts w:hint="eastAsia" w:ascii="Times New Roman" w:hAnsi="Times New Roman" w:eastAsiaTheme="minorEastAsia"/>
              </w:rPr>
              <w:t>废矿物油</w:t>
            </w:r>
            <w:r>
              <w:rPr>
                <w:rFonts w:ascii="Times New Roman" w:hAnsi="Times New Roman" w:eastAsiaTheme="minorEastAsia"/>
              </w:rPr>
              <w:t>等均属于危险废物</w:t>
            </w:r>
            <w:r>
              <w:rPr>
                <w:rFonts w:hint="eastAsia" w:ascii="Times New Roman" w:hAnsi="Times New Roman" w:eastAsiaTheme="minorEastAsia"/>
                <w:lang w:eastAsia="zh-CN"/>
              </w:rPr>
              <w:t>；</w:t>
            </w:r>
            <w:r>
              <w:rPr>
                <w:rFonts w:hint="eastAsia" w:ascii="Times New Roman" w:hAnsi="Times New Roman" w:eastAsiaTheme="minorEastAsia"/>
                <w:lang w:val="en-US" w:eastAsia="zh-CN"/>
              </w:rPr>
              <w:t>机械设备维修保养过程会产生废机油、废润滑油等废矿物油；活性炭吸附装置定期更换会产生废活性炭；油水分离器定期清理会产生含油污</w:t>
            </w:r>
            <w:r>
              <w:rPr>
                <w:rFonts w:hint="eastAsia" w:ascii="Times New Roman" w:hAnsi="Times New Roman" w:eastAsiaTheme="minorEastAsia"/>
                <w:color w:val="000000" w:themeColor="text1"/>
                <w:lang w:val="en-US" w:eastAsia="zh-CN"/>
                <w14:textFill>
                  <w14:solidFill>
                    <w14:schemeClr w14:val="tx1"/>
                  </w14:solidFill>
                </w14:textFill>
              </w:rPr>
              <w:t>泥。</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本环评要求</w:t>
            </w:r>
            <w:r>
              <w:rPr>
                <w:rFonts w:hint="eastAsia" w:asciiTheme="minorEastAsia" w:hAnsiTheme="minorEastAsia" w:eastAsiaTheme="minorEastAsia" w:cstheme="minorEastAsia"/>
                <w:color w:val="000000" w:themeColor="text1"/>
                <w:lang w:eastAsia="zh-CN"/>
                <w14:textFill>
                  <w14:solidFill>
                    <w14:schemeClr w14:val="tx1"/>
                  </w14:solidFill>
                </w14:textFill>
              </w:rPr>
              <w:t>拆解</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产生</w:t>
            </w:r>
            <w:r>
              <w:rPr>
                <w:rFonts w:hint="eastAsia" w:asciiTheme="minorEastAsia" w:hAnsiTheme="minorEastAsia" w:eastAsiaTheme="minorEastAsia" w:cstheme="minorEastAsia"/>
                <w:color w:val="000000" w:themeColor="text1"/>
                <w:lang w:eastAsia="zh-CN"/>
                <w14:textFill>
                  <w14:solidFill>
                    <w14:schemeClr w14:val="tx1"/>
                  </w14:solidFill>
                </w14:textFill>
              </w:rPr>
              <w:t>的废电路板等</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危险废物</w:t>
            </w:r>
            <w:r>
              <w:rPr>
                <w:rFonts w:hint="eastAsia" w:asciiTheme="minorEastAsia" w:hAnsiTheme="minorEastAsia" w:eastAsiaTheme="minorEastAsia" w:cstheme="minorEastAsia"/>
                <w:color w:val="000000" w:themeColor="text1"/>
                <w:lang w:eastAsia="zh-CN"/>
                <w14:textFill>
                  <w14:solidFill>
                    <w14:schemeClr w14:val="tx1"/>
                  </w14:solidFill>
                </w14:textFill>
              </w:rPr>
              <w:t>交由有资质的专业公司进一步处理，</w:t>
            </w:r>
            <w:r>
              <w:rPr>
                <w:rFonts w:hint="eastAsia" w:eastAsiaTheme="minorEastAsia"/>
                <w:b w:val="0"/>
                <w:bCs w:val="0"/>
                <w:color w:val="000000" w:themeColor="text1"/>
                <w:sz w:val="24"/>
                <w:lang w:val="en-US" w:eastAsia="zh-CN"/>
                <w14:textFill>
                  <w14:solidFill>
                    <w14:schemeClr w14:val="tx1"/>
                  </w14:solidFill>
                </w14:textFill>
              </w:rPr>
              <w:t>制冷剂采用专用设备抽取后存放于密闭压力钢瓶中，回收的制冷剂应交由从事消耗臭氧层物质回收、再生利用、销毁等经营活动的单位进行无害化处置。</w:t>
            </w:r>
          </w:p>
          <w:p>
            <w:pPr>
              <w:pStyle w:val="58"/>
              <w:adjustRightInd w:val="0"/>
              <w:ind w:firstLine="482"/>
              <w:jc w:val="both"/>
              <w:rPr>
                <w:rFonts w:ascii="Times New Roman" w:hAnsi="Times New Roman" w:eastAsiaTheme="minorEastAsia"/>
                <w:b/>
                <w:bCs/>
              </w:rPr>
            </w:pPr>
            <w:r>
              <w:rPr>
                <w:rFonts w:hint="eastAsia" w:ascii="Times New Roman" w:hAnsi="Times New Roman" w:eastAsiaTheme="minorEastAsia"/>
                <w:b/>
                <w:bCs/>
              </w:rPr>
              <w:t>（3）</w:t>
            </w:r>
            <w:r>
              <w:rPr>
                <w:rFonts w:ascii="Times New Roman" w:hAnsi="Times New Roman" w:eastAsiaTheme="minorEastAsia"/>
                <w:b/>
                <w:bCs/>
              </w:rPr>
              <w:t>生活垃圾</w:t>
            </w:r>
          </w:p>
          <w:p>
            <w:pPr>
              <w:pStyle w:val="58"/>
              <w:adjustRightInd w:val="0"/>
              <w:jc w:val="both"/>
              <w:rPr>
                <w:rFonts w:ascii="Times New Roman" w:hAnsi="Times New Roman" w:eastAsiaTheme="minorEastAsia"/>
              </w:rPr>
            </w:pPr>
            <w:r>
              <w:rPr>
                <w:rFonts w:ascii="Times New Roman" w:hAnsi="Times New Roman" w:eastAsiaTheme="minorEastAsia"/>
              </w:rPr>
              <w:t>生活垃圾集中收集后由环卫部门统一清运。</w:t>
            </w:r>
          </w:p>
          <w:p>
            <w:pPr>
              <w:widowControl/>
              <w:adjustRightInd w:val="0"/>
              <w:snapToGrid w:val="0"/>
              <w:spacing w:line="360" w:lineRule="auto"/>
              <w:ind w:firstLine="482" w:firstLineChars="200"/>
              <w:rPr>
                <w:rFonts w:eastAsiaTheme="minorEastAsia"/>
                <w:b/>
                <w:sz w:val="24"/>
              </w:rPr>
            </w:pPr>
            <w:r>
              <w:rPr>
                <w:rFonts w:hint="eastAsia" w:eastAsiaTheme="minorEastAsia"/>
                <w:b/>
                <w:sz w:val="24"/>
              </w:rPr>
              <w:t>（4）</w:t>
            </w:r>
            <w:r>
              <w:rPr>
                <w:rFonts w:eastAsiaTheme="minorEastAsia"/>
                <w:b/>
                <w:sz w:val="24"/>
              </w:rPr>
              <w:t>废油脂</w:t>
            </w:r>
          </w:p>
          <w:p>
            <w:pPr>
              <w:pStyle w:val="58"/>
              <w:adjustRightInd w:val="0"/>
              <w:jc w:val="both"/>
              <w:rPr>
                <w:rFonts w:ascii="Times New Roman" w:hAnsi="Times New Roman" w:eastAsiaTheme="minorEastAsia"/>
              </w:rPr>
            </w:pPr>
            <w:r>
              <w:rPr>
                <w:rFonts w:ascii="Times New Roman" w:hAnsi="Times New Roman" w:eastAsiaTheme="minorEastAsia"/>
                <w:bCs/>
              </w:rPr>
              <w:t>本项目食堂设置有隔油沉淀池，定期清理其中的废油，集中收集后，由生活垃圾一同委托</w:t>
            </w:r>
            <w:r>
              <w:rPr>
                <w:rFonts w:ascii="Times New Roman" w:hAnsi="Times New Roman" w:eastAsiaTheme="minorEastAsia"/>
                <w:bCs/>
                <w:color w:val="000000"/>
              </w:rPr>
              <w:t>环卫部门统一清运</w:t>
            </w:r>
            <w:r>
              <w:rPr>
                <w:rFonts w:ascii="Times New Roman" w:hAnsi="Times New Roman" w:eastAsiaTheme="minorEastAsia"/>
                <w:bCs/>
              </w:rPr>
              <w:t>。</w:t>
            </w:r>
          </w:p>
          <w:p>
            <w:pPr>
              <w:keepNext/>
              <w:keepLines/>
              <w:adjustRightInd w:val="0"/>
              <w:snapToGrid w:val="0"/>
              <w:spacing w:line="360" w:lineRule="auto"/>
              <w:ind w:firstLine="482" w:firstLineChars="200"/>
              <w:rPr>
                <w:rFonts w:eastAsiaTheme="minorEastAsia"/>
                <w:b/>
                <w:bCs/>
                <w:color w:val="000000"/>
                <w:sz w:val="24"/>
              </w:rPr>
            </w:pPr>
            <w:r>
              <w:rPr>
                <w:rFonts w:eastAsiaTheme="minorEastAsia"/>
                <w:b/>
                <w:bCs/>
                <w:color w:val="000000"/>
                <w:sz w:val="24"/>
              </w:rPr>
              <w:t>（5）危险废物暂存及运输措施</w:t>
            </w:r>
          </w:p>
          <w:p>
            <w:pPr>
              <w:widowControl/>
              <w:adjustRightInd w:val="0"/>
              <w:snapToGrid w:val="0"/>
              <w:spacing w:line="360" w:lineRule="auto"/>
              <w:ind w:firstLine="480" w:firstLineChars="200"/>
              <w:jc w:val="left"/>
              <w:rPr>
                <w:kern w:val="0"/>
                <w:sz w:val="24"/>
                <w:szCs w:val="20"/>
              </w:rPr>
            </w:pPr>
            <w:r>
              <w:rPr>
                <w:rFonts w:eastAsiaTheme="minorEastAsia"/>
                <w:sz w:val="24"/>
              </w:rPr>
              <w:t>本项目</w:t>
            </w:r>
            <w:r>
              <w:rPr>
                <w:rFonts w:hint="eastAsia" w:eastAsiaTheme="minorEastAsia"/>
                <w:sz w:val="24"/>
              </w:rPr>
              <w:t>生产过</w:t>
            </w:r>
            <w:r>
              <w:rPr>
                <w:rFonts w:hint="eastAsia" w:eastAsiaTheme="minorEastAsia"/>
                <w:sz w:val="24"/>
                <w:lang w:eastAsia="zh-CN"/>
              </w:rPr>
              <w:t>程中</w:t>
            </w:r>
            <w:r>
              <w:rPr>
                <w:rFonts w:hint="eastAsia" w:eastAsiaTheme="minorEastAsia"/>
                <w:sz w:val="24"/>
              </w:rPr>
              <w:t>产生</w:t>
            </w:r>
            <w:r>
              <w:rPr>
                <w:rFonts w:hint="eastAsia" w:eastAsiaTheme="minorEastAsia"/>
                <w:sz w:val="24"/>
                <w:lang w:eastAsia="zh-CN"/>
              </w:rPr>
              <w:t>的</w:t>
            </w:r>
            <w:r>
              <w:rPr>
                <w:rFonts w:hint="eastAsia" w:eastAsiaTheme="minorEastAsia"/>
                <w:sz w:val="24"/>
              </w:rPr>
              <w:t>危险废物有</w:t>
            </w:r>
            <w:r>
              <w:rPr>
                <w:rFonts w:eastAsiaTheme="minorEastAsia"/>
                <w:sz w:val="24"/>
              </w:rPr>
              <w:t>废蓄电池、废尾气</w:t>
            </w:r>
            <w:r>
              <w:rPr>
                <w:rFonts w:hint="eastAsia" w:eastAsiaTheme="minorEastAsia"/>
                <w:sz w:val="24"/>
              </w:rPr>
              <w:t>催化剂</w:t>
            </w:r>
            <w:r>
              <w:rPr>
                <w:rFonts w:eastAsiaTheme="minorEastAsia"/>
                <w:sz w:val="24"/>
              </w:rPr>
              <w:t>、废油液、废制冷剂、废含汞开关、电路板、废电容器及</w:t>
            </w:r>
            <w:r>
              <w:rPr>
                <w:rFonts w:hint="eastAsia" w:eastAsiaTheme="minorEastAsia"/>
                <w:sz w:val="24"/>
              </w:rPr>
              <w:t>废矿物油</w:t>
            </w:r>
            <w:r>
              <w:rPr>
                <w:rFonts w:eastAsiaTheme="minorEastAsia"/>
                <w:sz w:val="24"/>
              </w:rPr>
              <w:t>等。</w:t>
            </w:r>
            <w:r>
              <w:rPr>
                <w:rFonts w:hint="eastAsia" w:eastAsiaTheme="minorEastAsia"/>
                <w:sz w:val="24"/>
                <w:lang w:val="en-US" w:eastAsia="zh-CN"/>
              </w:rPr>
              <w:t>本</w:t>
            </w:r>
            <w:r>
              <w:rPr>
                <w:rFonts w:hint="eastAsia" w:eastAsiaTheme="minorEastAsia"/>
                <w:sz w:val="24"/>
              </w:rPr>
              <w:t>项目</w:t>
            </w:r>
            <w:r>
              <w:rPr>
                <w:rFonts w:eastAsiaTheme="minorEastAsia"/>
                <w:color w:val="000000" w:themeColor="text1"/>
                <w:sz w:val="24"/>
                <w14:textFill>
                  <w14:solidFill>
                    <w14:schemeClr w14:val="tx1"/>
                  </w14:solidFill>
                </w14:textFill>
              </w:rPr>
              <w:t>购买成品</w:t>
            </w:r>
            <w:r>
              <w:rPr>
                <w:rFonts w:hint="eastAsia" w:eastAsiaTheme="minorEastAsia"/>
                <w:color w:val="000000" w:themeColor="text1"/>
                <w:sz w:val="24"/>
                <w14:textFill>
                  <w14:solidFill>
                    <w14:schemeClr w14:val="tx1"/>
                  </w14:solidFill>
                </w14:textFill>
              </w:rPr>
              <w:t>危废贮存库</w:t>
            </w:r>
            <w:r>
              <w:rPr>
                <w:rFonts w:eastAsiaTheme="minorEastAsia"/>
                <w:color w:val="000000" w:themeColor="text1"/>
                <w:sz w:val="24"/>
                <w14:textFill>
                  <w14:solidFill>
                    <w14:schemeClr w14:val="tx1"/>
                  </w14:solidFill>
                </w14:textFill>
              </w:rPr>
              <w:t>1座，位于生产车间北侧</w:t>
            </w:r>
            <w:r>
              <w:rPr>
                <w:rFonts w:eastAsiaTheme="minorEastAsia"/>
                <w:color w:val="000000" w:themeColor="text1"/>
                <w:sz w:val="24"/>
                <w:szCs w:val="24"/>
                <w14:textFill>
                  <w14:solidFill>
                    <w14:schemeClr w14:val="tx1"/>
                  </w14:solidFill>
                </w14:textFill>
              </w:rPr>
              <w:t>区域西南侧，</w:t>
            </w:r>
            <w:r>
              <w:rPr>
                <w:rFonts w:hint="eastAsia" w:eastAsiaTheme="minorEastAsia"/>
                <w:color w:val="000000" w:themeColor="text1"/>
                <w:sz w:val="24"/>
                <w:szCs w:val="24"/>
                <w:lang w:val="en-US" w:eastAsia="zh-CN"/>
                <w14:textFill>
                  <w14:solidFill>
                    <w14:schemeClr w14:val="tx1"/>
                  </w14:solidFill>
                </w14:textFill>
              </w:rPr>
              <w:t>该危废暂存库分4部分，每个部分面积为12</w:t>
            </w:r>
            <w:r>
              <w:rPr>
                <w:rFonts w:eastAsiaTheme="minorEastAsia"/>
                <w:color w:val="000000" w:themeColor="text1"/>
                <w:sz w:val="24"/>
                <w:szCs w:val="24"/>
                <w14:textFill>
                  <w14:solidFill>
                    <w14:schemeClr w14:val="tx1"/>
                  </w14:solidFill>
                </w14:textFill>
              </w:rPr>
              <w:t>m</w:t>
            </w:r>
            <w:r>
              <w:rPr>
                <w:rFonts w:eastAsiaTheme="minorEastAsia"/>
                <w:color w:val="000000" w:themeColor="text1"/>
                <w:sz w:val="24"/>
                <w:szCs w:val="24"/>
                <w:vertAlign w:val="superscript"/>
                <w14:textFill>
                  <w14:solidFill>
                    <w14:schemeClr w14:val="tx1"/>
                  </w14:solidFill>
                </w14:textFill>
              </w:rPr>
              <w:t>2</w:t>
            </w:r>
            <w:r>
              <w:rPr>
                <w:rFonts w:hint="eastAsia" w:eastAsiaTheme="minorEastAsia"/>
                <w:color w:val="000000" w:themeColor="text1"/>
                <w:sz w:val="24"/>
                <w:szCs w:val="24"/>
                <w:vertAlign w:val="baseline"/>
                <w:lang w:eastAsia="zh-CN"/>
                <w14:textFill>
                  <w14:solidFill>
                    <w14:schemeClr w14:val="tx1"/>
                  </w14:solidFill>
                </w14:textFill>
              </w:rPr>
              <w:t>，</w:t>
            </w:r>
            <w:r>
              <w:rPr>
                <w:rFonts w:hint="eastAsia" w:eastAsiaTheme="minorEastAsia"/>
                <w:color w:val="000000" w:themeColor="text1"/>
                <w:sz w:val="24"/>
                <w:szCs w:val="24"/>
                <w:vertAlign w:val="baseline"/>
                <w:lang w:val="en-US" w:eastAsia="zh-CN"/>
                <w14:textFill>
                  <w14:solidFill>
                    <w14:schemeClr w14:val="tx1"/>
                  </w14:solidFill>
                </w14:textFill>
              </w:rPr>
              <w:t>总</w:t>
            </w:r>
            <w:r>
              <w:rPr>
                <w:rFonts w:eastAsiaTheme="minorEastAsia"/>
                <w:color w:val="000000" w:themeColor="text1"/>
                <w:sz w:val="24"/>
                <w:szCs w:val="24"/>
                <w14:textFill>
                  <w14:solidFill>
                    <w14:schemeClr w14:val="tx1"/>
                  </w14:solidFill>
                </w14:textFill>
              </w:rPr>
              <w:t>面积3</w:t>
            </w:r>
            <w:r>
              <w:rPr>
                <w:rFonts w:hint="eastAsia" w:eastAsiaTheme="minorEastAsia"/>
                <w:color w:val="000000" w:themeColor="text1"/>
                <w:sz w:val="24"/>
                <w:szCs w:val="24"/>
                <w:lang w:val="en-US" w:eastAsia="zh-CN"/>
                <w14:textFill>
                  <w14:solidFill>
                    <w14:schemeClr w14:val="tx1"/>
                  </w14:solidFill>
                </w14:textFill>
              </w:rPr>
              <w:t>6</w:t>
            </w:r>
            <w:r>
              <w:rPr>
                <w:rFonts w:eastAsiaTheme="minorEastAsia"/>
                <w:color w:val="000000" w:themeColor="text1"/>
                <w:sz w:val="24"/>
                <w:szCs w:val="24"/>
                <w14:textFill>
                  <w14:solidFill>
                    <w14:schemeClr w14:val="tx1"/>
                  </w14:solidFill>
                </w14:textFill>
              </w:rPr>
              <w:t>m</w:t>
            </w:r>
            <w:r>
              <w:rPr>
                <w:rFonts w:eastAsiaTheme="minorEastAsia"/>
                <w:color w:val="000000" w:themeColor="text1"/>
                <w:sz w:val="24"/>
                <w:szCs w:val="24"/>
                <w:vertAlign w:val="superscript"/>
                <w14:textFill>
                  <w14:solidFill>
                    <w14:schemeClr w14:val="tx1"/>
                  </w14:solidFill>
                </w14:textFill>
              </w:rPr>
              <w:t>2</w:t>
            </w:r>
            <w:r>
              <w:rPr>
                <w:rFonts w:hint="eastAsia" w:eastAsiaTheme="minorEastAsia"/>
                <w:color w:val="000000" w:themeColor="text1"/>
                <w:sz w:val="24"/>
                <w:szCs w:val="24"/>
                <w14:textFill>
                  <w14:solidFill>
                    <w14:schemeClr w14:val="tx1"/>
                  </w14:solidFill>
                </w14:textFill>
              </w:rPr>
              <w:t>，</w:t>
            </w:r>
            <w:r>
              <w:rPr>
                <w:rFonts w:hint="eastAsia"/>
                <w:sz w:val="24"/>
                <w:szCs w:val="24"/>
                <w:lang w:val="en-US" w:eastAsia="zh-CN"/>
              </w:rPr>
              <w:t>本环评要求危险废物采用密闭容器贮存并按照不同性质分区贮存。</w:t>
            </w:r>
          </w:p>
          <w:p>
            <w:pPr>
              <w:widowControl/>
              <w:adjustRightInd w:val="0"/>
              <w:snapToGrid w:val="0"/>
              <w:spacing w:line="360" w:lineRule="auto"/>
              <w:rPr>
                <w:rFonts w:eastAsiaTheme="minorEastAsia"/>
                <w:b/>
                <w:sz w:val="24"/>
              </w:rPr>
            </w:pPr>
            <w:r>
              <w:rPr>
                <w:rFonts w:hint="eastAsia"/>
                <w:b/>
                <w:sz w:val="24"/>
              </w:rPr>
              <w:t>11.</w:t>
            </w:r>
            <w:r>
              <w:rPr>
                <w:rFonts w:eastAsiaTheme="minorEastAsia"/>
                <w:b/>
                <w:sz w:val="24"/>
              </w:rPr>
              <w:t>地下水、土壤</w:t>
            </w:r>
          </w:p>
          <w:p>
            <w:pPr>
              <w:widowControl/>
              <w:adjustRightInd w:val="0"/>
              <w:snapToGrid w:val="0"/>
              <w:spacing w:line="360" w:lineRule="auto"/>
              <w:ind w:firstLine="480" w:firstLineChars="200"/>
              <w:rPr>
                <w:rFonts w:ascii="Times New Roman" w:hAnsi="Times New Roman" w:eastAsiaTheme="minorEastAsia"/>
              </w:rPr>
            </w:pPr>
            <w:r>
              <w:rPr>
                <w:rFonts w:eastAsiaTheme="minorEastAsia"/>
                <w:kern w:val="0"/>
                <w:sz w:val="24"/>
                <w:lang w:bidi="ar"/>
              </w:rPr>
              <w:t>本项目运营期间生活污水经市政管网排入鄯善县污水处理厂处理，地面</w:t>
            </w:r>
            <w:r>
              <w:rPr>
                <w:rFonts w:eastAsiaTheme="minorEastAsia"/>
                <w:sz w:val="24"/>
              </w:rPr>
              <w:t>清洗废水排入</w:t>
            </w:r>
            <w:r>
              <w:rPr>
                <w:rFonts w:eastAsiaTheme="minorEastAsia"/>
                <w:color w:val="000000" w:themeColor="text1"/>
                <w:sz w:val="24"/>
                <w14:textFill>
                  <w14:solidFill>
                    <w14:schemeClr w14:val="tx1"/>
                  </w14:solidFill>
                </w14:textFill>
              </w:rPr>
              <w:t>污水池通</w:t>
            </w:r>
            <w:r>
              <w:rPr>
                <w:rFonts w:eastAsiaTheme="minorEastAsia"/>
                <w:sz w:val="24"/>
              </w:rPr>
              <w:t>过油水分离器进行处理后经市政管网排入鄯善县污水处理厂。</w:t>
            </w:r>
            <w:r>
              <w:rPr>
                <w:rFonts w:eastAsiaTheme="minorEastAsia"/>
                <w:kern w:val="0"/>
                <w:sz w:val="24"/>
                <w:lang w:bidi="ar"/>
              </w:rPr>
              <w:t>项目产排污与地下水、土壤不产生联系，项目无地下水、土壤污染源。</w:t>
            </w:r>
          </w:p>
          <w:p>
            <w:pPr>
              <w:adjustRightInd w:val="0"/>
              <w:snapToGrid w:val="0"/>
              <w:spacing w:line="480" w:lineRule="exact"/>
              <w:rPr>
                <w:rFonts w:cs="宋体"/>
                <w:bCs/>
                <w:spacing w:val="-10"/>
                <w:sz w:val="24"/>
              </w:rPr>
            </w:pPr>
          </w:p>
        </w:tc>
      </w:tr>
    </w:tbl>
    <w:p>
      <w:pPr>
        <w:adjustRightInd w:val="0"/>
        <w:snapToGrid w:val="0"/>
        <w:spacing w:line="360" w:lineRule="auto"/>
        <w:rPr>
          <w:rFonts w:ascii="宋体" w:cs="宋体"/>
          <w:b/>
          <w:kern w:val="0"/>
          <w:sz w:val="28"/>
          <w:szCs w:val="28"/>
        </w:rPr>
        <w:sectPr>
          <w:pgSz w:w="11907" w:h="16840"/>
          <w:pgMar w:top="1701" w:right="1531" w:bottom="2127"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21"/>
        <w:jc w:val="center"/>
        <w:outlineLvl w:val="0"/>
        <w:rPr>
          <w:rFonts w:hint="eastAsia" w:ascii="黑体" w:hAnsi="黑体" w:eastAsia="黑体"/>
          <w:snapToGrid w:val="0"/>
          <w:sz w:val="30"/>
          <w:szCs w:val="30"/>
        </w:rPr>
      </w:pPr>
      <w:r>
        <w:rPr>
          <w:rFonts w:hint="eastAsia" w:ascii="黑体" w:hAnsi="黑体" w:eastAsia="黑体"/>
          <w:snapToGrid w:val="0"/>
          <w:sz w:val="30"/>
          <w:szCs w:val="30"/>
        </w:rPr>
        <w:t>五、</w:t>
      </w:r>
      <w:bookmarkStart w:id="1" w:name="_Hlk54167917"/>
      <w:r>
        <w:rPr>
          <w:rFonts w:hint="eastAsia" w:ascii="黑体" w:hAnsi="黑体" w:eastAsia="黑体"/>
          <w:snapToGrid w:val="0"/>
          <w:sz w:val="30"/>
          <w:szCs w:val="30"/>
        </w:rPr>
        <w:t>环境保护措施监督检查清单</w:t>
      </w:r>
      <w:bookmarkEnd w:id="1"/>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457"/>
        <w:gridCol w:w="1216"/>
        <w:gridCol w:w="2005"/>
        <w:gridCol w:w="2868"/>
        <w:tblGridChange w:id="0">
          <w:tblGrid>
            <w:gridCol w:w="1254"/>
            <w:gridCol w:w="1457"/>
            <w:gridCol w:w="1216"/>
            <w:gridCol w:w="2005"/>
            <w:gridCol w:w="2868"/>
          </w:tblGrid>
        </w:tblGridChange>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54" w:type="dxa"/>
            <w:tcBorders>
              <w:tl2br w:val="single" w:color="auto" w:sz="4" w:space="0"/>
            </w:tcBorders>
          </w:tcPr>
          <w:p>
            <w:pPr>
              <w:adjustRightInd w:val="0"/>
              <w:snapToGrid w:val="0"/>
              <w:ind w:firstLine="420" w:firstLineChars="200"/>
              <w:rPr>
                <w:rFonts w:eastAsiaTheme="minorEastAsia"/>
                <w:szCs w:val="21"/>
              </w:rPr>
            </w:pPr>
            <w:r>
              <w:rPr>
                <w:rFonts w:eastAsiaTheme="minorEastAsia"/>
                <w:szCs w:val="21"/>
              </w:rPr>
              <w:t>内容</w:t>
            </w:r>
          </w:p>
          <w:p>
            <w:pPr>
              <w:adjustRightInd w:val="0"/>
              <w:snapToGrid w:val="0"/>
              <w:rPr>
                <w:rFonts w:eastAsiaTheme="minorEastAsia"/>
                <w:szCs w:val="21"/>
              </w:rPr>
            </w:pPr>
          </w:p>
          <w:p>
            <w:pPr>
              <w:adjustRightInd w:val="0"/>
              <w:snapToGrid w:val="0"/>
              <w:rPr>
                <w:rFonts w:eastAsiaTheme="minorEastAsia"/>
                <w:szCs w:val="21"/>
              </w:rPr>
            </w:pPr>
            <w:r>
              <w:rPr>
                <w:rFonts w:eastAsiaTheme="minorEastAsia"/>
                <w:szCs w:val="21"/>
              </w:rPr>
              <w:t>要素</w:t>
            </w:r>
          </w:p>
        </w:tc>
        <w:tc>
          <w:tcPr>
            <w:tcW w:w="1457" w:type="dxa"/>
            <w:vAlign w:val="center"/>
          </w:tcPr>
          <w:p>
            <w:pPr>
              <w:adjustRightInd w:val="0"/>
              <w:snapToGrid w:val="0"/>
              <w:jc w:val="center"/>
              <w:rPr>
                <w:rFonts w:eastAsiaTheme="minorEastAsia"/>
                <w:szCs w:val="21"/>
              </w:rPr>
            </w:pPr>
            <w:r>
              <w:rPr>
                <w:rFonts w:eastAsiaTheme="minorEastAsia"/>
                <w:szCs w:val="21"/>
              </w:rPr>
              <w:t>排放口(编号、名称</w:t>
            </w:r>
            <w:r>
              <w:rPr>
                <w:rFonts w:hint="eastAsia" w:eastAsiaTheme="minorEastAsia"/>
                <w:szCs w:val="21"/>
                <w:lang w:eastAsia="zh-CN"/>
              </w:rPr>
              <w:t>）</w:t>
            </w:r>
            <w:r>
              <w:rPr>
                <w:rFonts w:eastAsiaTheme="minorEastAsia"/>
                <w:szCs w:val="21"/>
              </w:rPr>
              <w:t>/污染源</w:t>
            </w:r>
          </w:p>
        </w:tc>
        <w:tc>
          <w:tcPr>
            <w:tcW w:w="1216" w:type="dxa"/>
            <w:vAlign w:val="center"/>
          </w:tcPr>
          <w:p>
            <w:pPr>
              <w:adjustRightInd w:val="0"/>
              <w:snapToGrid w:val="0"/>
              <w:jc w:val="center"/>
              <w:rPr>
                <w:rFonts w:eastAsiaTheme="minorEastAsia"/>
                <w:szCs w:val="21"/>
              </w:rPr>
            </w:pPr>
            <w:r>
              <w:rPr>
                <w:rFonts w:eastAsiaTheme="minorEastAsia"/>
                <w:szCs w:val="21"/>
              </w:rPr>
              <w:t>污染物项目</w:t>
            </w:r>
          </w:p>
        </w:tc>
        <w:tc>
          <w:tcPr>
            <w:tcW w:w="2005" w:type="dxa"/>
            <w:vAlign w:val="center"/>
          </w:tcPr>
          <w:p>
            <w:pPr>
              <w:adjustRightInd w:val="0"/>
              <w:snapToGrid w:val="0"/>
              <w:jc w:val="center"/>
              <w:rPr>
                <w:rFonts w:eastAsiaTheme="minorEastAsia"/>
                <w:szCs w:val="21"/>
              </w:rPr>
            </w:pPr>
            <w:r>
              <w:rPr>
                <w:rFonts w:eastAsiaTheme="minorEastAsia"/>
                <w:szCs w:val="21"/>
              </w:rPr>
              <w:t>环境保护措施</w:t>
            </w:r>
          </w:p>
        </w:tc>
        <w:tc>
          <w:tcPr>
            <w:tcW w:w="2868" w:type="dxa"/>
            <w:vAlign w:val="center"/>
          </w:tcPr>
          <w:p>
            <w:pPr>
              <w:adjustRightInd w:val="0"/>
              <w:snapToGrid w:val="0"/>
              <w:jc w:val="center"/>
              <w:rPr>
                <w:rFonts w:eastAsiaTheme="minorEastAsia"/>
                <w:szCs w:val="21"/>
              </w:rPr>
            </w:pPr>
            <w:r>
              <w:rPr>
                <w:rFonts w:eastAsiaTheme="minorEastAsia"/>
                <w:szCs w:val="21"/>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254" w:type="dxa"/>
            <w:vMerge w:val="restart"/>
            <w:vAlign w:val="center"/>
          </w:tcPr>
          <w:p>
            <w:pPr>
              <w:adjustRightInd w:val="0"/>
              <w:snapToGrid w:val="0"/>
              <w:jc w:val="center"/>
              <w:rPr>
                <w:rFonts w:eastAsiaTheme="minorEastAsia"/>
                <w:szCs w:val="21"/>
              </w:rPr>
            </w:pPr>
            <w:r>
              <w:rPr>
                <w:rFonts w:eastAsiaTheme="minorEastAsia"/>
                <w:szCs w:val="21"/>
              </w:rPr>
              <w:t>大气环境</w:t>
            </w:r>
          </w:p>
        </w:tc>
        <w:tc>
          <w:tcPr>
            <w:tcW w:w="1457" w:type="dxa"/>
            <w:vAlign w:val="center"/>
          </w:tcPr>
          <w:p>
            <w:pPr>
              <w:spacing w:line="288" w:lineRule="auto"/>
              <w:jc w:val="center"/>
              <w:rPr>
                <w:rFonts w:eastAsiaTheme="minorEastAsia"/>
                <w:szCs w:val="21"/>
              </w:rPr>
            </w:pPr>
            <w:r>
              <w:rPr>
                <w:rFonts w:eastAsiaTheme="minorEastAsia"/>
                <w:color w:val="000000" w:themeColor="text1"/>
                <w:szCs w:val="21"/>
                <w14:textFill>
                  <w14:solidFill>
                    <w14:schemeClr w14:val="tx1"/>
                  </w14:solidFill>
                </w14:textFill>
              </w:rPr>
              <w:t>拆解、破碎粉尘排气筒（DA001）</w:t>
            </w:r>
          </w:p>
        </w:tc>
        <w:tc>
          <w:tcPr>
            <w:tcW w:w="1216" w:type="dxa"/>
            <w:vAlign w:val="center"/>
          </w:tcPr>
          <w:p>
            <w:pPr>
              <w:adjustRightInd w:val="0"/>
              <w:snapToGrid w:val="0"/>
              <w:jc w:val="center"/>
              <w:rPr>
                <w:rFonts w:eastAsiaTheme="minorEastAsia"/>
                <w:kern w:val="0"/>
                <w:szCs w:val="21"/>
              </w:rPr>
            </w:pPr>
            <w:r>
              <w:rPr>
                <w:rFonts w:eastAsiaTheme="minorEastAsia"/>
                <w:kern w:val="0"/>
                <w:szCs w:val="21"/>
              </w:rPr>
              <w:t>颗粒物</w:t>
            </w:r>
          </w:p>
        </w:tc>
        <w:tc>
          <w:tcPr>
            <w:tcW w:w="2005" w:type="dxa"/>
            <w:vAlign w:val="center"/>
          </w:tcPr>
          <w:p>
            <w:pPr>
              <w:adjustRightInd w:val="0"/>
              <w:snapToGrid w:val="0"/>
              <w:jc w:val="center"/>
              <w:rPr>
                <w:rFonts w:eastAsiaTheme="minorEastAsia"/>
                <w:szCs w:val="21"/>
              </w:rPr>
            </w:pPr>
            <w:r>
              <w:rPr>
                <w:rFonts w:eastAsiaTheme="minorEastAsia"/>
                <w:szCs w:val="21"/>
              </w:rPr>
              <w:t>封闭式车间，集气罩+引风机+布袋除尘器+15m排气筒</w:t>
            </w:r>
          </w:p>
        </w:tc>
        <w:tc>
          <w:tcPr>
            <w:tcW w:w="2868" w:type="dxa"/>
            <w:vMerge w:val="restart"/>
            <w:vAlign w:val="center"/>
          </w:tcPr>
          <w:p>
            <w:pPr>
              <w:adjustRightInd w:val="0"/>
              <w:snapToGrid w:val="0"/>
              <w:jc w:val="center"/>
              <w:rPr>
                <w:rFonts w:eastAsiaTheme="minorEastAsia"/>
                <w:szCs w:val="21"/>
              </w:rPr>
            </w:pPr>
            <w:r>
              <w:rPr>
                <w:rFonts w:eastAsiaTheme="minorEastAsia"/>
                <w:kern w:val="0"/>
                <w:szCs w:val="21"/>
              </w:rPr>
              <w:t>《大气污染物综合排放标准》（GB16297-1996）中表2新污染源大气污染物排放标准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54" w:type="dxa"/>
            <w:vMerge w:val="continue"/>
            <w:vAlign w:val="center"/>
          </w:tcPr>
          <w:p>
            <w:pPr>
              <w:adjustRightInd w:val="0"/>
              <w:snapToGrid w:val="0"/>
              <w:jc w:val="center"/>
              <w:rPr>
                <w:rFonts w:eastAsiaTheme="minorEastAsia"/>
                <w:szCs w:val="21"/>
              </w:rPr>
            </w:pPr>
          </w:p>
        </w:tc>
        <w:tc>
          <w:tcPr>
            <w:tcW w:w="1457" w:type="dxa"/>
            <w:vAlign w:val="center"/>
          </w:tcPr>
          <w:p>
            <w:pPr>
              <w:adjustRightInd w:val="0"/>
              <w:snapToGrid w:val="0"/>
              <w:jc w:val="center"/>
              <w:rPr>
                <w:rFonts w:eastAsiaTheme="minorEastAsia"/>
                <w:szCs w:val="21"/>
              </w:rPr>
            </w:pPr>
            <w:r>
              <w:rPr>
                <w:rFonts w:eastAsiaTheme="minorEastAsia"/>
                <w:color w:val="000000" w:themeColor="text1"/>
                <w:szCs w:val="21"/>
                <w14:textFill>
                  <w14:solidFill>
                    <w14:schemeClr w14:val="tx1"/>
                  </w14:solidFill>
                </w14:textFill>
              </w:rPr>
              <w:t>车辆</w:t>
            </w:r>
            <w:r>
              <w:rPr>
                <w:rFonts w:hint="eastAsia" w:eastAsiaTheme="minorEastAsia"/>
                <w:color w:val="000000" w:themeColor="text1"/>
                <w:szCs w:val="21"/>
                <w:lang w:val="en-US" w:eastAsia="zh-CN"/>
                <w14:textFill>
                  <w14:solidFill>
                    <w14:schemeClr w14:val="tx1"/>
                  </w14:solidFill>
                </w14:textFill>
              </w:rPr>
              <w:t>预</w:t>
            </w:r>
            <w:r>
              <w:rPr>
                <w:rFonts w:eastAsiaTheme="minorEastAsia"/>
                <w:color w:val="000000" w:themeColor="text1"/>
                <w:szCs w:val="21"/>
                <w14:textFill>
                  <w14:solidFill>
                    <w14:schemeClr w14:val="tx1"/>
                  </w14:solidFill>
                </w14:textFill>
              </w:rPr>
              <w:t>处理有机废气</w:t>
            </w:r>
            <w:r>
              <w:rPr>
                <w:rFonts w:hint="eastAsia" w:eastAsiaTheme="minorEastAsia"/>
                <w:color w:val="000000" w:themeColor="text1"/>
                <w:szCs w:val="21"/>
                <w:lang w:eastAsia="zh-CN"/>
                <w14:textFill>
                  <w14:solidFill>
                    <w14:schemeClr w14:val="tx1"/>
                  </w14:solidFill>
                </w14:textFill>
              </w:rPr>
              <w:t>、</w:t>
            </w:r>
            <w:r>
              <w:rPr>
                <w:rFonts w:hint="eastAsia" w:eastAsiaTheme="minorEastAsia"/>
                <w:color w:val="000000" w:themeColor="text1"/>
                <w:szCs w:val="21"/>
                <w:lang w:val="en-US" w:eastAsia="zh-CN"/>
                <w14:textFill>
                  <w14:solidFill>
                    <w14:schemeClr w14:val="tx1"/>
                  </w14:solidFill>
                </w14:textFill>
              </w:rPr>
              <w:t>废旧冰箱、空调抽取制冷剂废气</w:t>
            </w:r>
            <w:r>
              <w:rPr>
                <w:rFonts w:eastAsiaTheme="minorEastAsia"/>
                <w:color w:val="000000" w:themeColor="text1"/>
                <w:szCs w:val="21"/>
                <w14:textFill>
                  <w14:solidFill>
                    <w14:schemeClr w14:val="tx1"/>
                  </w14:solidFill>
                </w14:textFill>
              </w:rPr>
              <w:t>排气筒（DA002）</w:t>
            </w:r>
          </w:p>
        </w:tc>
        <w:tc>
          <w:tcPr>
            <w:tcW w:w="1216" w:type="dxa"/>
            <w:vAlign w:val="center"/>
          </w:tcPr>
          <w:p>
            <w:pPr>
              <w:adjustRightInd w:val="0"/>
              <w:snapToGrid w:val="0"/>
              <w:jc w:val="center"/>
              <w:rPr>
                <w:rFonts w:hint="default" w:eastAsiaTheme="minorEastAsia"/>
                <w:szCs w:val="21"/>
                <w:lang w:val="en-US" w:eastAsia="zh-CN"/>
              </w:rPr>
            </w:pPr>
            <w:r>
              <w:rPr>
                <w:rFonts w:eastAsiaTheme="minorEastAsia"/>
                <w:szCs w:val="21"/>
              </w:rPr>
              <w:t>非甲烷总烃</w:t>
            </w:r>
          </w:p>
        </w:tc>
        <w:tc>
          <w:tcPr>
            <w:tcW w:w="2005" w:type="dxa"/>
            <w:vAlign w:val="center"/>
          </w:tcPr>
          <w:p>
            <w:pPr>
              <w:adjustRightInd w:val="0"/>
              <w:snapToGrid w:val="0"/>
              <w:jc w:val="center"/>
              <w:rPr>
                <w:rFonts w:eastAsiaTheme="minorEastAsia"/>
                <w:szCs w:val="21"/>
              </w:rPr>
            </w:pPr>
            <w:r>
              <w:rPr>
                <w:rFonts w:eastAsiaTheme="minorEastAsia"/>
                <w:szCs w:val="21"/>
              </w:rPr>
              <w:t>封闭式车间，集气罩+引风机+活性炭吸附装置+15m排气筒</w:t>
            </w:r>
          </w:p>
        </w:tc>
        <w:tc>
          <w:tcPr>
            <w:tcW w:w="2868" w:type="dxa"/>
            <w:vMerge w:val="continue"/>
            <w:vAlign w:val="center"/>
          </w:tcPr>
          <w:p>
            <w:pPr>
              <w:adjustRightInd w:val="0"/>
              <w:snapToGrid w:val="0"/>
              <w:jc w:val="center"/>
              <w:rPr>
                <w:rFonts w:eastAsiaTheme="minor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02" w:hRule="atLeast"/>
          <w:jc w:val="center"/>
        </w:trPr>
        <w:tc>
          <w:tcPr>
            <w:tcW w:w="1254" w:type="dxa"/>
            <w:vMerge w:val="continue"/>
            <w:vAlign w:val="center"/>
          </w:tcPr>
          <w:p>
            <w:pPr>
              <w:adjustRightInd w:val="0"/>
              <w:snapToGrid w:val="0"/>
              <w:jc w:val="center"/>
              <w:rPr>
                <w:rFonts w:eastAsiaTheme="minorEastAsia"/>
                <w:szCs w:val="21"/>
              </w:rPr>
            </w:pPr>
          </w:p>
        </w:tc>
        <w:tc>
          <w:tcPr>
            <w:tcW w:w="1457" w:type="dxa"/>
            <w:vAlign w:val="center"/>
          </w:tcPr>
          <w:p>
            <w:pPr>
              <w:adjustRightInd w:val="0"/>
              <w:snapToGrid w:val="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无组织废气</w:t>
            </w:r>
          </w:p>
        </w:tc>
        <w:tc>
          <w:tcPr>
            <w:tcW w:w="1216" w:type="dxa"/>
            <w:vAlign w:val="center"/>
          </w:tcPr>
          <w:p>
            <w:pPr>
              <w:adjustRightInd w:val="0"/>
              <w:snapToGrid w:val="0"/>
              <w:jc w:val="center"/>
              <w:rPr>
                <w:rFonts w:hint="default" w:eastAsiaTheme="minorEastAsia"/>
                <w:szCs w:val="21"/>
                <w:lang w:val="en-US" w:eastAsia="zh-CN"/>
              </w:rPr>
            </w:pPr>
            <w:r>
              <w:rPr>
                <w:rFonts w:eastAsiaTheme="minorEastAsia"/>
                <w:kern w:val="0"/>
                <w:szCs w:val="21"/>
              </w:rPr>
              <w:t>颗粒物、</w:t>
            </w:r>
            <w:r>
              <w:rPr>
                <w:rFonts w:eastAsiaTheme="minorEastAsia"/>
                <w:szCs w:val="21"/>
              </w:rPr>
              <w:t>非甲烷总烃</w:t>
            </w:r>
          </w:p>
        </w:tc>
        <w:tc>
          <w:tcPr>
            <w:tcW w:w="2005" w:type="dxa"/>
            <w:vAlign w:val="center"/>
          </w:tcPr>
          <w:p>
            <w:pPr>
              <w:adjustRightInd w:val="0"/>
              <w:snapToGrid w:val="0"/>
              <w:jc w:val="center"/>
              <w:rPr>
                <w:rFonts w:eastAsiaTheme="minorEastAsia"/>
                <w:szCs w:val="21"/>
              </w:rPr>
            </w:pPr>
            <w:r>
              <w:rPr>
                <w:rFonts w:eastAsiaTheme="minorEastAsia"/>
                <w:szCs w:val="21"/>
              </w:rPr>
              <w:t>全封闭车间、车间通风</w:t>
            </w:r>
          </w:p>
        </w:tc>
        <w:tc>
          <w:tcPr>
            <w:tcW w:w="2868" w:type="dxa"/>
            <w:vAlign w:val="center"/>
          </w:tcPr>
          <w:p>
            <w:pPr>
              <w:adjustRightInd w:val="0"/>
              <w:snapToGrid w:val="0"/>
              <w:jc w:val="center"/>
              <w:rPr>
                <w:rFonts w:eastAsiaTheme="minorEastAsia"/>
                <w:szCs w:val="21"/>
              </w:rPr>
            </w:pPr>
            <w:r>
              <w:rPr>
                <w:rFonts w:eastAsiaTheme="minorEastAsia"/>
                <w:szCs w:val="21"/>
              </w:rPr>
              <w:t>厂界无组织废气颗粒物、非甲烷总烃按照《大气污染物综合排放标准》（GB16297-1996）中表2新污染源大气污染物排放标准执行；厂区内无组织废气非甲烷总烃按照《挥发性有机物无组织排放控制标准》（GB37822-2019）表A.1中的排放限值标准执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54" w:type="dxa"/>
            <w:vMerge w:val="continue"/>
            <w:vAlign w:val="center"/>
          </w:tcPr>
          <w:p>
            <w:pPr>
              <w:adjustRightInd w:val="0"/>
              <w:snapToGrid w:val="0"/>
              <w:jc w:val="center"/>
              <w:rPr>
                <w:rFonts w:eastAsiaTheme="minorEastAsia"/>
                <w:szCs w:val="21"/>
              </w:rPr>
            </w:pPr>
          </w:p>
        </w:tc>
        <w:tc>
          <w:tcPr>
            <w:tcW w:w="1457" w:type="dxa"/>
            <w:vAlign w:val="center"/>
          </w:tcPr>
          <w:p>
            <w:pPr>
              <w:spacing w:line="288" w:lineRule="auto"/>
              <w:jc w:val="center"/>
              <w:rPr>
                <w:rFonts w:eastAsiaTheme="minorEastAsia"/>
                <w:szCs w:val="21"/>
              </w:rPr>
            </w:pPr>
            <w:r>
              <w:rPr>
                <w:rFonts w:eastAsiaTheme="minorEastAsia"/>
                <w:szCs w:val="21"/>
              </w:rPr>
              <w:t>食堂油烟</w:t>
            </w:r>
          </w:p>
        </w:tc>
        <w:tc>
          <w:tcPr>
            <w:tcW w:w="1216" w:type="dxa"/>
            <w:vAlign w:val="center"/>
          </w:tcPr>
          <w:p>
            <w:pPr>
              <w:adjustRightInd w:val="0"/>
              <w:snapToGrid w:val="0"/>
              <w:jc w:val="center"/>
              <w:rPr>
                <w:rFonts w:eastAsiaTheme="minorEastAsia"/>
                <w:szCs w:val="21"/>
              </w:rPr>
            </w:pPr>
            <w:r>
              <w:rPr>
                <w:rFonts w:eastAsiaTheme="minorEastAsia"/>
                <w:kern w:val="0"/>
                <w:szCs w:val="21"/>
              </w:rPr>
              <w:t>油烟</w:t>
            </w:r>
          </w:p>
        </w:tc>
        <w:tc>
          <w:tcPr>
            <w:tcW w:w="2005" w:type="dxa"/>
            <w:vAlign w:val="center"/>
          </w:tcPr>
          <w:p>
            <w:pPr>
              <w:adjustRightInd w:val="0"/>
              <w:snapToGrid w:val="0"/>
              <w:jc w:val="center"/>
              <w:rPr>
                <w:rFonts w:eastAsiaTheme="minorEastAsia"/>
                <w:szCs w:val="21"/>
              </w:rPr>
            </w:pPr>
            <w:r>
              <w:rPr>
                <w:rFonts w:eastAsiaTheme="minorEastAsia"/>
                <w:szCs w:val="21"/>
              </w:rPr>
              <w:t>食堂油烟通过油烟净化器进行处理后由管道引至房顶排放</w:t>
            </w:r>
          </w:p>
        </w:tc>
        <w:tc>
          <w:tcPr>
            <w:tcW w:w="2868" w:type="dxa"/>
            <w:vAlign w:val="center"/>
          </w:tcPr>
          <w:p>
            <w:pPr>
              <w:adjustRightInd w:val="0"/>
              <w:snapToGrid w:val="0"/>
              <w:jc w:val="center"/>
              <w:rPr>
                <w:rFonts w:eastAsiaTheme="minorEastAsia"/>
                <w:szCs w:val="21"/>
              </w:rPr>
            </w:pPr>
            <w:r>
              <w:rPr>
                <w:rFonts w:eastAsiaTheme="minorEastAsia"/>
                <w:szCs w:val="21"/>
              </w:rPr>
              <w:t>《饮食业油烟排放标准（试行）》（GB18483-2001）排放标准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54" w:type="dxa"/>
            <w:vAlign w:val="center"/>
          </w:tcPr>
          <w:p>
            <w:pPr>
              <w:adjustRightInd w:val="0"/>
              <w:snapToGrid w:val="0"/>
              <w:jc w:val="center"/>
              <w:rPr>
                <w:rFonts w:eastAsiaTheme="minorEastAsia"/>
                <w:szCs w:val="21"/>
              </w:rPr>
            </w:pPr>
            <w:r>
              <w:rPr>
                <w:rFonts w:eastAsiaTheme="minorEastAsia"/>
                <w:szCs w:val="21"/>
              </w:rPr>
              <w:t>地表水环境</w:t>
            </w:r>
          </w:p>
        </w:tc>
        <w:tc>
          <w:tcPr>
            <w:tcW w:w="1457" w:type="dxa"/>
            <w:vAlign w:val="center"/>
          </w:tcPr>
          <w:p>
            <w:pPr>
              <w:spacing w:line="288" w:lineRule="auto"/>
              <w:jc w:val="center"/>
              <w:rPr>
                <w:rFonts w:eastAsiaTheme="minorEastAsia"/>
                <w:szCs w:val="21"/>
              </w:rPr>
            </w:pPr>
            <w:r>
              <w:rPr>
                <w:rFonts w:eastAsiaTheme="minorEastAsia"/>
                <w:szCs w:val="21"/>
              </w:rPr>
              <w:t>生产废水、生活污水</w:t>
            </w:r>
          </w:p>
        </w:tc>
        <w:tc>
          <w:tcPr>
            <w:tcW w:w="1216" w:type="dxa"/>
            <w:vAlign w:val="center"/>
          </w:tcPr>
          <w:p>
            <w:pPr>
              <w:adjustRightInd w:val="0"/>
              <w:snapToGrid w:val="0"/>
              <w:jc w:val="center"/>
              <w:rPr>
                <w:rFonts w:eastAsiaTheme="minorEastAsia"/>
                <w:szCs w:val="21"/>
              </w:rPr>
            </w:pPr>
            <w:r>
              <w:rPr>
                <w:rFonts w:eastAsiaTheme="minorEastAsia"/>
                <w:szCs w:val="21"/>
              </w:rPr>
              <w:t>COD、BOD5、SS、NH3-N、pH、动植物油</w:t>
            </w:r>
          </w:p>
        </w:tc>
        <w:tc>
          <w:tcPr>
            <w:tcW w:w="2005" w:type="dxa"/>
            <w:vAlign w:val="center"/>
          </w:tcPr>
          <w:p>
            <w:pPr>
              <w:adjustRightInd w:val="0"/>
              <w:snapToGrid w:val="0"/>
              <w:jc w:val="center"/>
              <w:rPr>
                <w:rFonts w:eastAsiaTheme="minorEastAsia"/>
                <w:szCs w:val="21"/>
              </w:rPr>
            </w:pPr>
            <w:r>
              <w:rPr>
                <w:rFonts w:eastAsiaTheme="minorEastAsia"/>
                <w:szCs w:val="21"/>
              </w:rPr>
              <w:t>生活污水通过排水管道排入鄯善县污水处理厂处理；地面清洗废水排</w:t>
            </w:r>
            <w:r>
              <w:rPr>
                <w:rFonts w:eastAsiaTheme="minorEastAsia"/>
                <w:color w:val="000000" w:themeColor="text1"/>
                <w:szCs w:val="21"/>
                <w14:textFill>
                  <w14:solidFill>
                    <w14:schemeClr w14:val="tx1"/>
                  </w14:solidFill>
                </w14:textFill>
              </w:rPr>
              <w:t>入污水池通</w:t>
            </w:r>
            <w:r>
              <w:rPr>
                <w:rFonts w:eastAsiaTheme="minorEastAsia"/>
                <w:szCs w:val="21"/>
              </w:rPr>
              <w:t>过油水分离器进行处理后由市政管网排至鄯善县污水处理厂处理。</w:t>
            </w:r>
          </w:p>
        </w:tc>
        <w:tc>
          <w:tcPr>
            <w:tcW w:w="2868" w:type="dxa"/>
            <w:vAlign w:val="center"/>
          </w:tcPr>
          <w:p>
            <w:pPr>
              <w:adjustRightInd w:val="0"/>
              <w:snapToGrid w:val="0"/>
              <w:jc w:val="center"/>
              <w:rPr>
                <w:rFonts w:eastAsiaTheme="minorEastAsia"/>
                <w:szCs w:val="21"/>
              </w:rPr>
            </w:pPr>
            <w:r>
              <w:rPr>
                <w:rFonts w:eastAsiaTheme="minorEastAsia"/>
                <w:szCs w:val="21"/>
              </w:rPr>
              <w:t>《污水综合排放标准》（GB8978-1996）中3级排放标准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54" w:type="dxa"/>
            <w:vAlign w:val="center"/>
          </w:tcPr>
          <w:p>
            <w:pPr>
              <w:adjustRightInd w:val="0"/>
              <w:snapToGrid w:val="0"/>
              <w:jc w:val="center"/>
              <w:rPr>
                <w:rFonts w:eastAsiaTheme="minorEastAsia"/>
                <w:szCs w:val="21"/>
              </w:rPr>
            </w:pPr>
            <w:r>
              <w:rPr>
                <w:rFonts w:eastAsiaTheme="minorEastAsia"/>
                <w:szCs w:val="21"/>
              </w:rPr>
              <w:t>声环境</w:t>
            </w:r>
          </w:p>
        </w:tc>
        <w:tc>
          <w:tcPr>
            <w:tcW w:w="1457" w:type="dxa"/>
            <w:vAlign w:val="center"/>
          </w:tcPr>
          <w:p>
            <w:pPr>
              <w:keepNext/>
              <w:snapToGrid w:val="0"/>
              <w:jc w:val="center"/>
              <w:textAlignment w:val="center"/>
              <w:rPr>
                <w:rFonts w:eastAsiaTheme="minorEastAsia"/>
                <w:szCs w:val="21"/>
              </w:rPr>
            </w:pPr>
            <w:r>
              <w:rPr>
                <w:rFonts w:eastAsiaTheme="minorEastAsia"/>
                <w:szCs w:val="21"/>
              </w:rPr>
              <w:t>破碎机、切割机、输送机等</w:t>
            </w:r>
          </w:p>
        </w:tc>
        <w:tc>
          <w:tcPr>
            <w:tcW w:w="1216" w:type="dxa"/>
            <w:vAlign w:val="center"/>
          </w:tcPr>
          <w:p>
            <w:pPr>
              <w:widowControl/>
              <w:tabs>
                <w:tab w:val="left" w:pos="0"/>
                <w:tab w:val="left" w:pos="2089"/>
              </w:tabs>
              <w:adjustRightInd w:val="0"/>
              <w:snapToGrid w:val="0"/>
              <w:spacing w:line="320" w:lineRule="exact"/>
              <w:jc w:val="center"/>
              <w:rPr>
                <w:rFonts w:eastAsiaTheme="minorEastAsia"/>
                <w:szCs w:val="21"/>
              </w:rPr>
            </w:pPr>
            <w:r>
              <w:rPr>
                <w:rFonts w:eastAsiaTheme="minorEastAsia"/>
                <w:szCs w:val="21"/>
              </w:rPr>
              <w:t>等效连续A声级</w:t>
            </w:r>
          </w:p>
        </w:tc>
        <w:tc>
          <w:tcPr>
            <w:tcW w:w="2005" w:type="dxa"/>
            <w:vAlign w:val="center"/>
          </w:tcPr>
          <w:p>
            <w:pPr>
              <w:widowControl/>
              <w:tabs>
                <w:tab w:val="left" w:pos="0"/>
                <w:tab w:val="left" w:pos="2089"/>
              </w:tabs>
              <w:adjustRightInd w:val="0"/>
              <w:snapToGrid w:val="0"/>
              <w:spacing w:line="320" w:lineRule="exact"/>
              <w:jc w:val="center"/>
              <w:rPr>
                <w:rFonts w:eastAsiaTheme="minorEastAsia"/>
                <w:szCs w:val="21"/>
              </w:rPr>
            </w:pPr>
            <w:r>
              <w:rPr>
                <w:rFonts w:eastAsiaTheme="minorEastAsia"/>
                <w:szCs w:val="21"/>
              </w:rPr>
              <w:t>基础减振，车间隔声，加强设备保养</w:t>
            </w:r>
          </w:p>
        </w:tc>
        <w:tc>
          <w:tcPr>
            <w:tcW w:w="2868" w:type="dxa"/>
            <w:vAlign w:val="center"/>
          </w:tcPr>
          <w:p>
            <w:pPr>
              <w:adjustRightInd w:val="0"/>
              <w:snapToGrid w:val="0"/>
              <w:spacing w:line="320" w:lineRule="exact"/>
              <w:jc w:val="center"/>
              <w:rPr>
                <w:rFonts w:eastAsiaTheme="minorEastAsia"/>
                <w:szCs w:val="21"/>
              </w:rPr>
            </w:pPr>
            <w:r>
              <w:rPr>
                <w:rFonts w:eastAsiaTheme="minorEastAsia"/>
                <w:szCs w:val="21"/>
              </w:rPr>
              <w:t>《工业企业厂界噪声排放标准》（GB12348-2008）3类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54" w:type="dxa"/>
            <w:vAlign w:val="center"/>
          </w:tcPr>
          <w:p>
            <w:pPr>
              <w:adjustRightInd w:val="0"/>
              <w:snapToGrid w:val="0"/>
              <w:jc w:val="center"/>
              <w:rPr>
                <w:rFonts w:eastAsiaTheme="minorEastAsia"/>
                <w:szCs w:val="21"/>
              </w:rPr>
            </w:pPr>
            <w:r>
              <w:rPr>
                <w:rFonts w:eastAsiaTheme="minorEastAsia"/>
                <w:szCs w:val="21"/>
              </w:rPr>
              <w:t>电磁辐射</w:t>
            </w:r>
          </w:p>
        </w:tc>
        <w:tc>
          <w:tcPr>
            <w:tcW w:w="1457" w:type="dxa"/>
            <w:vAlign w:val="center"/>
          </w:tcPr>
          <w:p>
            <w:pPr>
              <w:keepNext/>
              <w:snapToGrid w:val="0"/>
              <w:jc w:val="center"/>
              <w:textAlignment w:val="center"/>
              <w:rPr>
                <w:rFonts w:eastAsiaTheme="minorEastAsia"/>
                <w:szCs w:val="21"/>
              </w:rPr>
            </w:pPr>
            <w:r>
              <w:rPr>
                <w:rFonts w:eastAsiaTheme="minorEastAsia"/>
                <w:szCs w:val="21"/>
              </w:rPr>
              <w:t>/</w:t>
            </w:r>
          </w:p>
        </w:tc>
        <w:tc>
          <w:tcPr>
            <w:tcW w:w="1216" w:type="dxa"/>
            <w:vAlign w:val="center"/>
          </w:tcPr>
          <w:p>
            <w:pPr>
              <w:adjustRightInd w:val="0"/>
              <w:snapToGrid w:val="0"/>
              <w:jc w:val="center"/>
              <w:rPr>
                <w:rFonts w:eastAsiaTheme="minorEastAsia"/>
                <w:szCs w:val="21"/>
              </w:rPr>
            </w:pPr>
            <w:r>
              <w:rPr>
                <w:rFonts w:eastAsiaTheme="minorEastAsia"/>
                <w:szCs w:val="21"/>
              </w:rPr>
              <w:t>/</w:t>
            </w:r>
          </w:p>
        </w:tc>
        <w:tc>
          <w:tcPr>
            <w:tcW w:w="2005" w:type="dxa"/>
            <w:vAlign w:val="center"/>
          </w:tcPr>
          <w:p>
            <w:pPr>
              <w:adjustRightInd w:val="0"/>
              <w:snapToGrid w:val="0"/>
              <w:jc w:val="center"/>
              <w:rPr>
                <w:rFonts w:eastAsiaTheme="minorEastAsia"/>
                <w:szCs w:val="21"/>
              </w:rPr>
            </w:pPr>
            <w:r>
              <w:rPr>
                <w:rFonts w:eastAsiaTheme="minorEastAsia"/>
                <w:szCs w:val="21"/>
              </w:rPr>
              <w:t>/</w:t>
            </w:r>
          </w:p>
        </w:tc>
        <w:tc>
          <w:tcPr>
            <w:tcW w:w="2868" w:type="dxa"/>
            <w:vAlign w:val="center"/>
          </w:tcPr>
          <w:p>
            <w:pPr>
              <w:adjustRightInd w:val="0"/>
              <w:snapToGrid w:val="0"/>
              <w:jc w:val="center"/>
              <w:rPr>
                <w:rFonts w:eastAsiaTheme="minorEastAsia"/>
                <w:szCs w:val="21"/>
              </w:rPr>
            </w:pPr>
            <w:r>
              <w:rPr>
                <w:rFonts w:eastAsiaTheme="minorEastAsia"/>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Change w:id="1" w:author="123" w:date="2026-03-02T13:21:14Z">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blPrExChange>
        </w:tblPrEx>
        <w:trPr>
          <w:trHeight w:val="739" w:hRule="atLeast"/>
          <w:jc w:val="center"/>
          <w:trPrChange w:id="1" w:author="123" w:date="2026-03-02T13:21:14Z">
            <w:trPr>
              <w:trHeight w:val="1276" w:hRule="atLeast"/>
              <w:jc w:val="center"/>
            </w:trPr>
          </w:trPrChange>
        </w:trPr>
        <w:tc>
          <w:tcPr>
            <w:tcW w:w="1254" w:type="dxa"/>
            <w:vAlign w:val="center"/>
            <w:tcPrChange w:id="2" w:author="123" w:date="2026-03-02T13:21:14Z">
              <w:tcPr>
                <w:tcW w:w="1254" w:type="dxa"/>
                <w:vAlign w:val="center"/>
              </w:tcPr>
            </w:tcPrChange>
          </w:tcPr>
          <w:p>
            <w:pPr>
              <w:adjustRightInd w:val="0"/>
              <w:snapToGrid w:val="0"/>
              <w:jc w:val="center"/>
              <w:rPr>
                <w:rFonts w:eastAsiaTheme="minorEastAsia"/>
                <w:szCs w:val="21"/>
              </w:rPr>
            </w:pPr>
            <w:r>
              <w:rPr>
                <w:rFonts w:eastAsiaTheme="minorEastAsia"/>
                <w:szCs w:val="21"/>
              </w:rPr>
              <w:t>固体废物</w:t>
            </w:r>
          </w:p>
        </w:tc>
        <w:tc>
          <w:tcPr>
            <w:tcW w:w="7546" w:type="dxa"/>
            <w:gridSpan w:val="4"/>
            <w:tcPrChange w:id="3" w:author="123" w:date="2026-03-02T13:21:14Z">
              <w:tcPr>
                <w:tcW w:w="7546" w:type="dxa"/>
                <w:gridSpan w:val="4"/>
              </w:tcPr>
            </w:tcPrChange>
          </w:tcPr>
          <w:p>
            <w:pPr>
              <w:adjustRightInd w:val="0"/>
              <w:snapToGrid w:val="0"/>
              <w:ind w:firstLine="420" w:firstLineChars="200"/>
              <w:rPr>
                <w:rFonts w:eastAsiaTheme="minorEastAsia"/>
                <w:color w:val="000000"/>
                <w:kern w:val="0"/>
                <w:szCs w:val="21"/>
                <w:lang w:bidi="ar"/>
              </w:rPr>
            </w:pPr>
            <w:r>
              <w:rPr>
                <w:rFonts w:eastAsiaTheme="minorEastAsia"/>
                <w:szCs w:val="21"/>
              </w:rPr>
              <w:t>生活垃圾：本项目生活垃圾由</w:t>
            </w:r>
            <w:r>
              <w:rPr>
                <w:rFonts w:eastAsiaTheme="minorEastAsia"/>
                <w:color w:val="000000"/>
                <w:kern w:val="0"/>
                <w:szCs w:val="21"/>
                <w:lang w:bidi="ar"/>
              </w:rPr>
              <w:t>垃圾桶收集，由市政环卫统一清运处理。</w:t>
            </w:r>
          </w:p>
          <w:p>
            <w:pPr>
              <w:adjustRightInd w:val="0"/>
              <w:snapToGrid w:val="0"/>
              <w:ind w:firstLine="420" w:firstLineChars="200"/>
              <w:rPr>
                <w:rFonts w:eastAsiaTheme="minorEastAsia"/>
                <w:szCs w:val="21"/>
                <w:lang w:val="zh-CN"/>
              </w:rPr>
            </w:pPr>
            <w:r>
              <w:rPr>
                <w:rFonts w:eastAsiaTheme="minorEastAsia"/>
                <w:szCs w:val="21"/>
              </w:rPr>
              <w:t>一般固体废物：</w:t>
            </w:r>
            <w:r>
              <w:rPr>
                <w:rFonts w:eastAsiaTheme="minorEastAsia"/>
                <w:spacing w:val="-4"/>
                <w:szCs w:val="21"/>
              </w:rPr>
              <w:t>废钢、废铝、废铜加工杂质、皮布制品、气囊、</w:t>
            </w:r>
            <w:r>
              <w:rPr>
                <w:rFonts w:eastAsiaTheme="minorEastAsia"/>
                <w:spacing w:val="8"/>
                <w:szCs w:val="21"/>
              </w:rPr>
              <w:t>废绝缘纸、废橡胶、废电线、废电子杂件、粉尘、</w:t>
            </w:r>
            <w:r>
              <w:rPr>
                <w:rFonts w:eastAsiaTheme="minorEastAsia"/>
                <w:color w:val="000000"/>
                <w:kern w:val="0"/>
                <w:szCs w:val="21"/>
                <w:lang w:bidi="ar"/>
              </w:rPr>
              <w:t>不可利用材料</w:t>
            </w:r>
            <w:r>
              <w:rPr>
                <w:rFonts w:eastAsiaTheme="minorEastAsia"/>
                <w:spacing w:val="8"/>
                <w:szCs w:val="21"/>
              </w:rPr>
              <w:t>等一般固体废物分类收集后能回收综合利用的回收综合利用，不可回收综合利用的暂存于</w:t>
            </w:r>
            <w:r>
              <w:rPr>
                <w:rFonts w:eastAsiaTheme="minorEastAsia"/>
                <w:szCs w:val="21"/>
              </w:rPr>
              <w:t>一般固废堆放区，由环卫部门统一清运。一般固体废物</w:t>
            </w:r>
            <w:r>
              <w:rPr>
                <w:rFonts w:eastAsiaTheme="minorEastAsia"/>
                <w:szCs w:val="21"/>
                <w:lang w:val="zh-CN"/>
              </w:rPr>
              <w:t>执行《一般工业固体废物贮存和填埋污染控制标准》（</w:t>
            </w:r>
            <w:r>
              <w:rPr>
                <w:rFonts w:eastAsiaTheme="minorEastAsia"/>
                <w:szCs w:val="21"/>
              </w:rPr>
              <w:t>GB18599-2020</w:t>
            </w:r>
            <w:r>
              <w:rPr>
                <w:rFonts w:eastAsiaTheme="minorEastAsia"/>
                <w:szCs w:val="21"/>
                <w:lang w:val="zh-CN"/>
              </w:rPr>
              <w:t>）中的处置和管理要求。</w:t>
            </w:r>
          </w:p>
          <w:p>
            <w:pPr>
              <w:pStyle w:val="12"/>
              <w:adjustRightInd w:val="0"/>
              <w:spacing w:before="0" w:after="0" w:line="240" w:lineRule="auto"/>
              <w:ind w:right="0" w:firstLine="420" w:firstLineChars="200"/>
              <w:rPr>
                <w:rFonts w:eastAsiaTheme="minorEastAsia"/>
                <w:sz w:val="21"/>
                <w:szCs w:val="21"/>
              </w:rPr>
            </w:pPr>
            <w:r>
              <w:rPr>
                <w:rFonts w:eastAsiaTheme="minorEastAsia"/>
                <w:sz w:val="21"/>
                <w:szCs w:val="21"/>
              </w:rPr>
              <w:t>危险废物：</w:t>
            </w:r>
            <w:r>
              <w:rPr>
                <w:rFonts w:eastAsiaTheme="minorEastAsia"/>
                <w:color w:val="000000"/>
                <w:sz w:val="21"/>
                <w:szCs w:val="21"/>
                <w:lang w:bidi="ar"/>
              </w:rPr>
              <w:t>废活性炭、废矿物油、</w:t>
            </w:r>
            <w:r>
              <w:rPr>
                <w:rFonts w:hint="eastAsia" w:eastAsiaTheme="minorEastAsia"/>
                <w:color w:val="000000"/>
                <w:sz w:val="21"/>
                <w:szCs w:val="21"/>
                <w:lang w:val="en-US" w:eastAsia="zh-CN" w:bidi="ar"/>
              </w:rPr>
              <w:t>含油污泥、</w:t>
            </w:r>
            <w:r>
              <w:rPr>
                <w:rFonts w:eastAsiaTheme="minorEastAsia"/>
                <w:color w:val="000000"/>
                <w:sz w:val="21"/>
                <w:szCs w:val="21"/>
                <w:lang w:bidi="ar"/>
              </w:rPr>
              <w:t>废电容器、制冷剂、废线路板、废石棉、废含汞开关、废蓄电池等危险废物</w:t>
            </w:r>
            <w:r>
              <w:rPr>
                <w:rFonts w:eastAsiaTheme="minorEastAsia"/>
                <w:spacing w:val="8"/>
                <w:sz w:val="21"/>
                <w:szCs w:val="21"/>
              </w:rPr>
              <w:t>分类收集后</w:t>
            </w:r>
            <w:r>
              <w:rPr>
                <w:rFonts w:eastAsiaTheme="minorEastAsia"/>
                <w:color w:val="000000" w:themeColor="text1"/>
                <w:sz w:val="21"/>
                <w:szCs w:val="21"/>
                <w14:textFill>
                  <w14:solidFill>
                    <w14:schemeClr w14:val="tx1"/>
                  </w14:solidFill>
                </w14:textFill>
              </w:rPr>
              <w:t>暂存于</w:t>
            </w:r>
            <w:r>
              <w:rPr>
                <w:rFonts w:hint="eastAsia" w:eastAsiaTheme="minorEastAsia"/>
                <w:color w:val="000000" w:themeColor="text1"/>
                <w:sz w:val="21"/>
                <w:szCs w:val="21"/>
                <w14:textFill>
                  <w14:solidFill>
                    <w14:schemeClr w14:val="tx1"/>
                  </w14:solidFill>
                </w14:textFill>
              </w:rPr>
              <w:t>危废贮存库</w:t>
            </w:r>
            <w:r>
              <w:rPr>
                <w:rFonts w:eastAsiaTheme="minorEastAsia"/>
                <w:color w:val="000000" w:themeColor="text1"/>
                <w:sz w:val="21"/>
                <w:szCs w:val="21"/>
                <w14:textFill>
                  <w14:solidFill>
                    <w14:schemeClr w14:val="tx1"/>
                  </w14:solidFill>
                </w14:textFill>
              </w:rPr>
              <w:t>，定期交由有资质的单位处置，</w:t>
            </w:r>
            <w:r>
              <w:rPr>
                <w:rFonts w:eastAsiaTheme="minorEastAsia"/>
                <w:sz w:val="21"/>
                <w:szCs w:val="21"/>
              </w:rPr>
              <w:t>执行《危险废物贮存污染控制标准》（GB18597-2001及其修改单）中相关规定。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254" w:type="dxa"/>
            <w:vAlign w:val="center"/>
          </w:tcPr>
          <w:p>
            <w:pPr>
              <w:adjustRightInd w:val="0"/>
              <w:snapToGrid w:val="0"/>
              <w:jc w:val="center"/>
              <w:rPr>
                <w:rFonts w:eastAsiaTheme="minorEastAsia"/>
                <w:szCs w:val="21"/>
              </w:rPr>
            </w:pPr>
            <w:r>
              <w:rPr>
                <w:rFonts w:eastAsiaTheme="minorEastAsia"/>
                <w:szCs w:val="21"/>
              </w:rPr>
              <w:t>土壤及地下水污染防治措施</w:t>
            </w:r>
          </w:p>
        </w:tc>
        <w:tc>
          <w:tcPr>
            <w:tcW w:w="7546" w:type="dxa"/>
            <w:gridSpan w:val="4"/>
            <w:vAlign w:val="center"/>
          </w:tcPr>
          <w:p>
            <w:pPr>
              <w:jc w:val="left"/>
              <w:rPr>
                <w:rFonts w:eastAsiaTheme="minorEastAsia"/>
                <w:szCs w:val="21"/>
              </w:rPr>
            </w:pPr>
            <w:r>
              <w:rPr>
                <w:rFonts w:eastAsiaTheme="minorEastAsia"/>
                <w:szCs w:val="21"/>
              </w:rPr>
              <w:t>本项目</w:t>
            </w:r>
            <w:r>
              <w:rPr>
                <w:rFonts w:hint="eastAsia" w:eastAsiaTheme="minorEastAsia"/>
                <w:color w:val="000000" w:themeColor="text1"/>
                <w:szCs w:val="21"/>
                <w14:textFill>
                  <w14:solidFill>
                    <w14:schemeClr w14:val="tx1"/>
                  </w14:solidFill>
                </w14:textFill>
              </w:rPr>
              <w:t>危废贮存库</w:t>
            </w:r>
            <w:r>
              <w:rPr>
                <w:rFonts w:eastAsiaTheme="minorEastAsia"/>
                <w:color w:val="000000" w:themeColor="text1"/>
                <w:szCs w:val="21"/>
                <w14:textFill>
                  <w14:solidFill>
                    <w14:schemeClr w14:val="tx1"/>
                  </w14:solidFill>
                </w14:textFill>
              </w:rPr>
              <w:t>、污水池、事故水池、初期雨水池、回用水池、车辆预处理区、拆解区采取重点防渗，生产车间北侧区域采取一般防渗，办公生活区、厂区道路、车辆存放区域、生产车间南侧区域和中部区域采取简单防渗。</w:t>
            </w:r>
            <w:r>
              <w:rPr>
                <w:rFonts w:eastAsiaTheme="minorEastAsia"/>
                <w:szCs w:val="21"/>
              </w:rPr>
              <w:t>另外为了防止危废泄漏污染土壤及地下水环境，</w:t>
            </w:r>
            <w:r>
              <w:rPr>
                <w:rFonts w:hint="eastAsia" w:eastAsiaTheme="minorEastAsia"/>
                <w:szCs w:val="21"/>
              </w:rPr>
              <w:t>危废贮存库</w:t>
            </w:r>
            <w:r>
              <w:rPr>
                <w:rFonts w:eastAsiaTheme="minorEastAsia"/>
                <w:szCs w:val="21"/>
              </w:rPr>
              <w:t>应严格按照《危险废物贮存污染控制标准》（GB18597-2023）要求进行防渗。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254" w:type="dxa"/>
            <w:vAlign w:val="center"/>
          </w:tcPr>
          <w:p>
            <w:pPr>
              <w:adjustRightInd w:val="0"/>
              <w:snapToGrid w:val="0"/>
              <w:jc w:val="center"/>
              <w:rPr>
                <w:rFonts w:eastAsiaTheme="minorEastAsia"/>
                <w:szCs w:val="21"/>
              </w:rPr>
            </w:pPr>
            <w:r>
              <w:rPr>
                <w:rFonts w:eastAsiaTheme="minorEastAsia"/>
                <w:szCs w:val="21"/>
              </w:rPr>
              <w:t>生态保护措施</w:t>
            </w:r>
          </w:p>
        </w:tc>
        <w:tc>
          <w:tcPr>
            <w:tcW w:w="7546" w:type="dxa"/>
            <w:gridSpan w:val="4"/>
            <w:vAlign w:val="center"/>
          </w:tcPr>
          <w:p>
            <w:pPr>
              <w:adjustRightInd w:val="0"/>
              <w:snapToGrid w:val="0"/>
              <w:jc w:val="center"/>
              <w:rPr>
                <w:rFonts w:eastAsiaTheme="minorEastAsia"/>
                <w:szCs w:val="21"/>
              </w:rPr>
            </w:pPr>
            <w:r>
              <w:rPr>
                <w:rFonts w:eastAsiaTheme="minorEastAsia"/>
                <w:szCs w:val="21"/>
              </w:rPr>
              <w:t>实施绿化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254" w:type="dxa"/>
            <w:vAlign w:val="center"/>
          </w:tcPr>
          <w:p>
            <w:pPr>
              <w:adjustRightInd w:val="0"/>
              <w:snapToGrid w:val="0"/>
              <w:jc w:val="center"/>
              <w:rPr>
                <w:rFonts w:eastAsiaTheme="minorEastAsia"/>
                <w:spacing w:val="-8"/>
                <w:szCs w:val="21"/>
              </w:rPr>
            </w:pPr>
            <w:r>
              <w:rPr>
                <w:rFonts w:eastAsiaTheme="minorEastAsia"/>
                <w:spacing w:val="-8"/>
                <w:szCs w:val="21"/>
              </w:rPr>
              <w:t>环境风险</w:t>
            </w:r>
          </w:p>
          <w:p>
            <w:pPr>
              <w:adjustRightInd w:val="0"/>
              <w:snapToGrid w:val="0"/>
              <w:jc w:val="center"/>
              <w:rPr>
                <w:rFonts w:eastAsiaTheme="minorEastAsia"/>
                <w:spacing w:val="-8"/>
                <w:szCs w:val="21"/>
              </w:rPr>
            </w:pPr>
            <w:r>
              <w:rPr>
                <w:rFonts w:eastAsiaTheme="minorEastAsia"/>
                <w:spacing w:val="-8"/>
                <w:szCs w:val="21"/>
              </w:rPr>
              <w:t>防范措施</w:t>
            </w:r>
          </w:p>
        </w:tc>
        <w:tc>
          <w:tcPr>
            <w:tcW w:w="7546" w:type="dxa"/>
            <w:gridSpan w:val="4"/>
            <w:vAlign w:val="center"/>
          </w:tcPr>
          <w:p>
            <w:pPr>
              <w:adjustRightInd w:val="0"/>
              <w:snapToGrid w:val="0"/>
              <w:jc w:val="left"/>
              <w:rPr>
                <w:rFonts w:eastAsiaTheme="minorEastAsia"/>
                <w:szCs w:val="21"/>
              </w:rPr>
            </w:pPr>
            <w:r>
              <w:rPr>
                <w:rFonts w:eastAsiaTheme="minorEastAsia"/>
                <w:szCs w:val="21"/>
              </w:rPr>
              <w:t>①强化安全生产管理，必须制订岗位责任制，将责任落实到部门和个人，严格遵守操作规程，严格遵守《危险</w:t>
            </w:r>
            <w:bookmarkStart w:id="2" w:name="_GoBack"/>
            <w:bookmarkEnd w:id="2"/>
            <w:r>
              <w:rPr>
                <w:rFonts w:eastAsiaTheme="minorEastAsia"/>
                <w:szCs w:val="21"/>
              </w:rPr>
              <w:t>化学品管理条例》及国家、地方关于易燃易爆、有毒有害物料的储运使用安全规定。</w:t>
            </w:r>
          </w:p>
          <w:p>
            <w:pPr>
              <w:adjustRightInd w:val="0"/>
              <w:snapToGrid w:val="0"/>
              <w:jc w:val="left"/>
              <w:rPr>
                <w:rFonts w:eastAsiaTheme="minorEastAsia"/>
                <w:szCs w:val="21"/>
              </w:rPr>
            </w:pPr>
            <w:r>
              <w:rPr>
                <w:rFonts w:eastAsiaTheme="minorEastAsia"/>
                <w:szCs w:val="21"/>
              </w:rPr>
              <w:t>②强化安全生产及环境保护意识的教育，提高职工的素质。</w:t>
            </w:r>
          </w:p>
          <w:p>
            <w:pPr>
              <w:adjustRightInd w:val="0"/>
              <w:snapToGrid w:val="0"/>
              <w:jc w:val="left"/>
              <w:rPr>
                <w:rFonts w:eastAsiaTheme="minorEastAsia"/>
                <w:szCs w:val="21"/>
              </w:rPr>
            </w:pPr>
            <w:r>
              <w:rPr>
                <w:rFonts w:eastAsiaTheme="minorEastAsia"/>
                <w:szCs w:val="21"/>
              </w:rPr>
              <w:t>③建立危险化学品使用，储存档案制度，做好</w:t>
            </w:r>
            <w:r>
              <w:rPr>
                <w:rFonts w:hint="eastAsia" w:eastAsiaTheme="minorEastAsia"/>
                <w:szCs w:val="21"/>
              </w:rPr>
              <w:t>危废贮存库</w:t>
            </w:r>
            <w:r>
              <w:rPr>
                <w:rFonts w:eastAsiaTheme="minorEastAsia"/>
                <w:szCs w:val="21"/>
              </w:rPr>
              <w:t>的管理和维护。</w:t>
            </w:r>
          </w:p>
          <w:p>
            <w:pPr>
              <w:adjustRightInd w:val="0"/>
              <w:snapToGrid w:val="0"/>
              <w:jc w:val="left"/>
              <w:rPr>
                <w:rFonts w:eastAsiaTheme="minorEastAsia"/>
                <w:szCs w:val="21"/>
              </w:rPr>
            </w:pPr>
            <w:r>
              <w:rPr>
                <w:rFonts w:eastAsiaTheme="minorEastAsia"/>
                <w:szCs w:val="21"/>
              </w:rPr>
              <w:t>④加强报废汽车管理和日常巡查，若发现废油渗漏应及时收集，并及时用吸油毯清理渗漏在厂区地面的废油。</w:t>
            </w:r>
          </w:p>
          <w:p>
            <w:pPr>
              <w:adjustRightInd w:val="0"/>
              <w:snapToGrid w:val="0"/>
              <w:jc w:val="left"/>
              <w:rPr>
                <w:rFonts w:eastAsiaTheme="minorEastAsia"/>
                <w:szCs w:val="21"/>
              </w:rPr>
            </w:pPr>
            <w:r>
              <w:rPr>
                <w:rFonts w:eastAsiaTheme="minorEastAsia"/>
                <w:szCs w:val="21"/>
              </w:rPr>
              <w:t>⑤本项目应对厂区</w:t>
            </w:r>
            <w:r>
              <w:rPr>
                <w:rFonts w:hint="eastAsia" w:eastAsiaTheme="minorEastAsia"/>
                <w:szCs w:val="21"/>
                <w:lang w:eastAsia="zh-CN"/>
              </w:rPr>
              <w:t>、以</w:t>
            </w:r>
            <w:r>
              <w:rPr>
                <w:rFonts w:eastAsiaTheme="minorEastAsia"/>
                <w:szCs w:val="21"/>
              </w:rPr>
              <w:t>及各污水处理设施地面进行硬化、防渗处理，避免渗漏造成地下水和土壤污染。</w:t>
            </w:r>
          </w:p>
          <w:p>
            <w:pPr>
              <w:adjustRightInd w:val="0"/>
              <w:snapToGrid w:val="0"/>
              <w:jc w:val="left"/>
              <w:rPr>
                <w:rFonts w:eastAsiaTheme="minorEastAsia"/>
                <w:szCs w:val="21"/>
              </w:rPr>
            </w:pPr>
            <w:r>
              <w:rPr>
                <w:rFonts w:eastAsiaTheme="minorEastAsia"/>
                <w:szCs w:val="21"/>
              </w:rPr>
              <w:t>⑥加强对废旧汽车的进厂检验，及时清空报废汽车内的废油。</w:t>
            </w:r>
          </w:p>
          <w:p>
            <w:pPr>
              <w:adjustRightInd w:val="0"/>
              <w:snapToGrid w:val="0"/>
              <w:jc w:val="left"/>
              <w:rPr>
                <w:rFonts w:eastAsiaTheme="minorEastAsia"/>
                <w:szCs w:val="21"/>
              </w:rPr>
            </w:pPr>
            <w:r>
              <w:rPr>
                <w:rFonts w:eastAsiaTheme="minorEastAsia"/>
                <w:szCs w:val="21"/>
              </w:rPr>
              <w:t>⑦厂区内禁止吸烟，并配置若干二氧化碳灭火器，及时扑灭小型火灾，防止火势扩大、蔓延。</w:t>
            </w:r>
          </w:p>
          <w:p>
            <w:pPr>
              <w:adjustRightInd w:val="0"/>
              <w:snapToGrid w:val="0"/>
              <w:jc w:val="left"/>
              <w:rPr>
                <w:rFonts w:eastAsiaTheme="minorEastAsia"/>
                <w:szCs w:val="21"/>
              </w:rPr>
            </w:pPr>
            <w:r>
              <w:rPr>
                <w:rFonts w:eastAsiaTheme="minorEastAsia"/>
                <w:szCs w:val="21"/>
              </w:rPr>
              <w:fldChar w:fldCharType="begin"/>
            </w:r>
            <w:r>
              <w:rPr>
                <w:rFonts w:eastAsiaTheme="minorEastAsia"/>
                <w:szCs w:val="21"/>
              </w:rPr>
              <w:instrText xml:space="preserve"> = 8 \* GB3 \* MERGEFORMAT </w:instrText>
            </w:r>
            <w:r>
              <w:rPr>
                <w:rFonts w:eastAsiaTheme="minorEastAsia"/>
                <w:szCs w:val="21"/>
              </w:rPr>
              <w:fldChar w:fldCharType="separate"/>
            </w:r>
            <w:r>
              <w:rPr>
                <w:rFonts w:eastAsiaTheme="minorEastAsia"/>
                <w:szCs w:val="21"/>
              </w:rPr>
              <w:t>⑧</w:t>
            </w:r>
            <w:r>
              <w:rPr>
                <w:rFonts w:eastAsiaTheme="minorEastAsia"/>
                <w:szCs w:val="21"/>
              </w:rPr>
              <w:fldChar w:fldCharType="end"/>
            </w:r>
            <w:r>
              <w:rPr>
                <w:rFonts w:eastAsiaTheme="minorEastAsia"/>
                <w:szCs w:val="21"/>
              </w:rPr>
              <w:t>厂房要加强通风，电气设备须选用防腐、防爆型，电源绝缘良好，防止产生电火花，接地牢靠，防止产生静电。</w:t>
            </w:r>
          </w:p>
          <w:p>
            <w:pPr>
              <w:adjustRightInd w:val="0"/>
              <w:snapToGrid w:val="0"/>
              <w:jc w:val="left"/>
              <w:rPr>
                <w:rFonts w:eastAsiaTheme="minorEastAsia"/>
                <w:szCs w:val="21"/>
              </w:rPr>
            </w:pPr>
            <w:r>
              <w:rPr>
                <w:rFonts w:eastAsiaTheme="minorEastAsia"/>
                <w:szCs w:val="21"/>
              </w:rPr>
              <w:fldChar w:fldCharType="begin"/>
            </w:r>
            <w:r>
              <w:rPr>
                <w:rFonts w:eastAsiaTheme="minorEastAsia"/>
                <w:szCs w:val="21"/>
              </w:rPr>
              <w:instrText xml:space="preserve"> = 9 \* GB3 \* MERGEFORMAT </w:instrText>
            </w:r>
            <w:r>
              <w:rPr>
                <w:rFonts w:eastAsiaTheme="minorEastAsia"/>
                <w:szCs w:val="21"/>
              </w:rPr>
              <w:fldChar w:fldCharType="separate"/>
            </w:r>
            <w:r>
              <w:rPr>
                <w:rFonts w:eastAsiaTheme="minorEastAsia"/>
                <w:szCs w:val="21"/>
              </w:rPr>
              <w:t>⑨</w:t>
            </w:r>
            <w:r>
              <w:rPr>
                <w:rFonts w:eastAsiaTheme="minorEastAsia"/>
                <w:szCs w:val="21"/>
              </w:rPr>
              <w:fldChar w:fldCharType="end"/>
            </w:r>
            <w:r>
              <w:rPr>
                <w:rFonts w:eastAsiaTheme="minorEastAsia"/>
                <w:szCs w:val="21"/>
              </w:rPr>
              <w:t>危险废物要根据其成分，用符合国家标准的专门容器分类收集。用于存放液体、半固体危险废物的地方，还须有耐腐蚀的硬化地面，地面无裂缝，做好防渗处理；禁止将性质不相容而未经安全性处置的危险废物混合收集、贮存、运输、处置，禁止将危险废物混入非危险废物中贮存、处置。</w:t>
            </w:r>
          </w:p>
          <w:p>
            <w:pPr>
              <w:adjustRightInd w:val="0"/>
              <w:snapToGrid w:val="0"/>
              <w:jc w:val="left"/>
              <w:rPr>
                <w:rFonts w:eastAsiaTheme="minorEastAsia"/>
                <w:szCs w:val="21"/>
              </w:rPr>
            </w:pPr>
            <w:r>
              <w:rPr>
                <w:rFonts w:eastAsiaTheme="minorEastAsia"/>
                <w:szCs w:val="21"/>
              </w:rPr>
              <w:fldChar w:fldCharType="begin"/>
            </w:r>
            <w:r>
              <w:rPr>
                <w:rFonts w:eastAsiaTheme="minorEastAsia"/>
                <w:szCs w:val="21"/>
              </w:rPr>
              <w:instrText xml:space="preserve"> = 10 \* GB3 \* MERGEFORMAT </w:instrText>
            </w:r>
            <w:r>
              <w:rPr>
                <w:rFonts w:eastAsiaTheme="minorEastAsia"/>
                <w:szCs w:val="21"/>
              </w:rPr>
              <w:fldChar w:fldCharType="separate"/>
            </w:r>
            <w:r>
              <w:rPr>
                <w:rFonts w:eastAsiaTheme="minorEastAsia"/>
                <w:szCs w:val="21"/>
              </w:rPr>
              <w:t>⑩</w:t>
            </w:r>
            <w:r>
              <w:rPr>
                <w:rFonts w:eastAsiaTheme="minorEastAsia"/>
                <w:szCs w:val="21"/>
              </w:rPr>
              <w:fldChar w:fldCharType="end"/>
            </w:r>
            <w:r>
              <w:rPr>
                <w:rFonts w:eastAsiaTheme="minorEastAsia"/>
                <w:szCs w:val="21"/>
              </w:rPr>
              <w:t>针对危废暂存间内液态危废物质发生泄漏时，应根据现场泄漏情况，结合制定堵漏方案严格实施封堵，切断泄漏源。用砂土吸附或吸收，暂存于危险</w:t>
            </w:r>
            <w:r>
              <w:rPr>
                <w:rFonts w:hint="eastAsia" w:eastAsiaTheme="minorEastAsia"/>
                <w:szCs w:val="21"/>
              </w:rPr>
              <w:t>危废贮存库</w:t>
            </w:r>
            <w:r>
              <w:rPr>
                <w:rFonts w:eastAsiaTheme="minorEastAsia"/>
                <w:szCs w:val="21"/>
              </w:rPr>
              <w:t>内，事故后运至有资质企业处理。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254" w:type="dxa"/>
            <w:vAlign w:val="center"/>
          </w:tcPr>
          <w:p>
            <w:pPr>
              <w:adjustRightInd w:val="0"/>
              <w:snapToGrid w:val="0"/>
              <w:jc w:val="center"/>
              <w:rPr>
                <w:rFonts w:eastAsiaTheme="minorEastAsia"/>
                <w:spacing w:val="-8"/>
                <w:szCs w:val="21"/>
              </w:rPr>
            </w:pPr>
            <w:r>
              <w:rPr>
                <w:rFonts w:eastAsiaTheme="minorEastAsia"/>
                <w:spacing w:val="-8"/>
                <w:szCs w:val="21"/>
              </w:rPr>
              <w:t>其他环境</w:t>
            </w:r>
          </w:p>
          <w:p>
            <w:pPr>
              <w:adjustRightInd w:val="0"/>
              <w:snapToGrid w:val="0"/>
              <w:jc w:val="center"/>
              <w:rPr>
                <w:rFonts w:eastAsiaTheme="minorEastAsia"/>
                <w:spacing w:val="-8"/>
                <w:szCs w:val="21"/>
              </w:rPr>
            </w:pPr>
            <w:r>
              <w:rPr>
                <w:rFonts w:eastAsiaTheme="minorEastAsia"/>
                <w:spacing w:val="-8"/>
                <w:szCs w:val="21"/>
              </w:rPr>
              <w:t>管理要求</w:t>
            </w:r>
          </w:p>
        </w:tc>
        <w:tc>
          <w:tcPr>
            <w:tcW w:w="7546" w:type="dxa"/>
            <w:gridSpan w:val="4"/>
            <w:vAlign w:val="center"/>
          </w:tcPr>
          <w:p>
            <w:pPr>
              <w:adjustRightInd w:val="0"/>
              <w:snapToGrid w:val="0"/>
              <w:jc w:val="center"/>
              <w:rPr>
                <w:rFonts w:eastAsiaTheme="minorEastAsia"/>
                <w:szCs w:val="21"/>
              </w:rPr>
            </w:pPr>
            <w:r>
              <w:rPr>
                <w:rFonts w:eastAsiaTheme="minorEastAsia"/>
                <w:kern w:val="0"/>
                <w:szCs w:val="21"/>
              </w:rPr>
              <w:t>按照《固定污染源排污许可分类管理名录》（2019年版）</w:t>
            </w:r>
            <w:r>
              <w:rPr>
                <w:rFonts w:eastAsiaTheme="minorEastAsia"/>
                <w:szCs w:val="21"/>
              </w:rPr>
              <w:t>要求</w:t>
            </w:r>
            <w:r>
              <w:rPr>
                <w:rFonts w:eastAsiaTheme="minorEastAsia"/>
                <w:kern w:val="0"/>
                <w:szCs w:val="21"/>
              </w:rPr>
              <w:t>办理排污许可证。</w:t>
            </w:r>
          </w:p>
        </w:tc>
      </w:tr>
    </w:tbl>
    <w:p>
      <w:pPr>
        <w:pStyle w:val="21"/>
        <w:jc w:val="center"/>
        <w:outlineLvl w:val="0"/>
        <w:rPr>
          <w:rFonts w:hint="eastAsia" w:ascii="黑体" w:hAnsi="黑体" w:eastAsia="黑体"/>
          <w:snapToGrid w:val="0"/>
          <w:sz w:val="30"/>
          <w:szCs w:val="30"/>
        </w:rPr>
      </w:pPr>
      <w:r>
        <w:rPr>
          <w:snapToGrid w:val="0"/>
        </w:rPr>
        <w:br w:type="page"/>
      </w:r>
      <w:r>
        <w:rPr>
          <w:rFonts w:hint="eastAsia" w:ascii="黑体" w:hAnsi="黑体" w:eastAsia="黑体"/>
          <w:snapToGrid w:val="0"/>
          <w:sz w:val="30"/>
          <w:szCs w:val="30"/>
        </w:rPr>
        <w:t>六、结论</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1991" w:hRule="atLeast"/>
          <w:jc w:val="center"/>
        </w:trPr>
        <w:tc>
          <w:tcPr>
            <w:tcW w:w="8865" w:type="dxa"/>
          </w:tcPr>
          <w:p>
            <w:pPr>
              <w:adjustRightInd w:val="0"/>
              <w:snapToGrid w:val="0"/>
              <w:spacing w:line="360" w:lineRule="auto"/>
              <w:ind w:firstLine="480" w:firstLineChars="200"/>
              <w:textAlignment w:val="baseline"/>
              <w:rPr>
                <w:rFonts w:cs="宋体"/>
                <w:sz w:val="24"/>
              </w:rPr>
            </w:pPr>
            <w:r>
              <w:rPr>
                <w:rFonts w:hint="eastAsia" w:cs="宋体"/>
                <w:sz w:val="24"/>
              </w:rPr>
              <w:t>本项目建设符合国家相关产业政策要求，选址合理，建设单位应严格执行建设项目“三同时”制度，在严格落实本报告提出的各项污染防治措施后，各项污染物都能够做到达标排放，对周边环境影响不大，且项目经济社会效益明显。从保护环境的角度出发，本项目的建设是可行的。</w:t>
            </w:r>
          </w:p>
        </w:tc>
      </w:tr>
    </w:tbl>
    <w:p>
      <w:pPr>
        <w:rPr>
          <w:rFonts w:ascii="宋体"/>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21"/>
        <w:adjustRightInd w:val="0"/>
        <w:snapToGrid w:val="0"/>
        <w:spacing w:before="0" w:beforeAutospacing="0" w:after="0" w:afterAutospacing="0" w:line="240" w:lineRule="auto"/>
        <w:outlineLvl w:val="0"/>
      </w:pPr>
    </w:p>
    <w:sectPr>
      <w:footerReference r:id="rId4" w:type="default"/>
      <w:pgSz w:w="16838" w:h="11906" w:orient="landscape"/>
      <w:pgMar w:top="1800" w:right="1440" w:bottom="1800" w:left="1440" w:header="851" w:footer="851"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F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19D0E48-5CDF-4200-B06A-5DF8BA01D01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embedRegular r:id="rId2" w:fontKey="{4225C081-7CF1-41B9-84EA-58386428C5A8}"/>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Style w:val="28"/>
                              <w:rFonts w:hint="eastAsia" w:ascii="宋体" w:hAnsi="宋体"/>
                              <w:sz w:val="28"/>
                              <w:szCs w:val="28"/>
                            </w:rPr>
                          </w:pPr>
                          <w:r>
                            <w:rPr>
                              <w:rStyle w:val="28"/>
                              <w:rFonts w:hint="eastAsia" w:ascii="宋体" w:hAnsi="宋体"/>
                              <w:sz w:val="28"/>
                              <w:szCs w:val="28"/>
                            </w:rPr>
                            <w:t>—</w:t>
                          </w:r>
                          <w:r>
                            <w:rPr>
                              <w:rStyle w:val="28"/>
                              <w:rFonts w:hint="eastAsia" w:ascii="宋体" w:hAnsi="宋体"/>
                              <w:sz w:val="20"/>
                            </w:rPr>
                            <w:t xml:space="preserve">  </w:t>
                          </w:r>
                          <w:r>
                            <w:rPr>
                              <w:rStyle w:val="28"/>
                              <w:rFonts w:hint="default" w:ascii="Times New Roman" w:hAnsi="Times New Roman" w:cs="Times New Roman"/>
                              <w:sz w:val="26"/>
                              <w:szCs w:val="26"/>
                            </w:rPr>
                            <w:fldChar w:fldCharType="begin"/>
                          </w:r>
                          <w:r>
                            <w:rPr>
                              <w:rStyle w:val="28"/>
                              <w:rFonts w:hint="default" w:ascii="Times New Roman" w:hAnsi="Times New Roman" w:cs="Times New Roman"/>
                              <w:sz w:val="26"/>
                              <w:szCs w:val="26"/>
                            </w:rPr>
                            <w:instrText xml:space="preserve">PAGE  </w:instrText>
                          </w:r>
                          <w:r>
                            <w:rPr>
                              <w:rStyle w:val="28"/>
                              <w:rFonts w:hint="default" w:ascii="Times New Roman" w:hAnsi="Times New Roman" w:cs="Times New Roman"/>
                              <w:sz w:val="26"/>
                              <w:szCs w:val="26"/>
                            </w:rPr>
                            <w:fldChar w:fldCharType="separate"/>
                          </w:r>
                          <w:r>
                            <w:rPr>
                              <w:rStyle w:val="28"/>
                              <w:rFonts w:hint="default" w:ascii="Times New Roman" w:hAnsi="Times New Roman" w:cs="Times New Roman"/>
                              <w:sz w:val="26"/>
                              <w:szCs w:val="26"/>
                            </w:rPr>
                            <w:t>45</w:t>
                          </w:r>
                          <w:r>
                            <w:rPr>
                              <w:rStyle w:val="28"/>
                              <w:rFonts w:hint="default" w:ascii="Times New Roman" w:hAnsi="Times New Roman" w:cs="Times New Roman"/>
                              <w:sz w:val="26"/>
                              <w:szCs w:val="26"/>
                            </w:rPr>
                            <w:fldChar w:fldCharType="end"/>
                          </w:r>
                          <w:r>
                            <w:rPr>
                              <w:rStyle w:val="28"/>
                              <w:rFonts w:hint="eastAsia" w:ascii="宋体" w:hAnsi="宋体"/>
                              <w:sz w:val="20"/>
                            </w:rPr>
                            <w:t xml:space="preserve">  </w:t>
                          </w:r>
                          <w:r>
                            <w:rPr>
                              <w:rStyle w:val="28"/>
                              <w:rFonts w:hint="eastAsia" w:ascii="宋体" w:hAnsi="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7"/>
                      <w:rPr>
                        <w:rStyle w:val="28"/>
                        <w:rFonts w:hint="eastAsia" w:ascii="宋体" w:hAnsi="宋体"/>
                        <w:sz w:val="28"/>
                        <w:szCs w:val="28"/>
                      </w:rPr>
                    </w:pPr>
                    <w:r>
                      <w:rPr>
                        <w:rStyle w:val="28"/>
                        <w:rFonts w:hint="eastAsia" w:ascii="宋体" w:hAnsi="宋体"/>
                        <w:sz w:val="28"/>
                        <w:szCs w:val="28"/>
                      </w:rPr>
                      <w:t>—</w:t>
                    </w:r>
                    <w:r>
                      <w:rPr>
                        <w:rStyle w:val="28"/>
                        <w:rFonts w:hint="eastAsia" w:ascii="宋体" w:hAnsi="宋体"/>
                        <w:sz w:val="20"/>
                      </w:rPr>
                      <w:t xml:space="preserve">  </w:t>
                    </w:r>
                    <w:r>
                      <w:rPr>
                        <w:rStyle w:val="28"/>
                        <w:rFonts w:hint="default" w:ascii="Times New Roman" w:hAnsi="Times New Roman" w:cs="Times New Roman"/>
                        <w:sz w:val="26"/>
                        <w:szCs w:val="26"/>
                      </w:rPr>
                      <w:fldChar w:fldCharType="begin"/>
                    </w:r>
                    <w:r>
                      <w:rPr>
                        <w:rStyle w:val="28"/>
                        <w:rFonts w:hint="default" w:ascii="Times New Roman" w:hAnsi="Times New Roman" w:cs="Times New Roman"/>
                        <w:sz w:val="26"/>
                        <w:szCs w:val="26"/>
                      </w:rPr>
                      <w:instrText xml:space="preserve">PAGE  </w:instrText>
                    </w:r>
                    <w:r>
                      <w:rPr>
                        <w:rStyle w:val="28"/>
                        <w:rFonts w:hint="default" w:ascii="Times New Roman" w:hAnsi="Times New Roman" w:cs="Times New Roman"/>
                        <w:sz w:val="26"/>
                        <w:szCs w:val="26"/>
                      </w:rPr>
                      <w:fldChar w:fldCharType="separate"/>
                    </w:r>
                    <w:r>
                      <w:rPr>
                        <w:rStyle w:val="28"/>
                        <w:rFonts w:hint="default" w:ascii="Times New Roman" w:hAnsi="Times New Roman" w:cs="Times New Roman"/>
                        <w:sz w:val="26"/>
                        <w:szCs w:val="26"/>
                      </w:rPr>
                      <w:t>45</w:t>
                    </w:r>
                    <w:r>
                      <w:rPr>
                        <w:rStyle w:val="28"/>
                        <w:rFonts w:hint="default" w:ascii="Times New Roman" w:hAnsi="Times New Roman" w:cs="Times New Roman"/>
                        <w:sz w:val="26"/>
                        <w:szCs w:val="26"/>
                      </w:rPr>
                      <w:fldChar w:fldCharType="end"/>
                    </w:r>
                    <w:r>
                      <w:rPr>
                        <w:rStyle w:val="28"/>
                        <w:rFonts w:hint="eastAsia" w:ascii="宋体" w:hAnsi="宋体"/>
                        <w:sz w:val="20"/>
                      </w:rPr>
                      <w:t xml:space="preserve">  </w:t>
                    </w:r>
                    <w:r>
                      <w:rPr>
                        <w:rStyle w:val="28"/>
                        <w:rFonts w:hint="eastAsia" w:ascii="宋体" w:hAnsi="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Style w:val="28"/>
                              <w:rFonts w:hint="eastAsia" w:ascii="宋体" w:hAnsi="宋体"/>
                              <w:sz w:val="28"/>
                              <w:szCs w:val="28"/>
                            </w:rPr>
                          </w:pPr>
                          <w:r>
                            <w:rPr>
                              <w:rStyle w:val="28"/>
                              <w:rFonts w:hint="eastAsia" w:ascii="宋体" w:hAnsi="宋体"/>
                              <w:sz w:val="28"/>
                              <w:szCs w:val="28"/>
                            </w:rPr>
                            <w:t>—</w:t>
                          </w:r>
                          <w:r>
                            <w:rPr>
                              <w:rStyle w:val="28"/>
                              <w:rFonts w:hint="eastAsia" w:ascii="宋体" w:hAnsi="宋体"/>
                              <w:sz w:val="20"/>
                            </w:rPr>
                            <w:t xml:space="preserve">  </w:t>
                          </w:r>
                          <w:r>
                            <w:rPr>
                              <w:rStyle w:val="28"/>
                              <w:rFonts w:ascii="宋体" w:hAnsi="宋体"/>
                              <w:sz w:val="26"/>
                              <w:szCs w:val="26"/>
                            </w:rPr>
                            <w:fldChar w:fldCharType="begin"/>
                          </w:r>
                          <w:r>
                            <w:rPr>
                              <w:rStyle w:val="28"/>
                              <w:rFonts w:ascii="宋体" w:hAnsi="宋体"/>
                              <w:sz w:val="26"/>
                              <w:szCs w:val="26"/>
                            </w:rPr>
                            <w:instrText xml:space="preserve">PAGE  </w:instrText>
                          </w:r>
                          <w:r>
                            <w:rPr>
                              <w:rStyle w:val="28"/>
                              <w:rFonts w:ascii="宋体" w:hAnsi="宋体"/>
                              <w:sz w:val="26"/>
                              <w:szCs w:val="26"/>
                            </w:rPr>
                            <w:fldChar w:fldCharType="separate"/>
                          </w:r>
                          <w:r>
                            <w:rPr>
                              <w:rStyle w:val="28"/>
                              <w:rFonts w:ascii="宋体" w:hAnsi="宋体"/>
                              <w:sz w:val="26"/>
                              <w:szCs w:val="26"/>
                            </w:rPr>
                            <w:t>46</w:t>
                          </w:r>
                          <w:r>
                            <w:rPr>
                              <w:rStyle w:val="28"/>
                              <w:rFonts w:ascii="宋体" w:hAnsi="宋体"/>
                              <w:sz w:val="26"/>
                              <w:szCs w:val="26"/>
                            </w:rPr>
                            <w:fldChar w:fldCharType="end"/>
                          </w:r>
                          <w:r>
                            <w:rPr>
                              <w:rStyle w:val="28"/>
                              <w:rFonts w:hint="eastAsia" w:ascii="宋体" w:hAnsi="宋体"/>
                              <w:sz w:val="20"/>
                            </w:rPr>
                            <w:t xml:space="preserve">  </w:t>
                          </w:r>
                          <w:r>
                            <w:rPr>
                              <w:rStyle w:val="28"/>
                              <w:rFonts w:hint="eastAsia" w:ascii="宋体" w:hAnsi="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17"/>
                      <w:rPr>
                        <w:rStyle w:val="28"/>
                        <w:rFonts w:hint="eastAsia" w:ascii="宋体" w:hAnsi="宋体"/>
                        <w:sz w:val="28"/>
                        <w:szCs w:val="28"/>
                      </w:rPr>
                    </w:pPr>
                    <w:r>
                      <w:rPr>
                        <w:rStyle w:val="28"/>
                        <w:rFonts w:hint="eastAsia" w:ascii="宋体" w:hAnsi="宋体"/>
                        <w:sz w:val="28"/>
                        <w:szCs w:val="28"/>
                      </w:rPr>
                      <w:t>—</w:t>
                    </w:r>
                    <w:r>
                      <w:rPr>
                        <w:rStyle w:val="28"/>
                        <w:rFonts w:hint="eastAsia" w:ascii="宋体" w:hAnsi="宋体"/>
                        <w:sz w:val="20"/>
                      </w:rPr>
                      <w:t xml:space="preserve">  </w:t>
                    </w:r>
                    <w:r>
                      <w:rPr>
                        <w:rStyle w:val="28"/>
                        <w:rFonts w:ascii="宋体" w:hAnsi="宋体"/>
                        <w:sz w:val="26"/>
                        <w:szCs w:val="26"/>
                      </w:rPr>
                      <w:fldChar w:fldCharType="begin"/>
                    </w:r>
                    <w:r>
                      <w:rPr>
                        <w:rStyle w:val="28"/>
                        <w:rFonts w:ascii="宋体" w:hAnsi="宋体"/>
                        <w:sz w:val="26"/>
                        <w:szCs w:val="26"/>
                      </w:rPr>
                      <w:instrText xml:space="preserve">PAGE  </w:instrText>
                    </w:r>
                    <w:r>
                      <w:rPr>
                        <w:rStyle w:val="28"/>
                        <w:rFonts w:ascii="宋体" w:hAnsi="宋体"/>
                        <w:sz w:val="26"/>
                        <w:szCs w:val="26"/>
                      </w:rPr>
                      <w:fldChar w:fldCharType="separate"/>
                    </w:r>
                    <w:r>
                      <w:rPr>
                        <w:rStyle w:val="28"/>
                        <w:rFonts w:ascii="宋体" w:hAnsi="宋体"/>
                        <w:sz w:val="26"/>
                        <w:szCs w:val="26"/>
                      </w:rPr>
                      <w:t>46</w:t>
                    </w:r>
                    <w:r>
                      <w:rPr>
                        <w:rStyle w:val="28"/>
                        <w:rFonts w:ascii="宋体" w:hAnsi="宋体"/>
                        <w:sz w:val="26"/>
                        <w:szCs w:val="26"/>
                      </w:rPr>
                      <w:fldChar w:fldCharType="end"/>
                    </w:r>
                    <w:r>
                      <w:rPr>
                        <w:rStyle w:val="28"/>
                        <w:rFonts w:hint="eastAsia" w:ascii="宋体" w:hAnsi="宋体"/>
                        <w:sz w:val="20"/>
                      </w:rPr>
                      <w:t xml:space="preserve">  </w:t>
                    </w:r>
                    <w:r>
                      <w:rPr>
                        <w:rStyle w:val="28"/>
                        <w:rFonts w:hint="eastAsia" w:ascii="宋体" w:hAnsi="宋体"/>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1C4386"/>
    <w:multiLevelType w:val="multilevel"/>
    <w:tmpl w:val="731C4386"/>
    <w:lvl w:ilvl="0" w:tentative="0">
      <w:start w:val="1"/>
      <w:numFmt w:val="decimal"/>
      <w:lvlText w:val="%1"/>
      <w:lvlJc w:val="left"/>
      <w:pPr>
        <w:ind w:left="284" w:hanging="284"/>
      </w:pPr>
      <w:rPr>
        <w:rFonts w:hint="eastAsia" w:ascii="Times New Roman" w:hAnsi="Times New Roman"/>
      </w:rPr>
    </w:lvl>
    <w:lvl w:ilvl="1" w:tentative="0">
      <w:start w:val="1"/>
      <w:numFmt w:val="decimal"/>
      <w:suff w:val="space"/>
      <w:lvlText w:val="%1.%2"/>
      <w:lvlJc w:val="left"/>
      <w:pPr>
        <w:ind w:left="0" w:firstLine="0"/>
      </w:pPr>
      <w:rPr>
        <w:rFonts w:hint="eastAsia" w:ascii="Times New Roman" w:hAnsi="Times New Roman"/>
      </w:rPr>
    </w:lvl>
    <w:lvl w:ilvl="2" w:tentative="0">
      <w:start w:val="1"/>
      <w:numFmt w:val="decimal"/>
      <w:suff w:val="space"/>
      <w:lvlText w:val="%1.%2.%3"/>
      <w:lvlJc w:val="left"/>
      <w:pPr>
        <w:ind w:left="0" w:firstLine="0"/>
      </w:pPr>
      <w:rPr>
        <w:rFonts w:hint="eastAsia" w:ascii="Times New Roman" w:hAnsi="Times New Roman"/>
        <w:b/>
      </w:rPr>
    </w:lvl>
    <w:lvl w:ilvl="3" w:tentative="0">
      <w:start w:val="1"/>
      <w:numFmt w:val="decimal"/>
      <w:suff w:val="space"/>
      <w:lvlText w:val="%1.%2.%3.%4"/>
      <w:lvlJc w:val="left"/>
      <w:pPr>
        <w:ind w:left="0" w:firstLine="0"/>
      </w:pPr>
      <w:rPr>
        <w:rFonts w:hint="default" w:ascii="Times New Roman" w:hAnsi="Times New Roman"/>
        <w:sz w:val="24"/>
      </w:rPr>
    </w:lvl>
    <w:lvl w:ilvl="4" w:tentative="0">
      <w:start w:val="1"/>
      <w:numFmt w:val="decimal"/>
      <w:suff w:val="space"/>
      <w:lvlText w:val="表%1.%2.%3-%5"/>
      <w:lvlJc w:val="center"/>
      <w:pPr>
        <w:ind w:left="4111" w:firstLine="0"/>
      </w:pPr>
      <w:rPr>
        <w:rFonts w:hint="default" w:ascii="Times New Roman" w:hAnsi="Times New Roman" w:eastAsia="宋体"/>
        <w:sz w:val="21"/>
        <w:lang w:val="en-US"/>
      </w:rPr>
    </w:lvl>
    <w:lvl w:ilvl="5" w:tentative="0">
      <w:start w:val="1"/>
      <w:numFmt w:val="decimal"/>
      <w:pStyle w:val="9"/>
      <w:suff w:val="space"/>
      <w:lvlText w:val="表%1.%2.%3.%4-%6"/>
      <w:lvlJc w:val="left"/>
      <w:pPr>
        <w:ind w:left="0" w:firstLine="0"/>
      </w:pPr>
      <w:rPr>
        <w:rFonts w:hint="default" w:ascii="Times New Roman" w:hAnsi="Times New Roman" w:eastAsia="宋体"/>
        <w:b/>
        <w:i w:val="0"/>
        <w:sz w:val="21"/>
        <w:lang w:val="en-US"/>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123">
    <w15:presenceInfo w15:providerId="WPS Office" w15:userId="67027532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iN2EzOTIwNTFkMWRjYjlhM2M2MjEwMTAzOTAyMTAifQ=="/>
  </w:docVars>
  <w:rsids>
    <w:rsidRoot w:val="00A14947"/>
    <w:rsid w:val="00004049"/>
    <w:rsid w:val="000060B3"/>
    <w:rsid w:val="000175FA"/>
    <w:rsid w:val="00017F96"/>
    <w:rsid w:val="000224CE"/>
    <w:rsid w:val="0002448D"/>
    <w:rsid w:val="00025107"/>
    <w:rsid w:val="00026B3D"/>
    <w:rsid w:val="00026E31"/>
    <w:rsid w:val="0002769E"/>
    <w:rsid w:val="000301CC"/>
    <w:rsid w:val="0003126B"/>
    <w:rsid w:val="0003778B"/>
    <w:rsid w:val="00040947"/>
    <w:rsid w:val="00040F19"/>
    <w:rsid w:val="000424BC"/>
    <w:rsid w:val="0004364B"/>
    <w:rsid w:val="00045D03"/>
    <w:rsid w:val="00046D05"/>
    <w:rsid w:val="000534C9"/>
    <w:rsid w:val="00060AE1"/>
    <w:rsid w:val="00061B1F"/>
    <w:rsid w:val="00062952"/>
    <w:rsid w:val="000664A4"/>
    <w:rsid w:val="00066D8D"/>
    <w:rsid w:val="00071C74"/>
    <w:rsid w:val="000733C4"/>
    <w:rsid w:val="00074783"/>
    <w:rsid w:val="000751DD"/>
    <w:rsid w:val="00075B83"/>
    <w:rsid w:val="0007773A"/>
    <w:rsid w:val="000800E7"/>
    <w:rsid w:val="0008070B"/>
    <w:rsid w:val="000810AC"/>
    <w:rsid w:val="00081A02"/>
    <w:rsid w:val="00082231"/>
    <w:rsid w:val="00082C39"/>
    <w:rsid w:val="00084489"/>
    <w:rsid w:val="000847E8"/>
    <w:rsid w:val="00085A4A"/>
    <w:rsid w:val="00087251"/>
    <w:rsid w:val="00087398"/>
    <w:rsid w:val="00091019"/>
    <w:rsid w:val="00092D38"/>
    <w:rsid w:val="00092D9C"/>
    <w:rsid w:val="0009377B"/>
    <w:rsid w:val="00093DD3"/>
    <w:rsid w:val="00097201"/>
    <w:rsid w:val="0009725A"/>
    <w:rsid w:val="000A1CE4"/>
    <w:rsid w:val="000A20C9"/>
    <w:rsid w:val="000A5BC8"/>
    <w:rsid w:val="000B058F"/>
    <w:rsid w:val="000B2171"/>
    <w:rsid w:val="000B4467"/>
    <w:rsid w:val="000B4DB9"/>
    <w:rsid w:val="000B672F"/>
    <w:rsid w:val="000B789B"/>
    <w:rsid w:val="000C09AC"/>
    <w:rsid w:val="000C0BCA"/>
    <w:rsid w:val="000C2853"/>
    <w:rsid w:val="000C2983"/>
    <w:rsid w:val="000C2FE5"/>
    <w:rsid w:val="000C60CB"/>
    <w:rsid w:val="000C767F"/>
    <w:rsid w:val="000D2D9C"/>
    <w:rsid w:val="000D4E60"/>
    <w:rsid w:val="000D5A44"/>
    <w:rsid w:val="000E0FEC"/>
    <w:rsid w:val="000E28DD"/>
    <w:rsid w:val="000E3ED2"/>
    <w:rsid w:val="000F1A99"/>
    <w:rsid w:val="000F2954"/>
    <w:rsid w:val="000F4063"/>
    <w:rsid w:val="000F58A3"/>
    <w:rsid w:val="000F6364"/>
    <w:rsid w:val="000F754A"/>
    <w:rsid w:val="001028CC"/>
    <w:rsid w:val="00105974"/>
    <w:rsid w:val="00105D4C"/>
    <w:rsid w:val="00111E23"/>
    <w:rsid w:val="00113B1C"/>
    <w:rsid w:val="001211B1"/>
    <w:rsid w:val="00124B2D"/>
    <w:rsid w:val="001256A6"/>
    <w:rsid w:val="00131F42"/>
    <w:rsid w:val="00132628"/>
    <w:rsid w:val="00135416"/>
    <w:rsid w:val="001357F1"/>
    <w:rsid w:val="00140589"/>
    <w:rsid w:val="00140FA8"/>
    <w:rsid w:val="00142FEB"/>
    <w:rsid w:val="00143A2D"/>
    <w:rsid w:val="00145A41"/>
    <w:rsid w:val="00145ADC"/>
    <w:rsid w:val="00145D07"/>
    <w:rsid w:val="00146464"/>
    <w:rsid w:val="0014674F"/>
    <w:rsid w:val="00147CDC"/>
    <w:rsid w:val="001507F4"/>
    <w:rsid w:val="00151675"/>
    <w:rsid w:val="00153539"/>
    <w:rsid w:val="00154816"/>
    <w:rsid w:val="00157435"/>
    <w:rsid w:val="0016051B"/>
    <w:rsid w:val="0016666F"/>
    <w:rsid w:val="00166C5E"/>
    <w:rsid w:val="001673BC"/>
    <w:rsid w:val="00170F16"/>
    <w:rsid w:val="00172143"/>
    <w:rsid w:val="0017504D"/>
    <w:rsid w:val="001757B5"/>
    <w:rsid w:val="0017671A"/>
    <w:rsid w:val="00177422"/>
    <w:rsid w:val="00184590"/>
    <w:rsid w:val="00187086"/>
    <w:rsid w:val="001870D1"/>
    <w:rsid w:val="0018781E"/>
    <w:rsid w:val="00190F96"/>
    <w:rsid w:val="0019262D"/>
    <w:rsid w:val="001927AD"/>
    <w:rsid w:val="00195D41"/>
    <w:rsid w:val="00196B2D"/>
    <w:rsid w:val="001A1508"/>
    <w:rsid w:val="001A1B35"/>
    <w:rsid w:val="001A403D"/>
    <w:rsid w:val="001A48A2"/>
    <w:rsid w:val="001A52B3"/>
    <w:rsid w:val="001A6F61"/>
    <w:rsid w:val="001B129E"/>
    <w:rsid w:val="001B5801"/>
    <w:rsid w:val="001B6411"/>
    <w:rsid w:val="001B72B8"/>
    <w:rsid w:val="001B7664"/>
    <w:rsid w:val="001B7E93"/>
    <w:rsid w:val="001C075A"/>
    <w:rsid w:val="001C61C3"/>
    <w:rsid w:val="001C69B3"/>
    <w:rsid w:val="001D1840"/>
    <w:rsid w:val="001D33B0"/>
    <w:rsid w:val="001D5595"/>
    <w:rsid w:val="001D55E6"/>
    <w:rsid w:val="001D5E61"/>
    <w:rsid w:val="001D6DBA"/>
    <w:rsid w:val="001D7874"/>
    <w:rsid w:val="001D7F22"/>
    <w:rsid w:val="001E2DA7"/>
    <w:rsid w:val="001E6065"/>
    <w:rsid w:val="001E6483"/>
    <w:rsid w:val="001E691E"/>
    <w:rsid w:val="001F021C"/>
    <w:rsid w:val="001F0D1F"/>
    <w:rsid w:val="001F0F17"/>
    <w:rsid w:val="001F1103"/>
    <w:rsid w:val="001F12EC"/>
    <w:rsid w:val="001F2DD2"/>
    <w:rsid w:val="001F3347"/>
    <w:rsid w:val="001F429D"/>
    <w:rsid w:val="001F69E4"/>
    <w:rsid w:val="002019DC"/>
    <w:rsid w:val="0020264E"/>
    <w:rsid w:val="002041CE"/>
    <w:rsid w:val="0020514A"/>
    <w:rsid w:val="00206C85"/>
    <w:rsid w:val="002125B4"/>
    <w:rsid w:val="00212AD8"/>
    <w:rsid w:val="0021555A"/>
    <w:rsid w:val="002155B8"/>
    <w:rsid w:val="00215B12"/>
    <w:rsid w:val="00222549"/>
    <w:rsid w:val="00223C5F"/>
    <w:rsid w:val="00224839"/>
    <w:rsid w:val="002249B2"/>
    <w:rsid w:val="00226574"/>
    <w:rsid w:val="002273BB"/>
    <w:rsid w:val="002278EC"/>
    <w:rsid w:val="00231AE7"/>
    <w:rsid w:val="0023280E"/>
    <w:rsid w:val="002334A5"/>
    <w:rsid w:val="00234030"/>
    <w:rsid w:val="002340BF"/>
    <w:rsid w:val="002348F4"/>
    <w:rsid w:val="00235B29"/>
    <w:rsid w:val="002367B4"/>
    <w:rsid w:val="0023758F"/>
    <w:rsid w:val="002377D1"/>
    <w:rsid w:val="0024630E"/>
    <w:rsid w:val="00246549"/>
    <w:rsid w:val="002506BC"/>
    <w:rsid w:val="00250C9D"/>
    <w:rsid w:val="002524F6"/>
    <w:rsid w:val="0025334E"/>
    <w:rsid w:val="00254345"/>
    <w:rsid w:val="0025586E"/>
    <w:rsid w:val="00257554"/>
    <w:rsid w:val="00260D10"/>
    <w:rsid w:val="00264557"/>
    <w:rsid w:val="002656F9"/>
    <w:rsid w:val="00266781"/>
    <w:rsid w:val="0027305C"/>
    <w:rsid w:val="00273755"/>
    <w:rsid w:val="00275E01"/>
    <w:rsid w:val="00277941"/>
    <w:rsid w:val="002805AB"/>
    <w:rsid w:val="00281A2C"/>
    <w:rsid w:val="002828F7"/>
    <w:rsid w:val="00282F28"/>
    <w:rsid w:val="00283314"/>
    <w:rsid w:val="00284204"/>
    <w:rsid w:val="002850DE"/>
    <w:rsid w:val="0028668F"/>
    <w:rsid w:val="00290B41"/>
    <w:rsid w:val="0029173B"/>
    <w:rsid w:val="00291773"/>
    <w:rsid w:val="002941A0"/>
    <w:rsid w:val="00296722"/>
    <w:rsid w:val="002A168C"/>
    <w:rsid w:val="002A176F"/>
    <w:rsid w:val="002A18F0"/>
    <w:rsid w:val="002A2189"/>
    <w:rsid w:val="002A3B31"/>
    <w:rsid w:val="002A3DC7"/>
    <w:rsid w:val="002A5D99"/>
    <w:rsid w:val="002A67E5"/>
    <w:rsid w:val="002B1C77"/>
    <w:rsid w:val="002B49E2"/>
    <w:rsid w:val="002B7B00"/>
    <w:rsid w:val="002B7C44"/>
    <w:rsid w:val="002C2B17"/>
    <w:rsid w:val="002C5FB1"/>
    <w:rsid w:val="002C68C3"/>
    <w:rsid w:val="002C6A7D"/>
    <w:rsid w:val="002D3603"/>
    <w:rsid w:val="002D3DD0"/>
    <w:rsid w:val="002E07C5"/>
    <w:rsid w:val="002E1F3A"/>
    <w:rsid w:val="002E298A"/>
    <w:rsid w:val="002E3727"/>
    <w:rsid w:val="002E3993"/>
    <w:rsid w:val="002E479D"/>
    <w:rsid w:val="002F0DD4"/>
    <w:rsid w:val="002F1AE8"/>
    <w:rsid w:val="00301978"/>
    <w:rsid w:val="0030332C"/>
    <w:rsid w:val="003051C2"/>
    <w:rsid w:val="00305281"/>
    <w:rsid w:val="003103BB"/>
    <w:rsid w:val="00311178"/>
    <w:rsid w:val="00311547"/>
    <w:rsid w:val="00312296"/>
    <w:rsid w:val="00313452"/>
    <w:rsid w:val="003139AD"/>
    <w:rsid w:val="00314F0E"/>
    <w:rsid w:val="00316095"/>
    <w:rsid w:val="0031631A"/>
    <w:rsid w:val="003208A4"/>
    <w:rsid w:val="003213C8"/>
    <w:rsid w:val="00321D8E"/>
    <w:rsid w:val="00325928"/>
    <w:rsid w:val="003302AD"/>
    <w:rsid w:val="00331D14"/>
    <w:rsid w:val="00332863"/>
    <w:rsid w:val="00333BD5"/>
    <w:rsid w:val="0033684D"/>
    <w:rsid w:val="00337B42"/>
    <w:rsid w:val="00341B42"/>
    <w:rsid w:val="0034348F"/>
    <w:rsid w:val="003461AD"/>
    <w:rsid w:val="00347C0F"/>
    <w:rsid w:val="00351898"/>
    <w:rsid w:val="00352DA7"/>
    <w:rsid w:val="00353960"/>
    <w:rsid w:val="003552DA"/>
    <w:rsid w:val="00356653"/>
    <w:rsid w:val="003568D4"/>
    <w:rsid w:val="00356AC3"/>
    <w:rsid w:val="0035743F"/>
    <w:rsid w:val="00357BE2"/>
    <w:rsid w:val="0036170C"/>
    <w:rsid w:val="00362ED3"/>
    <w:rsid w:val="00363146"/>
    <w:rsid w:val="0036364E"/>
    <w:rsid w:val="00366E0F"/>
    <w:rsid w:val="00367036"/>
    <w:rsid w:val="00372502"/>
    <w:rsid w:val="003733DA"/>
    <w:rsid w:val="003773D3"/>
    <w:rsid w:val="00377C67"/>
    <w:rsid w:val="00381A72"/>
    <w:rsid w:val="00382532"/>
    <w:rsid w:val="003838EE"/>
    <w:rsid w:val="00383931"/>
    <w:rsid w:val="00384676"/>
    <w:rsid w:val="003854D2"/>
    <w:rsid w:val="00386284"/>
    <w:rsid w:val="00386A69"/>
    <w:rsid w:val="00387050"/>
    <w:rsid w:val="0038760B"/>
    <w:rsid w:val="00387E42"/>
    <w:rsid w:val="003906FE"/>
    <w:rsid w:val="00390857"/>
    <w:rsid w:val="003924E1"/>
    <w:rsid w:val="0039353B"/>
    <w:rsid w:val="00394667"/>
    <w:rsid w:val="00395AB9"/>
    <w:rsid w:val="00396E7E"/>
    <w:rsid w:val="003A1BA0"/>
    <w:rsid w:val="003A2814"/>
    <w:rsid w:val="003A28E2"/>
    <w:rsid w:val="003A4BF3"/>
    <w:rsid w:val="003A7618"/>
    <w:rsid w:val="003B0BF8"/>
    <w:rsid w:val="003B3141"/>
    <w:rsid w:val="003B420D"/>
    <w:rsid w:val="003C27AC"/>
    <w:rsid w:val="003C6C16"/>
    <w:rsid w:val="003D27A2"/>
    <w:rsid w:val="003D5F74"/>
    <w:rsid w:val="003D794D"/>
    <w:rsid w:val="003D7F53"/>
    <w:rsid w:val="003E3058"/>
    <w:rsid w:val="003E76A9"/>
    <w:rsid w:val="003F0809"/>
    <w:rsid w:val="003F1C31"/>
    <w:rsid w:val="003F1F64"/>
    <w:rsid w:val="003F21DE"/>
    <w:rsid w:val="003F2F0B"/>
    <w:rsid w:val="003F3B5F"/>
    <w:rsid w:val="003F43F1"/>
    <w:rsid w:val="003F6A8C"/>
    <w:rsid w:val="003F755C"/>
    <w:rsid w:val="003F7D00"/>
    <w:rsid w:val="00402357"/>
    <w:rsid w:val="0040374A"/>
    <w:rsid w:val="00406F01"/>
    <w:rsid w:val="0041052F"/>
    <w:rsid w:val="0041075A"/>
    <w:rsid w:val="0041243D"/>
    <w:rsid w:val="004141E9"/>
    <w:rsid w:val="00416D50"/>
    <w:rsid w:val="00416FD5"/>
    <w:rsid w:val="004175E7"/>
    <w:rsid w:val="00417772"/>
    <w:rsid w:val="00420E6A"/>
    <w:rsid w:val="00425A9E"/>
    <w:rsid w:val="004269F8"/>
    <w:rsid w:val="00426D6B"/>
    <w:rsid w:val="00431E6C"/>
    <w:rsid w:val="00432F88"/>
    <w:rsid w:val="00433CE7"/>
    <w:rsid w:val="00436493"/>
    <w:rsid w:val="00445B79"/>
    <w:rsid w:val="004519CC"/>
    <w:rsid w:val="00452738"/>
    <w:rsid w:val="00452E10"/>
    <w:rsid w:val="00456091"/>
    <w:rsid w:val="00456A25"/>
    <w:rsid w:val="00456FED"/>
    <w:rsid w:val="00466321"/>
    <w:rsid w:val="00466BF1"/>
    <w:rsid w:val="00472178"/>
    <w:rsid w:val="0047233B"/>
    <w:rsid w:val="0047361D"/>
    <w:rsid w:val="0048102E"/>
    <w:rsid w:val="004839BE"/>
    <w:rsid w:val="00484B9B"/>
    <w:rsid w:val="004855F6"/>
    <w:rsid w:val="0048661E"/>
    <w:rsid w:val="004900C9"/>
    <w:rsid w:val="00490CE7"/>
    <w:rsid w:val="00494670"/>
    <w:rsid w:val="004A0000"/>
    <w:rsid w:val="004A28C0"/>
    <w:rsid w:val="004A3823"/>
    <w:rsid w:val="004A4CAD"/>
    <w:rsid w:val="004A5B51"/>
    <w:rsid w:val="004A680B"/>
    <w:rsid w:val="004A7EF1"/>
    <w:rsid w:val="004B0346"/>
    <w:rsid w:val="004B643B"/>
    <w:rsid w:val="004B7B5C"/>
    <w:rsid w:val="004C3EC6"/>
    <w:rsid w:val="004C7088"/>
    <w:rsid w:val="004D05D1"/>
    <w:rsid w:val="004E1BF9"/>
    <w:rsid w:val="004E5EA2"/>
    <w:rsid w:val="004E6946"/>
    <w:rsid w:val="004F0EC2"/>
    <w:rsid w:val="004F1AD8"/>
    <w:rsid w:val="004F2D76"/>
    <w:rsid w:val="004F314C"/>
    <w:rsid w:val="004F564F"/>
    <w:rsid w:val="004F796D"/>
    <w:rsid w:val="0050004E"/>
    <w:rsid w:val="0050169C"/>
    <w:rsid w:val="005038CB"/>
    <w:rsid w:val="005039CB"/>
    <w:rsid w:val="0050558F"/>
    <w:rsid w:val="005057DF"/>
    <w:rsid w:val="00506286"/>
    <w:rsid w:val="0051063B"/>
    <w:rsid w:val="00510813"/>
    <w:rsid w:val="00510B2B"/>
    <w:rsid w:val="005111FB"/>
    <w:rsid w:val="00511990"/>
    <w:rsid w:val="00511DE0"/>
    <w:rsid w:val="00514870"/>
    <w:rsid w:val="00514B9B"/>
    <w:rsid w:val="00514DAA"/>
    <w:rsid w:val="005164B7"/>
    <w:rsid w:val="0051707D"/>
    <w:rsid w:val="00517F02"/>
    <w:rsid w:val="005218F9"/>
    <w:rsid w:val="00521E99"/>
    <w:rsid w:val="00523C31"/>
    <w:rsid w:val="00524303"/>
    <w:rsid w:val="0052433D"/>
    <w:rsid w:val="005243BB"/>
    <w:rsid w:val="00524ED0"/>
    <w:rsid w:val="005258A2"/>
    <w:rsid w:val="005258C9"/>
    <w:rsid w:val="0053065D"/>
    <w:rsid w:val="005311E4"/>
    <w:rsid w:val="0053264C"/>
    <w:rsid w:val="00533D42"/>
    <w:rsid w:val="00536475"/>
    <w:rsid w:val="005401AE"/>
    <w:rsid w:val="00542E07"/>
    <w:rsid w:val="00543B64"/>
    <w:rsid w:val="00543EE1"/>
    <w:rsid w:val="0054518A"/>
    <w:rsid w:val="00545424"/>
    <w:rsid w:val="005528AE"/>
    <w:rsid w:val="0055312D"/>
    <w:rsid w:val="00554A7B"/>
    <w:rsid w:val="00554B64"/>
    <w:rsid w:val="0055572C"/>
    <w:rsid w:val="00555C34"/>
    <w:rsid w:val="0056106A"/>
    <w:rsid w:val="005720AE"/>
    <w:rsid w:val="00573FAD"/>
    <w:rsid w:val="005756C1"/>
    <w:rsid w:val="00582F57"/>
    <w:rsid w:val="00583275"/>
    <w:rsid w:val="005856A3"/>
    <w:rsid w:val="00585E67"/>
    <w:rsid w:val="0059003A"/>
    <w:rsid w:val="00590B0C"/>
    <w:rsid w:val="0059119A"/>
    <w:rsid w:val="0059293B"/>
    <w:rsid w:val="00593DA1"/>
    <w:rsid w:val="00594D77"/>
    <w:rsid w:val="005969E4"/>
    <w:rsid w:val="005A06B7"/>
    <w:rsid w:val="005A1759"/>
    <w:rsid w:val="005A3619"/>
    <w:rsid w:val="005A55BB"/>
    <w:rsid w:val="005A563E"/>
    <w:rsid w:val="005A68A7"/>
    <w:rsid w:val="005A6E44"/>
    <w:rsid w:val="005B0284"/>
    <w:rsid w:val="005B0DD9"/>
    <w:rsid w:val="005B39D2"/>
    <w:rsid w:val="005B6331"/>
    <w:rsid w:val="005B68BD"/>
    <w:rsid w:val="005B7A3B"/>
    <w:rsid w:val="005B7E99"/>
    <w:rsid w:val="005C1DBB"/>
    <w:rsid w:val="005C2BC8"/>
    <w:rsid w:val="005C3DE3"/>
    <w:rsid w:val="005C46A6"/>
    <w:rsid w:val="005C4955"/>
    <w:rsid w:val="005D3492"/>
    <w:rsid w:val="005D36AB"/>
    <w:rsid w:val="005D6A2A"/>
    <w:rsid w:val="005E25D8"/>
    <w:rsid w:val="005E35B2"/>
    <w:rsid w:val="005E4261"/>
    <w:rsid w:val="005E58B0"/>
    <w:rsid w:val="005F04D0"/>
    <w:rsid w:val="005F1531"/>
    <w:rsid w:val="005F3C0B"/>
    <w:rsid w:val="005F59D5"/>
    <w:rsid w:val="005F6993"/>
    <w:rsid w:val="00603E47"/>
    <w:rsid w:val="006046F8"/>
    <w:rsid w:val="00606E89"/>
    <w:rsid w:val="00612496"/>
    <w:rsid w:val="006135A5"/>
    <w:rsid w:val="0061481F"/>
    <w:rsid w:val="00617CC3"/>
    <w:rsid w:val="00620552"/>
    <w:rsid w:val="00620883"/>
    <w:rsid w:val="006245A9"/>
    <w:rsid w:val="00626DDE"/>
    <w:rsid w:val="006322E5"/>
    <w:rsid w:val="00633989"/>
    <w:rsid w:val="006368E0"/>
    <w:rsid w:val="006377A6"/>
    <w:rsid w:val="00637A3D"/>
    <w:rsid w:val="006411EF"/>
    <w:rsid w:val="0064186E"/>
    <w:rsid w:val="00641FD9"/>
    <w:rsid w:val="006457DD"/>
    <w:rsid w:val="00646043"/>
    <w:rsid w:val="006463C0"/>
    <w:rsid w:val="006463CF"/>
    <w:rsid w:val="00646C39"/>
    <w:rsid w:val="006479EA"/>
    <w:rsid w:val="00651995"/>
    <w:rsid w:val="00655823"/>
    <w:rsid w:val="006559D1"/>
    <w:rsid w:val="00657966"/>
    <w:rsid w:val="006639C7"/>
    <w:rsid w:val="00663BA9"/>
    <w:rsid w:val="00665869"/>
    <w:rsid w:val="0066613B"/>
    <w:rsid w:val="0067038E"/>
    <w:rsid w:val="0067458F"/>
    <w:rsid w:val="006748B8"/>
    <w:rsid w:val="006774F9"/>
    <w:rsid w:val="006775C3"/>
    <w:rsid w:val="0069290A"/>
    <w:rsid w:val="0069325D"/>
    <w:rsid w:val="00693802"/>
    <w:rsid w:val="00696B91"/>
    <w:rsid w:val="0069775A"/>
    <w:rsid w:val="00697813"/>
    <w:rsid w:val="006A3EE8"/>
    <w:rsid w:val="006A5193"/>
    <w:rsid w:val="006A5DCB"/>
    <w:rsid w:val="006A72BF"/>
    <w:rsid w:val="006B01AB"/>
    <w:rsid w:val="006B03F2"/>
    <w:rsid w:val="006B22CC"/>
    <w:rsid w:val="006B37DC"/>
    <w:rsid w:val="006B4F68"/>
    <w:rsid w:val="006B6571"/>
    <w:rsid w:val="006B705F"/>
    <w:rsid w:val="006C0592"/>
    <w:rsid w:val="006C072B"/>
    <w:rsid w:val="006C0F94"/>
    <w:rsid w:val="006C272E"/>
    <w:rsid w:val="006C5479"/>
    <w:rsid w:val="006C5D45"/>
    <w:rsid w:val="006C6EF4"/>
    <w:rsid w:val="006C7251"/>
    <w:rsid w:val="006D13B5"/>
    <w:rsid w:val="006E02F3"/>
    <w:rsid w:val="006E12FF"/>
    <w:rsid w:val="006E607E"/>
    <w:rsid w:val="006E6AE2"/>
    <w:rsid w:val="006F22AE"/>
    <w:rsid w:val="006F5C4C"/>
    <w:rsid w:val="00700437"/>
    <w:rsid w:val="0070275F"/>
    <w:rsid w:val="007066F9"/>
    <w:rsid w:val="00706C5D"/>
    <w:rsid w:val="00713433"/>
    <w:rsid w:val="00714ECB"/>
    <w:rsid w:val="00715547"/>
    <w:rsid w:val="00716AD9"/>
    <w:rsid w:val="0072078D"/>
    <w:rsid w:val="00723635"/>
    <w:rsid w:val="007243BD"/>
    <w:rsid w:val="00724845"/>
    <w:rsid w:val="00725546"/>
    <w:rsid w:val="00732922"/>
    <w:rsid w:val="007369ED"/>
    <w:rsid w:val="007377B7"/>
    <w:rsid w:val="007400D3"/>
    <w:rsid w:val="00740B3D"/>
    <w:rsid w:val="00744691"/>
    <w:rsid w:val="007449CD"/>
    <w:rsid w:val="0075162E"/>
    <w:rsid w:val="00752CE9"/>
    <w:rsid w:val="00753F06"/>
    <w:rsid w:val="00754034"/>
    <w:rsid w:val="007541E7"/>
    <w:rsid w:val="00756556"/>
    <w:rsid w:val="007573A0"/>
    <w:rsid w:val="007573E1"/>
    <w:rsid w:val="007576CC"/>
    <w:rsid w:val="007618C4"/>
    <w:rsid w:val="00763252"/>
    <w:rsid w:val="007634CE"/>
    <w:rsid w:val="00767980"/>
    <w:rsid w:val="00770B19"/>
    <w:rsid w:val="00772967"/>
    <w:rsid w:val="00773530"/>
    <w:rsid w:val="0077463F"/>
    <w:rsid w:val="007772F2"/>
    <w:rsid w:val="007828C5"/>
    <w:rsid w:val="007836EA"/>
    <w:rsid w:val="007842DC"/>
    <w:rsid w:val="00784CDA"/>
    <w:rsid w:val="00785E36"/>
    <w:rsid w:val="00787282"/>
    <w:rsid w:val="00787D01"/>
    <w:rsid w:val="007906C4"/>
    <w:rsid w:val="007940EA"/>
    <w:rsid w:val="007967E8"/>
    <w:rsid w:val="007979B6"/>
    <w:rsid w:val="007A2170"/>
    <w:rsid w:val="007A22BF"/>
    <w:rsid w:val="007A22F6"/>
    <w:rsid w:val="007A3323"/>
    <w:rsid w:val="007A5135"/>
    <w:rsid w:val="007A6EF1"/>
    <w:rsid w:val="007B193A"/>
    <w:rsid w:val="007B72B8"/>
    <w:rsid w:val="007B7A58"/>
    <w:rsid w:val="007C21B5"/>
    <w:rsid w:val="007C33F7"/>
    <w:rsid w:val="007C3606"/>
    <w:rsid w:val="007C3613"/>
    <w:rsid w:val="007D0EB5"/>
    <w:rsid w:val="007D1A96"/>
    <w:rsid w:val="007D5171"/>
    <w:rsid w:val="007D5A22"/>
    <w:rsid w:val="007D7336"/>
    <w:rsid w:val="007E0929"/>
    <w:rsid w:val="007E274D"/>
    <w:rsid w:val="007E4BD2"/>
    <w:rsid w:val="007E6167"/>
    <w:rsid w:val="007F06AB"/>
    <w:rsid w:val="007F3C88"/>
    <w:rsid w:val="007F572C"/>
    <w:rsid w:val="00801393"/>
    <w:rsid w:val="00802DF6"/>
    <w:rsid w:val="00802F88"/>
    <w:rsid w:val="00804F0F"/>
    <w:rsid w:val="0081293E"/>
    <w:rsid w:val="008134F5"/>
    <w:rsid w:val="00813D54"/>
    <w:rsid w:val="0081469F"/>
    <w:rsid w:val="008151F2"/>
    <w:rsid w:val="00815465"/>
    <w:rsid w:val="00816BBB"/>
    <w:rsid w:val="00817E9A"/>
    <w:rsid w:val="008201C3"/>
    <w:rsid w:val="0082455C"/>
    <w:rsid w:val="008306BD"/>
    <w:rsid w:val="00830B0B"/>
    <w:rsid w:val="0083176C"/>
    <w:rsid w:val="00831A80"/>
    <w:rsid w:val="00832F9F"/>
    <w:rsid w:val="00833743"/>
    <w:rsid w:val="008340A4"/>
    <w:rsid w:val="00836A97"/>
    <w:rsid w:val="00836B2C"/>
    <w:rsid w:val="00837B5C"/>
    <w:rsid w:val="0084160E"/>
    <w:rsid w:val="008416C3"/>
    <w:rsid w:val="0084229F"/>
    <w:rsid w:val="008477C6"/>
    <w:rsid w:val="00851C1E"/>
    <w:rsid w:val="00860136"/>
    <w:rsid w:val="00860A1E"/>
    <w:rsid w:val="00862080"/>
    <w:rsid w:val="00867410"/>
    <w:rsid w:val="0086769D"/>
    <w:rsid w:val="00867CEC"/>
    <w:rsid w:val="0087135F"/>
    <w:rsid w:val="00872D94"/>
    <w:rsid w:val="00874F8C"/>
    <w:rsid w:val="008770B2"/>
    <w:rsid w:val="00880364"/>
    <w:rsid w:val="00880555"/>
    <w:rsid w:val="00883872"/>
    <w:rsid w:val="00886015"/>
    <w:rsid w:val="00886361"/>
    <w:rsid w:val="008902DF"/>
    <w:rsid w:val="00891592"/>
    <w:rsid w:val="00891E9E"/>
    <w:rsid w:val="00892DB5"/>
    <w:rsid w:val="008A2F68"/>
    <w:rsid w:val="008B110A"/>
    <w:rsid w:val="008B2027"/>
    <w:rsid w:val="008B4FA6"/>
    <w:rsid w:val="008B5282"/>
    <w:rsid w:val="008B67EC"/>
    <w:rsid w:val="008B7C17"/>
    <w:rsid w:val="008C06D6"/>
    <w:rsid w:val="008C1B74"/>
    <w:rsid w:val="008C2BD0"/>
    <w:rsid w:val="008C2D01"/>
    <w:rsid w:val="008C40E6"/>
    <w:rsid w:val="008C55A8"/>
    <w:rsid w:val="008D0F7A"/>
    <w:rsid w:val="008D1664"/>
    <w:rsid w:val="008D3F6F"/>
    <w:rsid w:val="008D5510"/>
    <w:rsid w:val="008D68E4"/>
    <w:rsid w:val="008E0506"/>
    <w:rsid w:val="008E0CFF"/>
    <w:rsid w:val="008E3228"/>
    <w:rsid w:val="008E4D52"/>
    <w:rsid w:val="008E5730"/>
    <w:rsid w:val="008E5D6B"/>
    <w:rsid w:val="008E76F0"/>
    <w:rsid w:val="008F15FE"/>
    <w:rsid w:val="008F1B88"/>
    <w:rsid w:val="008F2D29"/>
    <w:rsid w:val="008F4FF3"/>
    <w:rsid w:val="008F5187"/>
    <w:rsid w:val="008F60D8"/>
    <w:rsid w:val="008F6C8A"/>
    <w:rsid w:val="00901359"/>
    <w:rsid w:val="00902727"/>
    <w:rsid w:val="0090312B"/>
    <w:rsid w:val="00905048"/>
    <w:rsid w:val="009125CB"/>
    <w:rsid w:val="00912A1D"/>
    <w:rsid w:val="00915079"/>
    <w:rsid w:val="00916089"/>
    <w:rsid w:val="0091736D"/>
    <w:rsid w:val="009203AD"/>
    <w:rsid w:val="00920750"/>
    <w:rsid w:val="009242D0"/>
    <w:rsid w:val="00927AB2"/>
    <w:rsid w:val="00927CBF"/>
    <w:rsid w:val="0093037A"/>
    <w:rsid w:val="009342C1"/>
    <w:rsid w:val="0094032C"/>
    <w:rsid w:val="00941007"/>
    <w:rsid w:val="0094154D"/>
    <w:rsid w:val="00950202"/>
    <w:rsid w:val="0095155F"/>
    <w:rsid w:val="00953C1E"/>
    <w:rsid w:val="00954429"/>
    <w:rsid w:val="009563CE"/>
    <w:rsid w:val="009574E7"/>
    <w:rsid w:val="00960786"/>
    <w:rsid w:val="00963FAE"/>
    <w:rsid w:val="00965461"/>
    <w:rsid w:val="00966E93"/>
    <w:rsid w:val="00972A66"/>
    <w:rsid w:val="009752F8"/>
    <w:rsid w:val="00975DD0"/>
    <w:rsid w:val="00976328"/>
    <w:rsid w:val="0097680D"/>
    <w:rsid w:val="009800B1"/>
    <w:rsid w:val="00980311"/>
    <w:rsid w:val="00980755"/>
    <w:rsid w:val="00982438"/>
    <w:rsid w:val="00982826"/>
    <w:rsid w:val="00983783"/>
    <w:rsid w:val="0098404C"/>
    <w:rsid w:val="00985283"/>
    <w:rsid w:val="0099484D"/>
    <w:rsid w:val="00995992"/>
    <w:rsid w:val="00997538"/>
    <w:rsid w:val="009A03E5"/>
    <w:rsid w:val="009A0F3B"/>
    <w:rsid w:val="009A1BB4"/>
    <w:rsid w:val="009A2628"/>
    <w:rsid w:val="009A3200"/>
    <w:rsid w:val="009A68BB"/>
    <w:rsid w:val="009B0897"/>
    <w:rsid w:val="009B127F"/>
    <w:rsid w:val="009B3D81"/>
    <w:rsid w:val="009B720D"/>
    <w:rsid w:val="009B7BD9"/>
    <w:rsid w:val="009C2831"/>
    <w:rsid w:val="009C72CE"/>
    <w:rsid w:val="009C7DD5"/>
    <w:rsid w:val="009C7DE2"/>
    <w:rsid w:val="009D0141"/>
    <w:rsid w:val="009D4221"/>
    <w:rsid w:val="009D5C6B"/>
    <w:rsid w:val="009D5DE8"/>
    <w:rsid w:val="009E227D"/>
    <w:rsid w:val="009E5019"/>
    <w:rsid w:val="009F42D5"/>
    <w:rsid w:val="009F4A63"/>
    <w:rsid w:val="009F577D"/>
    <w:rsid w:val="009F7945"/>
    <w:rsid w:val="00A04F1B"/>
    <w:rsid w:val="00A0501B"/>
    <w:rsid w:val="00A11233"/>
    <w:rsid w:val="00A11C84"/>
    <w:rsid w:val="00A14947"/>
    <w:rsid w:val="00A17C34"/>
    <w:rsid w:val="00A17E05"/>
    <w:rsid w:val="00A24564"/>
    <w:rsid w:val="00A24FD3"/>
    <w:rsid w:val="00A27D94"/>
    <w:rsid w:val="00A308FC"/>
    <w:rsid w:val="00A32355"/>
    <w:rsid w:val="00A32A83"/>
    <w:rsid w:val="00A32C00"/>
    <w:rsid w:val="00A368DB"/>
    <w:rsid w:val="00A4099B"/>
    <w:rsid w:val="00A423AA"/>
    <w:rsid w:val="00A42D0D"/>
    <w:rsid w:val="00A4545B"/>
    <w:rsid w:val="00A470F6"/>
    <w:rsid w:val="00A50865"/>
    <w:rsid w:val="00A53EC6"/>
    <w:rsid w:val="00A55C0F"/>
    <w:rsid w:val="00A56FE1"/>
    <w:rsid w:val="00A61354"/>
    <w:rsid w:val="00A623F0"/>
    <w:rsid w:val="00A66384"/>
    <w:rsid w:val="00A7058E"/>
    <w:rsid w:val="00A73A70"/>
    <w:rsid w:val="00A802AA"/>
    <w:rsid w:val="00A82D8D"/>
    <w:rsid w:val="00A85580"/>
    <w:rsid w:val="00A86541"/>
    <w:rsid w:val="00A8713F"/>
    <w:rsid w:val="00A905DC"/>
    <w:rsid w:val="00A90BA1"/>
    <w:rsid w:val="00A945B2"/>
    <w:rsid w:val="00A95D16"/>
    <w:rsid w:val="00A97276"/>
    <w:rsid w:val="00A97692"/>
    <w:rsid w:val="00A97A9A"/>
    <w:rsid w:val="00A97E9C"/>
    <w:rsid w:val="00AA0671"/>
    <w:rsid w:val="00AA2531"/>
    <w:rsid w:val="00AA7FDA"/>
    <w:rsid w:val="00AB1A89"/>
    <w:rsid w:val="00AB1CE9"/>
    <w:rsid w:val="00AB1E09"/>
    <w:rsid w:val="00AB5330"/>
    <w:rsid w:val="00AB6E07"/>
    <w:rsid w:val="00AB7488"/>
    <w:rsid w:val="00AB7747"/>
    <w:rsid w:val="00AB7B21"/>
    <w:rsid w:val="00AC14CE"/>
    <w:rsid w:val="00AC25F5"/>
    <w:rsid w:val="00AC2A56"/>
    <w:rsid w:val="00AC73A5"/>
    <w:rsid w:val="00AD055E"/>
    <w:rsid w:val="00AD1D28"/>
    <w:rsid w:val="00AD28AD"/>
    <w:rsid w:val="00AD47A7"/>
    <w:rsid w:val="00AE24A8"/>
    <w:rsid w:val="00AE4F2D"/>
    <w:rsid w:val="00AE6277"/>
    <w:rsid w:val="00AF0CBF"/>
    <w:rsid w:val="00AF257F"/>
    <w:rsid w:val="00AF27FA"/>
    <w:rsid w:val="00AF33CF"/>
    <w:rsid w:val="00AF4ABF"/>
    <w:rsid w:val="00AF4D50"/>
    <w:rsid w:val="00AF6179"/>
    <w:rsid w:val="00B03ECE"/>
    <w:rsid w:val="00B07038"/>
    <w:rsid w:val="00B10C73"/>
    <w:rsid w:val="00B113F1"/>
    <w:rsid w:val="00B1295A"/>
    <w:rsid w:val="00B20A45"/>
    <w:rsid w:val="00B22737"/>
    <w:rsid w:val="00B22C5C"/>
    <w:rsid w:val="00B24F30"/>
    <w:rsid w:val="00B314E6"/>
    <w:rsid w:val="00B31ABF"/>
    <w:rsid w:val="00B33BE3"/>
    <w:rsid w:val="00B33C15"/>
    <w:rsid w:val="00B34F74"/>
    <w:rsid w:val="00B42156"/>
    <w:rsid w:val="00B44E79"/>
    <w:rsid w:val="00B450E4"/>
    <w:rsid w:val="00B50072"/>
    <w:rsid w:val="00B53B5D"/>
    <w:rsid w:val="00B5623E"/>
    <w:rsid w:val="00B57A1B"/>
    <w:rsid w:val="00B6055E"/>
    <w:rsid w:val="00B60C09"/>
    <w:rsid w:val="00B6161D"/>
    <w:rsid w:val="00B616FB"/>
    <w:rsid w:val="00B61C4A"/>
    <w:rsid w:val="00B6317D"/>
    <w:rsid w:val="00B64A09"/>
    <w:rsid w:val="00B65042"/>
    <w:rsid w:val="00B66934"/>
    <w:rsid w:val="00B66EDD"/>
    <w:rsid w:val="00B67DFC"/>
    <w:rsid w:val="00B70F34"/>
    <w:rsid w:val="00B71DC3"/>
    <w:rsid w:val="00B71E45"/>
    <w:rsid w:val="00B7723F"/>
    <w:rsid w:val="00B80534"/>
    <w:rsid w:val="00B83347"/>
    <w:rsid w:val="00B839AD"/>
    <w:rsid w:val="00B8433C"/>
    <w:rsid w:val="00B85801"/>
    <w:rsid w:val="00B87491"/>
    <w:rsid w:val="00B87B69"/>
    <w:rsid w:val="00B87CC3"/>
    <w:rsid w:val="00B91C2B"/>
    <w:rsid w:val="00B9596B"/>
    <w:rsid w:val="00B95FCD"/>
    <w:rsid w:val="00B96591"/>
    <w:rsid w:val="00BA017A"/>
    <w:rsid w:val="00BA29E9"/>
    <w:rsid w:val="00BA7142"/>
    <w:rsid w:val="00BA7804"/>
    <w:rsid w:val="00BB17A1"/>
    <w:rsid w:val="00BB237C"/>
    <w:rsid w:val="00BB38E7"/>
    <w:rsid w:val="00BB41A3"/>
    <w:rsid w:val="00BB6EA1"/>
    <w:rsid w:val="00BC2A23"/>
    <w:rsid w:val="00BC32DC"/>
    <w:rsid w:val="00BC35B6"/>
    <w:rsid w:val="00BD1B51"/>
    <w:rsid w:val="00BD4596"/>
    <w:rsid w:val="00BD551B"/>
    <w:rsid w:val="00BD7551"/>
    <w:rsid w:val="00BD7F9D"/>
    <w:rsid w:val="00BE0BEC"/>
    <w:rsid w:val="00BE0D71"/>
    <w:rsid w:val="00BE0E94"/>
    <w:rsid w:val="00BE1405"/>
    <w:rsid w:val="00BE312D"/>
    <w:rsid w:val="00BE41DC"/>
    <w:rsid w:val="00BE5AFA"/>
    <w:rsid w:val="00BF115B"/>
    <w:rsid w:val="00BF1C20"/>
    <w:rsid w:val="00BF516E"/>
    <w:rsid w:val="00C034D3"/>
    <w:rsid w:val="00C0501E"/>
    <w:rsid w:val="00C05C99"/>
    <w:rsid w:val="00C0739B"/>
    <w:rsid w:val="00C07A9D"/>
    <w:rsid w:val="00C10578"/>
    <w:rsid w:val="00C11562"/>
    <w:rsid w:val="00C132DA"/>
    <w:rsid w:val="00C135BC"/>
    <w:rsid w:val="00C13B78"/>
    <w:rsid w:val="00C13DC0"/>
    <w:rsid w:val="00C15C95"/>
    <w:rsid w:val="00C17081"/>
    <w:rsid w:val="00C22C98"/>
    <w:rsid w:val="00C23940"/>
    <w:rsid w:val="00C2596A"/>
    <w:rsid w:val="00C27537"/>
    <w:rsid w:val="00C328FE"/>
    <w:rsid w:val="00C333C2"/>
    <w:rsid w:val="00C33507"/>
    <w:rsid w:val="00C4409D"/>
    <w:rsid w:val="00C44E72"/>
    <w:rsid w:val="00C454E8"/>
    <w:rsid w:val="00C45A06"/>
    <w:rsid w:val="00C45F81"/>
    <w:rsid w:val="00C47899"/>
    <w:rsid w:val="00C47E5B"/>
    <w:rsid w:val="00C512D3"/>
    <w:rsid w:val="00C5192B"/>
    <w:rsid w:val="00C52364"/>
    <w:rsid w:val="00C52BC3"/>
    <w:rsid w:val="00C5426A"/>
    <w:rsid w:val="00C56191"/>
    <w:rsid w:val="00C56A10"/>
    <w:rsid w:val="00C6099E"/>
    <w:rsid w:val="00C61E4B"/>
    <w:rsid w:val="00C637C6"/>
    <w:rsid w:val="00C647CD"/>
    <w:rsid w:val="00C64BFF"/>
    <w:rsid w:val="00C65B40"/>
    <w:rsid w:val="00C704E9"/>
    <w:rsid w:val="00C736F5"/>
    <w:rsid w:val="00C73ED5"/>
    <w:rsid w:val="00C759FF"/>
    <w:rsid w:val="00C763C9"/>
    <w:rsid w:val="00C80057"/>
    <w:rsid w:val="00C82232"/>
    <w:rsid w:val="00C82913"/>
    <w:rsid w:val="00C830CB"/>
    <w:rsid w:val="00C92CF1"/>
    <w:rsid w:val="00C93E3E"/>
    <w:rsid w:val="00C94D19"/>
    <w:rsid w:val="00C95C32"/>
    <w:rsid w:val="00C972B1"/>
    <w:rsid w:val="00CA2CCE"/>
    <w:rsid w:val="00CA3406"/>
    <w:rsid w:val="00CA4222"/>
    <w:rsid w:val="00CA43FD"/>
    <w:rsid w:val="00CA6820"/>
    <w:rsid w:val="00CA7EF8"/>
    <w:rsid w:val="00CB0552"/>
    <w:rsid w:val="00CB2C62"/>
    <w:rsid w:val="00CB3C8C"/>
    <w:rsid w:val="00CB43C7"/>
    <w:rsid w:val="00CC489B"/>
    <w:rsid w:val="00CC7005"/>
    <w:rsid w:val="00CD2026"/>
    <w:rsid w:val="00CD2BCD"/>
    <w:rsid w:val="00CD3A4C"/>
    <w:rsid w:val="00CD5DEA"/>
    <w:rsid w:val="00CD5E2F"/>
    <w:rsid w:val="00CE10E9"/>
    <w:rsid w:val="00CE2910"/>
    <w:rsid w:val="00CE5393"/>
    <w:rsid w:val="00CE5BD4"/>
    <w:rsid w:val="00CE7473"/>
    <w:rsid w:val="00CF1D38"/>
    <w:rsid w:val="00CF36BE"/>
    <w:rsid w:val="00CF56BA"/>
    <w:rsid w:val="00CF6000"/>
    <w:rsid w:val="00D003F3"/>
    <w:rsid w:val="00D01438"/>
    <w:rsid w:val="00D0364F"/>
    <w:rsid w:val="00D036D0"/>
    <w:rsid w:val="00D060AE"/>
    <w:rsid w:val="00D06834"/>
    <w:rsid w:val="00D06A6B"/>
    <w:rsid w:val="00D166A0"/>
    <w:rsid w:val="00D20318"/>
    <w:rsid w:val="00D20F8E"/>
    <w:rsid w:val="00D264F6"/>
    <w:rsid w:val="00D308ED"/>
    <w:rsid w:val="00D309C4"/>
    <w:rsid w:val="00D30ACE"/>
    <w:rsid w:val="00D344B5"/>
    <w:rsid w:val="00D353D7"/>
    <w:rsid w:val="00D36D86"/>
    <w:rsid w:val="00D419A1"/>
    <w:rsid w:val="00D428AA"/>
    <w:rsid w:val="00D45E9D"/>
    <w:rsid w:val="00D472AB"/>
    <w:rsid w:val="00D47572"/>
    <w:rsid w:val="00D50A34"/>
    <w:rsid w:val="00D5109E"/>
    <w:rsid w:val="00D52B09"/>
    <w:rsid w:val="00D53EFA"/>
    <w:rsid w:val="00D6200C"/>
    <w:rsid w:val="00D62A30"/>
    <w:rsid w:val="00D62CD8"/>
    <w:rsid w:val="00D62D50"/>
    <w:rsid w:val="00D679F3"/>
    <w:rsid w:val="00D736F2"/>
    <w:rsid w:val="00D743D9"/>
    <w:rsid w:val="00D75FE2"/>
    <w:rsid w:val="00D82512"/>
    <w:rsid w:val="00D84388"/>
    <w:rsid w:val="00D85D3E"/>
    <w:rsid w:val="00D91D99"/>
    <w:rsid w:val="00D92107"/>
    <w:rsid w:val="00D94A7C"/>
    <w:rsid w:val="00D95896"/>
    <w:rsid w:val="00DA0E7C"/>
    <w:rsid w:val="00DB10BE"/>
    <w:rsid w:val="00DB2883"/>
    <w:rsid w:val="00DB2983"/>
    <w:rsid w:val="00DC06FB"/>
    <w:rsid w:val="00DC0EBA"/>
    <w:rsid w:val="00DC1257"/>
    <w:rsid w:val="00DC17BE"/>
    <w:rsid w:val="00DC1BB0"/>
    <w:rsid w:val="00DC3DC0"/>
    <w:rsid w:val="00DC4E53"/>
    <w:rsid w:val="00DC5B2B"/>
    <w:rsid w:val="00DC5E3F"/>
    <w:rsid w:val="00DD2252"/>
    <w:rsid w:val="00DD318D"/>
    <w:rsid w:val="00DD6469"/>
    <w:rsid w:val="00DF2985"/>
    <w:rsid w:val="00DF2E12"/>
    <w:rsid w:val="00DF3933"/>
    <w:rsid w:val="00DF514A"/>
    <w:rsid w:val="00DF6690"/>
    <w:rsid w:val="00DF6804"/>
    <w:rsid w:val="00DF79A7"/>
    <w:rsid w:val="00E03133"/>
    <w:rsid w:val="00E0358D"/>
    <w:rsid w:val="00E04323"/>
    <w:rsid w:val="00E070A2"/>
    <w:rsid w:val="00E0730E"/>
    <w:rsid w:val="00E07CE1"/>
    <w:rsid w:val="00E11D3C"/>
    <w:rsid w:val="00E13C09"/>
    <w:rsid w:val="00E15845"/>
    <w:rsid w:val="00E175A3"/>
    <w:rsid w:val="00E24ED4"/>
    <w:rsid w:val="00E2656A"/>
    <w:rsid w:val="00E33909"/>
    <w:rsid w:val="00E34DAF"/>
    <w:rsid w:val="00E35000"/>
    <w:rsid w:val="00E412D0"/>
    <w:rsid w:val="00E441FE"/>
    <w:rsid w:val="00E45754"/>
    <w:rsid w:val="00E50751"/>
    <w:rsid w:val="00E508B2"/>
    <w:rsid w:val="00E56322"/>
    <w:rsid w:val="00E571CA"/>
    <w:rsid w:val="00E60915"/>
    <w:rsid w:val="00E60982"/>
    <w:rsid w:val="00E62953"/>
    <w:rsid w:val="00E62C62"/>
    <w:rsid w:val="00E654C1"/>
    <w:rsid w:val="00E65D97"/>
    <w:rsid w:val="00E6682D"/>
    <w:rsid w:val="00E72A5A"/>
    <w:rsid w:val="00E73354"/>
    <w:rsid w:val="00E74787"/>
    <w:rsid w:val="00E754F0"/>
    <w:rsid w:val="00E85B13"/>
    <w:rsid w:val="00E90C8A"/>
    <w:rsid w:val="00E9242D"/>
    <w:rsid w:val="00E94B8A"/>
    <w:rsid w:val="00E94F8D"/>
    <w:rsid w:val="00EA20F9"/>
    <w:rsid w:val="00EA3A4A"/>
    <w:rsid w:val="00EB3B32"/>
    <w:rsid w:val="00EB4425"/>
    <w:rsid w:val="00EB5255"/>
    <w:rsid w:val="00EB5C47"/>
    <w:rsid w:val="00EB6AA8"/>
    <w:rsid w:val="00EB6EAD"/>
    <w:rsid w:val="00EB7017"/>
    <w:rsid w:val="00EB7FEB"/>
    <w:rsid w:val="00EC2DD8"/>
    <w:rsid w:val="00EC3F13"/>
    <w:rsid w:val="00EC4A96"/>
    <w:rsid w:val="00EC6CE0"/>
    <w:rsid w:val="00ED0423"/>
    <w:rsid w:val="00ED0639"/>
    <w:rsid w:val="00ED0E0A"/>
    <w:rsid w:val="00ED1474"/>
    <w:rsid w:val="00ED3197"/>
    <w:rsid w:val="00ED4417"/>
    <w:rsid w:val="00EE0928"/>
    <w:rsid w:val="00EE3014"/>
    <w:rsid w:val="00EE50CB"/>
    <w:rsid w:val="00EF300A"/>
    <w:rsid w:val="00EF4755"/>
    <w:rsid w:val="00EF5993"/>
    <w:rsid w:val="00EF7135"/>
    <w:rsid w:val="00EF7950"/>
    <w:rsid w:val="00F012C1"/>
    <w:rsid w:val="00F027DB"/>
    <w:rsid w:val="00F02B0C"/>
    <w:rsid w:val="00F03618"/>
    <w:rsid w:val="00F14A7A"/>
    <w:rsid w:val="00F15419"/>
    <w:rsid w:val="00F17545"/>
    <w:rsid w:val="00F2107A"/>
    <w:rsid w:val="00F21A07"/>
    <w:rsid w:val="00F22985"/>
    <w:rsid w:val="00F242AE"/>
    <w:rsid w:val="00F2696F"/>
    <w:rsid w:val="00F2792A"/>
    <w:rsid w:val="00F3383E"/>
    <w:rsid w:val="00F35350"/>
    <w:rsid w:val="00F35393"/>
    <w:rsid w:val="00F448D9"/>
    <w:rsid w:val="00F465A7"/>
    <w:rsid w:val="00F50B7C"/>
    <w:rsid w:val="00F538AE"/>
    <w:rsid w:val="00F550E6"/>
    <w:rsid w:val="00F56F57"/>
    <w:rsid w:val="00F60FA4"/>
    <w:rsid w:val="00F65C59"/>
    <w:rsid w:val="00F65DEE"/>
    <w:rsid w:val="00F673F5"/>
    <w:rsid w:val="00F74345"/>
    <w:rsid w:val="00F77FB7"/>
    <w:rsid w:val="00F80A0A"/>
    <w:rsid w:val="00F80B5A"/>
    <w:rsid w:val="00F81679"/>
    <w:rsid w:val="00F82B19"/>
    <w:rsid w:val="00F8375B"/>
    <w:rsid w:val="00F83DA2"/>
    <w:rsid w:val="00F8519B"/>
    <w:rsid w:val="00F9212D"/>
    <w:rsid w:val="00F933FB"/>
    <w:rsid w:val="00F93B9F"/>
    <w:rsid w:val="00F94C41"/>
    <w:rsid w:val="00F965DA"/>
    <w:rsid w:val="00FA1CED"/>
    <w:rsid w:val="00FA406A"/>
    <w:rsid w:val="00FB3355"/>
    <w:rsid w:val="00FB503A"/>
    <w:rsid w:val="00FB516C"/>
    <w:rsid w:val="00FB6801"/>
    <w:rsid w:val="00FC01C4"/>
    <w:rsid w:val="00FC3CED"/>
    <w:rsid w:val="00FC64C8"/>
    <w:rsid w:val="00FD0236"/>
    <w:rsid w:val="00FD18F4"/>
    <w:rsid w:val="00FD54DB"/>
    <w:rsid w:val="00FD618F"/>
    <w:rsid w:val="00FD619F"/>
    <w:rsid w:val="00FD7C89"/>
    <w:rsid w:val="00FE1397"/>
    <w:rsid w:val="00FE15A8"/>
    <w:rsid w:val="00FE1B6D"/>
    <w:rsid w:val="00FE2B9C"/>
    <w:rsid w:val="00FF6683"/>
    <w:rsid w:val="00FF760B"/>
    <w:rsid w:val="00FF78DF"/>
    <w:rsid w:val="01041C45"/>
    <w:rsid w:val="010E3F17"/>
    <w:rsid w:val="01290F7E"/>
    <w:rsid w:val="01444DD9"/>
    <w:rsid w:val="014E6232"/>
    <w:rsid w:val="015123B9"/>
    <w:rsid w:val="01561CA7"/>
    <w:rsid w:val="015D1E09"/>
    <w:rsid w:val="016539DF"/>
    <w:rsid w:val="01731F61"/>
    <w:rsid w:val="017355B1"/>
    <w:rsid w:val="01785B98"/>
    <w:rsid w:val="017D6044"/>
    <w:rsid w:val="01864341"/>
    <w:rsid w:val="019404F8"/>
    <w:rsid w:val="01D502D4"/>
    <w:rsid w:val="01E41FE8"/>
    <w:rsid w:val="01EA5B99"/>
    <w:rsid w:val="01F00E1C"/>
    <w:rsid w:val="01F1249D"/>
    <w:rsid w:val="01F6039C"/>
    <w:rsid w:val="020015FA"/>
    <w:rsid w:val="020F5831"/>
    <w:rsid w:val="022A6689"/>
    <w:rsid w:val="02397B81"/>
    <w:rsid w:val="025B4DE8"/>
    <w:rsid w:val="025E6F06"/>
    <w:rsid w:val="026278F3"/>
    <w:rsid w:val="02697903"/>
    <w:rsid w:val="027D18EE"/>
    <w:rsid w:val="029E37AD"/>
    <w:rsid w:val="02A01E33"/>
    <w:rsid w:val="02AC5A72"/>
    <w:rsid w:val="02B41291"/>
    <w:rsid w:val="02BD062D"/>
    <w:rsid w:val="02DC3F47"/>
    <w:rsid w:val="02DC5CB3"/>
    <w:rsid w:val="02DD5934"/>
    <w:rsid w:val="02E44AB8"/>
    <w:rsid w:val="02F96569"/>
    <w:rsid w:val="03280D3A"/>
    <w:rsid w:val="032A0D9E"/>
    <w:rsid w:val="032A50C3"/>
    <w:rsid w:val="0330060B"/>
    <w:rsid w:val="033E3288"/>
    <w:rsid w:val="035148F2"/>
    <w:rsid w:val="035B7B35"/>
    <w:rsid w:val="03714D17"/>
    <w:rsid w:val="038325D2"/>
    <w:rsid w:val="03B10C86"/>
    <w:rsid w:val="03B12C25"/>
    <w:rsid w:val="03BC428F"/>
    <w:rsid w:val="03DD6186"/>
    <w:rsid w:val="03E60850"/>
    <w:rsid w:val="03EA7B21"/>
    <w:rsid w:val="03F26481"/>
    <w:rsid w:val="03F960DF"/>
    <w:rsid w:val="040C7938"/>
    <w:rsid w:val="041B0C92"/>
    <w:rsid w:val="042A3990"/>
    <w:rsid w:val="042B5143"/>
    <w:rsid w:val="042D70C2"/>
    <w:rsid w:val="043D11AF"/>
    <w:rsid w:val="044132C4"/>
    <w:rsid w:val="04596C6B"/>
    <w:rsid w:val="04604C2D"/>
    <w:rsid w:val="04633ABF"/>
    <w:rsid w:val="046A2A3A"/>
    <w:rsid w:val="04787DF0"/>
    <w:rsid w:val="04932CE9"/>
    <w:rsid w:val="04B2046F"/>
    <w:rsid w:val="04B35753"/>
    <w:rsid w:val="04B861EF"/>
    <w:rsid w:val="04B949E2"/>
    <w:rsid w:val="04C2374E"/>
    <w:rsid w:val="04C4391A"/>
    <w:rsid w:val="04C72531"/>
    <w:rsid w:val="04C9130B"/>
    <w:rsid w:val="04DF17BD"/>
    <w:rsid w:val="05154F1A"/>
    <w:rsid w:val="051840C8"/>
    <w:rsid w:val="051F5316"/>
    <w:rsid w:val="054933A7"/>
    <w:rsid w:val="055B042D"/>
    <w:rsid w:val="056C5A14"/>
    <w:rsid w:val="057228FE"/>
    <w:rsid w:val="057B7A05"/>
    <w:rsid w:val="058F45E8"/>
    <w:rsid w:val="05B7430F"/>
    <w:rsid w:val="05BD4402"/>
    <w:rsid w:val="05C57A37"/>
    <w:rsid w:val="05EB060C"/>
    <w:rsid w:val="05F60DB3"/>
    <w:rsid w:val="05F83EAE"/>
    <w:rsid w:val="060364B0"/>
    <w:rsid w:val="062C51A3"/>
    <w:rsid w:val="062C5713"/>
    <w:rsid w:val="062E067F"/>
    <w:rsid w:val="063243FD"/>
    <w:rsid w:val="063E7D85"/>
    <w:rsid w:val="064A387B"/>
    <w:rsid w:val="065344DE"/>
    <w:rsid w:val="066A4EB6"/>
    <w:rsid w:val="066E09A0"/>
    <w:rsid w:val="067D3B2C"/>
    <w:rsid w:val="068621B7"/>
    <w:rsid w:val="06AB4884"/>
    <w:rsid w:val="06AD37E7"/>
    <w:rsid w:val="06E27BE5"/>
    <w:rsid w:val="06ED1530"/>
    <w:rsid w:val="06EE64D1"/>
    <w:rsid w:val="06F242BF"/>
    <w:rsid w:val="06F93891"/>
    <w:rsid w:val="070558A4"/>
    <w:rsid w:val="0709438A"/>
    <w:rsid w:val="071954EF"/>
    <w:rsid w:val="071E100A"/>
    <w:rsid w:val="07263D01"/>
    <w:rsid w:val="07293586"/>
    <w:rsid w:val="07295285"/>
    <w:rsid w:val="072B7A21"/>
    <w:rsid w:val="07481406"/>
    <w:rsid w:val="075734E4"/>
    <w:rsid w:val="07585815"/>
    <w:rsid w:val="07623581"/>
    <w:rsid w:val="07636392"/>
    <w:rsid w:val="076969E2"/>
    <w:rsid w:val="07740BAF"/>
    <w:rsid w:val="07770C56"/>
    <w:rsid w:val="07883330"/>
    <w:rsid w:val="0790137D"/>
    <w:rsid w:val="079A613C"/>
    <w:rsid w:val="07A43CDD"/>
    <w:rsid w:val="07BF0302"/>
    <w:rsid w:val="07CF0A31"/>
    <w:rsid w:val="07FA2698"/>
    <w:rsid w:val="07FB4DF1"/>
    <w:rsid w:val="0804095A"/>
    <w:rsid w:val="0809138D"/>
    <w:rsid w:val="08142204"/>
    <w:rsid w:val="08205826"/>
    <w:rsid w:val="082A5712"/>
    <w:rsid w:val="08332397"/>
    <w:rsid w:val="08420AFA"/>
    <w:rsid w:val="08437501"/>
    <w:rsid w:val="084C448E"/>
    <w:rsid w:val="08585DDB"/>
    <w:rsid w:val="086C02AC"/>
    <w:rsid w:val="08726BF4"/>
    <w:rsid w:val="087A479B"/>
    <w:rsid w:val="08830107"/>
    <w:rsid w:val="088376DE"/>
    <w:rsid w:val="08974CFD"/>
    <w:rsid w:val="08C520C3"/>
    <w:rsid w:val="08CC555E"/>
    <w:rsid w:val="08D74A5E"/>
    <w:rsid w:val="08DB0F4B"/>
    <w:rsid w:val="08F30EA2"/>
    <w:rsid w:val="09070160"/>
    <w:rsid w:val="09133043"/>
    <w:rsid w:val="09151F1E"/>
    <w:rsid w:val="092217DD"/>
    <w:rsid w:val="09311977"/>
    <w:rsid w:val="093700E7"/>
    <w:rsid w:val="093A7294"/>
    <w:rsid w:val="094C1385"/>
    <w:rsid w:val="098E6379"/>
    <w:rsid w:val="09941BAA"/>
    <w:rsid w:val="09985AD2"/>
    <w:rsid w:val="099D32E7"/>
    <w:rsid w:val="099E44EC"/>
    <w:rsid w:val="09C94AB7"/>
    <w:rsid w:val="09E71B0D"/>
    <w:rsid w:val="09F35113"/>
    <w:rsid w:val="0A0612FE"/>
    <w:rsid w:val="0A0631A5"/>
    <w:rsid w:val="0A173AB5"/>
    <w:rsid w:val="0A263993"/>
    <w:rsid w:val="0A2D3AC2"/>
    <w:rsid w:val="0A3F6C06"/>
    <w:rsid w:val="0A454A85"/>
    <w:rsid w:val="0A5F254C"/>
    <w:rsid w:val="0A613B29"/>
    <w:rsid w:val="0A9D2649"/>
    <w:rsid w:val="0AA45932"/>
    <w:rsid w:val="0AA755DF"/>
    <w:rsid w:val="0AC110ED"/>
    <w:rsid w:val="0AC725A6"/>
    <w:rsid w:val="0ACB1668"/>
    <w:rsid w:val="0ACE05D7"/>
    <w:rsid w:val="0AE278DF"/>
    <w:rsid w:val="0B0009AC"/>
    <w:rsid w:val="0B041F84"/>
    <w:rsid w:val="0B120D44"/>
    <w:rsid w:val="0B141573"/>
    <w:rsid w:val="0B154B72"/>
    <w:rsid w:val="0B1B0034"/>
    <w:rsid w:val="0B281528"/>
    <w:rsid w:val="0B2D6259"/>
    <w:rsid w:val="0B3B49A5"/>
    <w:rsid w:val="0B3C7617"/>
    <w:rsid w:val="0B494101"/>
    <w:rsid w:val="0B782DF5"/>
    <w:rsid w:val="0B8E0331"/>
    <w:rsid w:val="0B9026B1"/>
    <w:rsid w:val="0BA77B58"/>
    <w:rsid w:val="0BB6273C"/>
    <w:rsid w:val="0BBD7CB7"/>
    <w:rsid w:val="0BC72610"/>
    <w:rsid w:val="0BD27BF6"/>
    <w:rsid w:val="0BDA244A"/>
    <w:rsid w:val="0BEE61A3"/>
    <w:rsid w:val="0C3B3C7D"/>
    <w:rsid w:val="0C5A4558"/>
    <w:rsid w:val="0C767B4A"/>
    <w:rsid w:val="0C837F4B"/>
    <w:rsid w:val="0C9B1B99"/>
    <w:rsid w:val="0CA52179"/>
    <w:rsid w:val="0CA57A5D"/>
    <w:rsid w:val="0CAB2EAE"/>
    <w:rsid w:val="0CC51DEA"/>
    <w:rsid w:val="0CCA0F1D"/>
    <w:rsid w:val="0CDE0823"/>
    <w:rsid w:val="0CF16457"/>
    <w:rsid w:val="0CFA1709"/>
    <w:rsid w:val="0D017FD4"/>
    <w:rsid w:val="0D0504FC"/>
    <w:rsid w:val="0D417190"/>
    <w:rsid w:val="0D4E0668"/>
    <w:rsid w:val="0D584ACF"/>
    <w:rsid w:val="0D5D6093"/>
    <w:rsid w:val="0D621C7D"/>
    <w:rsid w:val="0D6D59C4"/>
    <w:rsid w:val="0D755681"/>
    <w:rsid w:val="0D91712E"/>
    <w:rsid w:val="0D946F68"/>
    <w:rsid w:val="0DA43871"/>
    <w:rsid w:val="0DA50DBC"/>
    <w:rsid w:val="0DA51790"/>
    <w:rsid w:val="0DB24763"/>
    <w:rsid w:val="0DDA64A7"/>
    <w:rsid w:val="0E0B08DE"/>
    <w:rsid w:val="0E1053AA"/>
    <w:rsid w:val="0E166FCE"/>
    <w:rsid w:val="0E2A413A"/>
    <w:rsid w:val="0E2B6122"/>
    <w:rsid w:val="0E5005EE"/>
    <w:rsid w:val="0E5C414B"/>
    <w:rsid w:val="0E645822"/>
    <w:rsid w:val="0E73034D"/>
    <w:rsid w:val="0E746765"/>
    <w:rsid w:val="0E8F231E"/>
    <w:rsid w:val="0E9B4519"/>
    <w:rsid w:val="0E9E2C56"/>
    <w:rsid w:val="0EB432B5"/>
    <w:rsid w:val="0ECA3353"/>
    <w:rsid w:val="0EE9189A"/>
    <w:rsid w:val="0EEB5B28"/>
    <w:rsid w:val="0F13775A"/>
    <w:rsid w:val="0F16254C"/>
    <w:rsid w:val="0F1B54BA"/>
    <w:rsid w:val="0F1C2D99"/>
    <w:rsid w:val="0F37442A"/>
    <w:rsid w:val="0F40038E"/>
    <w:rsid w:val="0F4130DD"/>
    <w:rsid w:val="0F476BA1"/>
    <w:rsid w:val="0F5C01ED"/>
    <w:rsid w:val="0F5F45FE"/>
    <w:rsid w:val="0F7D6A6F"/>
    <w:rsid w:val="0F86704A"/>
    <w:rsid w:val="0F8C6395"/>
    <w:rsid w:val="0F937B15"/>
    <w:rsid w:val="0F9A112B"/>
    <w:rsid w:val="0F9B04D3"/>
    <w:rsid w:val="0FA45DAA"/>
    <w:rsid w:val="0FA7214B"/>
    <w:rsid w:val="0FB92A32"/>
    <w:rsid w:val="0FC0592A"/>
    <w:rsid w:val="0FCC3B26"/>
    <w:rsid w:val="0FCE55C8"/>
    <w:rsid w:val="0FE01ABB"/>
    <w:rsid w:val="0FE34B24"/>
    <w:rsid w:val="0FFF75E7"/>
    <w:rsid w:val="10086339"/>
    <w:rsid w:val="100D14FF"/>
    <w:rsid w:val="10115F6A"/>
    <w:rsid w:val="103D01E7"/>
    <w:rsid w:val="10404074"/>
    <w:rsid w:val="10543875"/>
    <w:rsid w:val="105C6685"/>
    <w:rsid w:val="10685FE1"/>
    <w:rsid w:val="106D2F64"/>
    <w:rsid w:val="10860011"/>
    <w:rsid w:val="10A75704"/>
    <w:rsid w:val="10B63710"/>
    <w:rsid w:val="10F10820"/>
    <w:rsid w:val="10FE598E"/>
    <w:rsid w:val="1113590B"/>
    <w:rsid w:val="111C2F7A"/>
    <w:rsid w:val="111D3473"/>
    <w:rsid w:val="1122319F"/>
    <w:rsid w:val="11427949"/>
    <w:rsid w:val="11447B82"/>
    <w:rsid w:val="114578A0"/>
    <w:rsid w:val="11503141"/>
    <w:rsid w:val="11665CA1"/>
    <w:rsid w:val="11716057"/>
    <w:rsid w:val="11743CDE"/>
    <w:rsid w:val="11803EC2"/>
    <w:rsid w:val="11874169"/>
    <w:rsid w:val="11884760"/>
    <w:rsid w:val="118F66DA"/>
    <w:rsid w:val="11AA73EC"/>
    <w:rsid w:val="11E323CE"/>
    <w:rsid w:val="11EF15CF"/>
    <w:rsid w:val="11EF16CB"/>
    <w:rsid w:val="11F9133B"/>
    <w:rsid w:val="11FE1F02"/>
    <w:rsid w:val="120E7433"/>
    <w:rsid w:val="12207900"/>
    <w:rsid w:val="122E6612"/>
    <w:rsid w:val="12341AD6"/>
    <w:rsid w:val="12474BD6"/>
    <w:rsid w:val="12475D67"/>
    <w:rsid w:val="124F5FD2"/>
    <w:rsid w:val="124F6188"/>
    <w:rsid w:val="126314FB"/>
    <w:rsid w:val="12672A85"/>
    <w:rsid w:val="127B69B1"/>
    <w:rsid w:val="127D1728"/>
    <w:rsid w:val="12850FAA"/>
    <w:rsid w:val="12B47E12"/>
    <w:rsid w:val="12BC7E07"/>
    <w:rsid w:val="12CC5D44"/>
    <w:rsid w:val="12D80DAC"/>
    <w:rsid w:val="12F20102"/>
    <w:rsid w:val="130C21B1"/>
    <w:rsid w:val="130C6140"/>
    <w:rsid w:val="130F6015"/>
    <w:rsid w:val="131D659F"/>
    <w:rsid w:val="13201BEB"/>
    <w:rsid w:val="13242AE7"/>
    <w:rsid w:val="13273CE5"/>
    <w:rsid w:val="1329079F"/>
    <w:rsid w:val="133E642D"/>
    <w:rsid w:val="133F3180"/>
    <w:rsid w:val="13493373"/>
    <w:rsid w:val="1353104E"/>
    <w:rsid w:val="13547F36"/>
    <w:rsid w:val="136648C3"/>
    <w:rsid w:val="137311EF"/>
    <w:rsid w:val="13951726"/>
    <w:rsid w:val="139A0200"/>
    <w:rsid w:val="13A84105"/>
    <w:rsid w:val="13AE5AE8"/>
    <w:rsid w:val="13BE2E7B"/>
    <w:rsid w:val="13EC5F71"/>
    <w:rsid w:val="13F55F77"/>
    <w:rsid w:val="13FD1BFC"/>
    <w:rsid w:val="14207245"/>
    <w:rsid w:val="14293580"/>
    <w:rsid w:val="14396509"/>
    <w:rsid w:val="14447B5C"/>
    <w:rsid w:val="14596EFD"/>
    <w:rsid w:val="14741E1D"/>
    <w:rsid w:val="147E1EE7"/>
    <w:rsid w:val="147F6DE6"/>
    <w:rsid w:val="1482543E"/>
    <w:rsid w:val="149A51C6"/>
    <w:rsid w:val="14A06D16"/>
    <w:rsid w:val="14B21161"/>
    <w:rsid w:val="14C82D0B"/>
    <w:rsid w:val="14CD2480"/>
    <w:rsid w:val="14CF262A"/>
    <w:rsid w:val="14D24335"/>
    <w:rsid w:val="14D967C0"/>
    <w:rsid w:val="14DA2528"/>
    <w:rsid w:val="14DD2C3C"/>
    <w:rsid w:val="14ED60F9"/>
    <w:rsid w:val="14EE1DF1"/>
    <w:rsid w:val="14F3208E"/>
    <w:rsid w:val="14F679F9"/>
    <w:rsid w:val="151876AE"/>
    <w:rsid w:val="151E03AD"/>
    <w:rsid w:val="15237216"/>
    <w:rsid w:val="152B041F"/>
    <w:rsid w:val="152B7CBB"/>
    <w:rsid w:val="153C5E15"/>
    <w:rsid w:val="153D68B5"/>
    <w:rsid w:val="15442DA1"/>
    <w:rsid w:val="154A11A2"/>
    <w:rsid w:val="154C4ED3"/>
    <w:rsid w:val="155A139E"/>
    <w:rsid w:val="156916C8"/>
    <w:rsid w:val="15735F27"/>
    <w:rsid w:val="157D0874"/>
    <w:rsid w:val="15910312"/>
    <w:rsid w:val="15AF04A2"/>
    <w:rsid w:val="15B90F35"/>
    <w:rsid w:val="15BB487B"/>
    <w:rsid w:val="15FF517B"/>
    <w:rsid w:val="160077F4"/>
    <w:rsid w:val="16087E1D"/>
    <w:rsid w:val="160D0296"/>
    <w:rsid w:val="160F6FEB"/>
    <w:rsid w:val="16222D7A"/>
    <w:rsid w:val="16230AB3"/>
    <w:rsid w:val="162A4334"/>
    <w:rsid w:val="16423B5F"/>
    <w:rsid w:val="16455A25"/>
    <w:rsid w:val="164E7962"/>
    <w:rsid w:val="16585293"/>
    <w:rsid w:val="165E5307"/>
    <w:rsid w:val="165F79DB"/>
    <w:rsid w:val="167664C6"/>
    <w:rsid w:val="16B36D4D"/>
    <w:rsid w:val="16CB5C81"/>
    <w:rsid w:val="16D50A79"/>
    <w:rsid w:val="16DF3B6C"/>
    <w:rsid w:val="16EA49EA"/>
    <w:rsid w:val="16EF2001"/>
    <w:rsid w:val="16F92A9C"/>
    <w:rsid w:val="170830C2"/>
    <w:rsid w:val="171B2DF6"/>
    <w:rsid w:val="17334211"/>
    <w:rsid w:val="173D57C7"/>
    <w:rsid w:val="173D634B"/>
    <w:rsid w:val="1740089C"/>
    <w:rsid w:val="174824D9"/>
    <w:rsid w:val="1753204B"/>
    <w:rsid w:val="176E5617"/>
    <w:rsid w:val="17701D14"/>
    <w:rsid w:val="17735226"/>
    <w:rsid w:val="1798450B"/>
    <w:rsid w:val="17A82F6A"/>
    <w:rsid w:val="17AA2D89"/>
    <w:rsid w:val="17DA1249"/>
    <w:rsid w:val="17E4768B"/>
    <w:rsid w:val="17E72243"/>
    <w:rsid w:val="17EF431F"/>
    <w:rsid w:val="18027B12"/>
    <w:rsid w:val="1833766A"/>
    <w:rsid w:val="18921AEE"/>
    <w:rsid w:val="189F624C"/>
    <w:rsid w:val="18C42984"/>
    <w:rsid w:val="18C532AF"/>
    <w:rsid w:val="18C77F9F"/>
    <w:rsid w:val="191F2836"/>
    <w:rsid w:val="192341E3"/>
    <w:rsid w:val="192E75F5"/>
    <w:rsid w:val="193E39F0"/>
    <w:rsid w:val="19453427"/>
    <w:rsid w:val="1951144D"/>
    <w:rsid w:val="195B5233"/>
    <w:rsid w:val="19800D8F"/>
    <w:rsid w:val="19814195"/>
    <w:rsid w:val="198E2E15"/>
    <w:rsid w:val="199F3EA6"/>
    <w:rsid w:val="19A52E4A"/>
    <w:rsid w:val="19A76BC3"/>
    <w:rsid w:val="19B37A53"/>
    <w:rsid w:val="19BE0C36"/>
    <w:rsid w:val="19C01025"/>
    <w:rsid w:val="19E020D4"/>
    <w:rsid w:val="19E06CAA"/>
    <w:rsid w:val="1A0A53A3"/>
    <w:rsid w:val="1A1C66C0"/>
    <w:rsid w:val="1A200723"/>
    <w:rsid w:val="1A25729D"/>
    <w:rsid w:val="1A2975D8"/>
    <w:rsid w:val="1A3C6A6A"/>
    <w:rsid w:val="1A42393B"/>
    <w:rsid w:val="1A584361"/>
    <w:rsid w:val="1A6F636F"/>
    <w:rsid w:val="1A751B4A"/>
    <w:rsid w:val="1A7744DC"/>
    <w:rsid w:val="1A8A4238"/>
    <w:rsid w:val="1A94724F"/>
    <w:rsid w:val="1AA255DC"/>
    <w:rsid w:val="1AAD45DE"/>
    <w:rsid w:val="1AB1724B"/>
    <w:rsid w:val="1ACE0EC2"/>
    <w:rsid w:val="1AE300CE"/>
    <w:rsid w:val="1AE62804"/>
    <w:rsid w:val="1AF16C4B"/>
    <w:rsid w:val="1B046F80"/>
    <w:rsid w:val="1B105834"/>
    <w:rsid w:val="1B1E1106"/>
    <w:rsid w:val="1B3267B5"/>
    <w:rsid w:val="1B3538EA"/>
    <w:rsid w:val="1B356A42"/>
    <w:rsid w:val="1B387BCB"/>
    <w:rsid w:val="1B40161D"/>
    <w:rsid w:val="1B441859"/>
    <w:rsid w:val="1B4C1F03"/>
    <w:rsid w:val="1B610FF3"/>
    <w:rsid w:val="1B6606B1"/>
    <w:rsid w:val="1B7457C9"/>
    <w:rsid w:val="1B753723"/>
    <w:rsid w:val="1B7C54CC"/>
    <w:rsid w:val="1B884FBD"/>
    <w:rsid w:val="1B8B16C6"/>
    <w:rsid w:val="1B9C0FD3"/>
    <w:rsid w:val="1BA45328"/>
    <w:rsid w:val="1BAC0703"/>
    <w:rsid w:val="1BB32EA2"/>
    <w:rsid w:val="1BC21057"/>
    <w:rsid w:val="1BC27A37"/>
    <w:rsid w:val="1BD94DAD"/>
    <w:rsid w:val="1BE139ED"/>
    <w:rsid w:val="1C077DEC"/>
    <w:rsid w:val="1C092910"/>
    <w:rsid w:val="1C093B64"/>
    <w:rsid w:val="1C381D54"/>
    <w:rsid w:val="1C4A1A87"/>
    <w:rsid w:val="1C507300"/>
    <w:rsid w:val="1C5E7925"/>
    <w:rsid w:val="1C853FAC"/>
    <w:rsid w:val="1C875125"/>
    <w:rsid w:val="1C8C4C46"/>
    <w:rsid w:val="1C8E3954"/>
    <w:rsid w:val="1CA64E1F"/>
    <w:rsid w:val="1CB3762C"/>
    <w:rsid w:val="1CB8386C"/>
    <w:rsid w:val="1CC71F7C"/>
    <w:rsid w:val="1CD423AD"/>
    <w:rsid w:val="1CD44C7E"/>
    <w:rsid w:val="1CE0012A"/>
    <w:rsid w:val="1CED1570"/>
    <w:rsid w:val="1CF01884"/>
    <w:rsid w:val="1CFD070F"/>
    <w:rsid w:val="1D074ADE"/>
    <w:rsid w:val="1D230C56"/>
    <w:rsid w:val="1D2B3667"/>
    <w:rsid w:val="1D501652"/>
    <w:rsid w:val="1D535AA1"/>
    <w:rsid w:val="1D575D6A"/>
    <w:rsid w:val="1D5F6196"/>
    <w:rsid w:val="1D6132A5"/>
    <w:rsid w:val="1D632EBE"/>
    <w:rsid w:val="1D662515"/>
    <w:rsid w:val="1D6E4797"/>
    <w:rsid w:val="1D6E79F7"/>
    <w:rsid w:val="1D795B0A"/>
    <w:rsid w:val="1D852295"/>
    <w:rsid w:val="1D8E56D5"/>
    <w:rsid w:val="1D9360D9"/>
    <w:rsid w:val="1DAC357D"/>
    <w:rsid w:val="1DAC6C9D"/>
    <w:rsid w:val="1DD8064D"/>
    <w:rsid w:val="1DDC3FB1"/>
    <w:rsid w:val="1DE83C3F"/>
    <w:rsid w:val="1DEA1774"/>
    <w:rsid w:val="1E087E4C"/>
    <w:rsid w:val="1E197A45"/>
    <w:rsid w:val="1E432C32"/>
    <w:rsid w:val="1E497F54"/>
    <w:rsid w:val="1E4F496B"/>
    <w:rsid w:val="1E593913"/>
    <w:rsid w:val="1E5A11E8"/>
    <w:rsid w:val="1E7726E6"/>
    <w:rsid w:val="1E7847F7"/>
    <w:rsid w:val="1E7A43DA"/>
    <w:rsid w:val="1E860E7A"/>
    <w:rsid w:val="1E904BC7"/>
    <w:rsid w:val="1EAC7289"/>
    <w:rsid w:val="1EAF0A4E"/>
    <w:rsid w:val="1EBC25FB"/>
    <w:rsid w:val="1EBE3396"/>
    <w:rsid w:val="1EC90A11"/>
    <w:rsid w:val="1EF36B7B"/>
    <w:rsid w:val="1F220A99"/>
    <w:rsid w:val="1F271BF4"/>
    <w:rsid w:val="1F3C055E"/>
    <w:rsid w:val="1F425E6E"/>
    <w:rsid w:val="1F484C72"/>
    <w:rsid w:val="1F68119F"/>
    <w:rsid w:val="1F6A717A"/>
    <w:rsid w:val="1F706B55"/>
    <w:rsid w:val="1F8B240F"/>
    <w:rsid w:val="1F996A3F"/>
    <w:rsid w:val="1FBB4BD6"/>
    <w:rsid w:val="1FC21ED8"/>
    <w:rsid w:val="1FC24257"/>
    <w:rsid w:val="1FD9525B"/>
    <w:rsid w:val="1FE7539E"/>
    <w:rsid w:val="1FF82AEF"/>
    <w:rsid w:val="20077566"/>
    <w:rsid w:val="20100A74"/>
    <w:rsid w:val="202972A7"/>
    <w:rsid w:val="20356030"/>
    <w:rsid w:val="203A77B8"/>
    <w:rsid w:val="203B62B7"/>
    <w:rsid w:val="20415211"/>
    <w:rsid w:val="204A474C"/>
    <w:rsid w:val="205A0A50"/>
    <w:rsid w:val="20671BE0"/>
    <w:rsid w:val="20687CE3"/>
    <w:rsid w:val="209634ED"/>
    <w:rsid w:val="20963CB8"/>
    <w:rsid w:val="20A16252"/>
    <w:rsid w:val="20A81A1B"/>
    <w:rsid w:val="20B07FB6"/>
    <w:rsid w:val="20B646FB"/>
    <w:rsid w:val="20E54030"/>
    <w:rsid w:val="20E701EC"/>
    <w:rsid w:val="20FB72B3"/>
    <w:rsid w:val="20FE516C"/>
    <w:rsid w:val="21085534"/>
    <w:rsid w:val="21085D55"/>
    <w:rsid w:val="21113D1E"/>
    <w:rsid w:val="21191C6E"/>
    <w:rsid w:val="21263A30"/>
    <w:rsid w:val="212A5A00"/>
    <w:rsid w:val="213B74B1"/>
    <w:rsid w:val="213E71D9"/>
    <w:rsid w:val="215238B8"/>
    <w:rsid w:val="215A2310"/>
    <w:rsid w:val="216A4989"/>
    <w:rsid w:val="2180399D"/>
    <w:rsid w:val="21946E16"/>
    <w:rsid w:val="21B110D4"/>
    <w:rsid w:val="21C46094"/>
    <w:rsid w:val="21CF7F44"/>
    <w:rsid w:val="21D32722"/>
    <w:rsid w:val="21DE318A"/>
    <w:rsid w:val="21EF5B80"/>
    <w:rsid w:val="21F2233C"/>
    <w:rsid w:val="223340FF"/>
    <w:rsid w:val="22350264"/>
    <w:rsid w:val="223F767A"/>
    <w:rsid w:val="224631C9"/>
    <w:rsid w:val="224C6605"/>
    <w:rsid w:val="22576990"/>
    <w:rsid w:val="22645FCD"/>
    <w:rsid w:val="22AA2061"/>
    <w:rsid w:val="22AC2D37"/>
    <w:rsid w:val="22BD2FB3"/>
    <w:rsid w:val="22D078AB"/>
    <w:rsid w:val="22D2603F"/>
    <w:rsid w:val="22E348ED"/>
    <w:rsid w:val="22F47480"/>
    <w:rsid w:val="23175854"/>
    <w:rsid w:val="23236FF7"/>
    <w:rsid w:val="232D106D"/>
    <w:rsid w:val="23547847"/>
    <w:rsid w:val="23547B16"/>
    <w:rsid w:val="2355143D"/>
    <w:rsid w:val="23686FDA"/>
    <w:rsid w:val="237E25F1"/>
    <w:rsid w:val="2396119C"/>
    <w:rsid w:val="23B15503"/>
    <w:rsid w:val="23B4085A"/>
    <w:rsid w:val="23B5012E"/>
    <w:rsid w:val="23BA637E"/>
    <w:rsid w:val="23C33602"/>
    <w:rsid w:val="23C445EF"/>
    <w:rsid w:val="23CE13A5"/>
    <w:rsid w:val="23CE6592"/>
    <w:rsid w:val="23DE1C48"/>
    <w:rsid w:val="23F175A5"/>
    <w:rsid w:val="23FE7D27"/>
    <w:rsid w:val="240210CD"/>
    <w:rsid w:val="2403321B"/>
    <w:rsid w:val="241536AB"/>
    <w:rsid w:val="242022A8"/>
    <w:rsid w:val="24374FE7"/>
    <w:rsid w:val="245108AC"/>
    <w:rsid w:val="24557BC6"/>
    <w:rsid w:val="24704055"/>
    <w:rsid w:val="2487585F"/>
    <w:rsid w:val="24887179"/>
    <w:rsid w:val="249E3C10"/>
    <w:rsid w:val="24BF09F7"/>
    <w:rsid w:val="24CA6859"/>
    <w:rsid w:val="24CF72B1"/>
    <w:rsid w:val="24D44CDA"/>
    <w:rsid w:val="2500285A"/>
    <w:rsid w:val="250C300C"/>
    <w:rsid w:val="251C76EF"/>
    <w:rsid w:val="25280AD5"/>
    <w:rsid w:val="252D53FE"/>
    <w:rsid w:val="254461F5"/>
    <w:rsid w:val="25461985"/>
    <w:rsid w:val="255548C6"/>
    <w:rsid w:val="2581278B"/>
    <w:rsid w:val="25B371A7"/>
    <w:rsid w:val="25BE7507"/>
    <w:rsid w:val="25C70A15"/>
    <w:rsid w:val="25C97EC1"/>
    <w:rsid w:val="25CC7C2C"/>
    <w:rsid w:val="25E25090"/>
    <w:rsid w:val="25EC2D81"/>
    <w:rsid w:val="26211AAB"/>
    <w:rsid w:val="26333491"/>
    <w:rsid w:val="264A2583"/>
    <w:rsid w:val="26876DC7"/>
    <w:rsid w:val="268D42D9"/>
    <w:rsid w:val="268E155A"/>
    <w:rsid w:val="26924756"/>
    <w:rsid w:val="26972FA1"/>
    <w:rsid w:val="269A09F7"/>
    <w:rsid w:val="26AC6C6E"/>
    <w:rsid w:val="26B30EBE"/>
    <w:rsid w:val="26D57B6E"/>
    <w:rsid w:val="26F40645"/>
    <w:rsid w:val="26F446F1"/>
    <w:rsid w:val="2701366F"/>
    <w:rsid w:val="27174C5C"/>
    <w:rsid w:val="272456FC"/>
    <w:rsid w:val="275C7C1C"/>
    <w:rsid w:val="27660032"/>
    <w:rsid w:val="276C1B3A"/>
    <w:rsid w:val="277057A2"/>
    <w:rsid w:val="278A6623"/>
    <w:rsid w:val="27977369"/>
    <w:rsid w:val="279C7E23"/>
    <w:rsid w:val="27ED3703"/>
    <w:rsid w:val="27F84668"/>
    <w:rsid w:val="2813470D"/>
    <w:rsid w:val="28365A7B"/>
    <w:rsid w:val="284C045D"/>
    <w:rsid w:val="2857116E"/>
    <w:rsid w:val="28682A42"/>
    <w:rsid w:val="286C7249"/>
    <w:rsid w:val="287913FB"/>
    <w:rsid w:val="287C746C"/>
    <w:rsid w:val="28943FB7"/>
    <w:rsid w:val="289A2879"/>
    <w:rsid w:val="289E2986"/>
    <w:rsid w:val="28A278AC"/>
    <w:rsid w:val="28B0223E"/>
    <w:rsid w:val="28B766F6"/>
    <w:rsid w:val="28C35CCE"/>
    <w:rsid w:val="28D472A8"/>
    <w:rsid w:val="28D9208C"/>
    <w:rsid w:val="28DC0553"/>
    <w:rsid w:val="28E8740D"/>
    <w:rsid w:val="29140FED"/>
    <w:rsid w:val="29206EB8"/>
    <w:rsid w:val="293E2974"/>
    <w:rsid w:val="294361DC"/>
    <w:rsid w:val="294B616C"/>
    <w:rsid w:val="29595666"/>
    <w:rsid w:val="295D729E"/>
    <w:rsid w:val="295F6FD6"/>
    <w:rsid w:val="29684A53"/>
    <w:rsid w:val="296D07FE"/>
    <w:rsid w:val="297023C7"/>
    <w:rsid w:val="2980775C"/>
    <w:rsid w:val="29874881"/>
    <w:rsid w:val="299916CC"/>
    <w:rsid w:val="29A7676B"/>
    <w:rsid w:val="29C71CAA"/>
    <w:rsid w:val="29D0437F"/>
    <w:rsid w:val="29D84AA8"/>
    <w:rsid w:val="29DA269C"/>
    <w:rsid w:val="29DD027C"/>
    <w:rsid w:val="29E325E0"/>
    <w:rsid w:val="2A1D11A2"/>
    <w:rsid w:val="2A2B6099"/>
    <w:rsid w:val="2A31661E"/>
    <w:rsid w:val="2A3B7000"/>
    <w:rsid w:val="2A452503"/>
    <w:rsid w:val="2A473181"/>
    <w:rsid w:val="2A4A56FF"/>
    <w:rsid w:val="2A590AAB"/>
    <w:rsid w:val="2A6018A4"/>
    <w:rsid w:val="2A6245D6"/>
    <w:rsid w:val="2A66593A"/>
    <w:rsid w:val="2A695F39"/>
    <w:rsid w:val="2A7D0899"/>
    <w:rsid w:val="2A812E0F"/>
    <w:rsid w:val="2A84005F"/>
    <w:rsid w:val="2A883E4B"/>
    <w:rsid w:val="2AA33A14"/>
    <w:rsid w:val="2AFB5A2D"/>
    <w:rsid w:val="2B146C5A"/>
    <w:rsid w:val="2B1D43BA"/>
    <w:rsid w:val="2B234D57"/>
    <w:rsid w:val="2B243D25"/>
    <w:rsid w:val="2B250371"/>
    <w:rsid w:val="2B325EFB"/>
    <w:rsid w:val="2B4D2282"/>
    <w:rsid w:val="2B6C4A15"/>
    <w:rsid w:val="2B7B492A"/>
    <w:rsid w:val="2B852ADC"/>
    <w:rsid w:val="2B8B1777"/>
    <w:rsid w:val="2B980D20"/>
    <w:rsid w:val="2BA37853"/>
    <w:rsid w:val="2BA769AB"/>
    <w:rsid w:val="2BA936A8"/>
    <w:rsid w:val="2BAA2CF4"/>
    <w:rsid w:val="2BB807BB"/>
    <w:rsid w:val="2BD01E07"/>
    <w:rsid w:val="2BDF3F0E"/>
    <w:rsid w:val="2BEA293F"/>
    <w:rsid w:val="2BEF354D"/>
    <w:rsid w:val="2C033482"/>
    <w:rsid w:val="2C26606D"/>
    <w:rsid w:val="2C315A5A"/>
    <w:rsid w:val="2C33465C"/>
    <w:rsid w:val="2C357FEA"/>
    <w:rsid w:val="2C3C05B6"/>
    <w:rsid w:val="2C4722D2"/>
    <w:rsid w:val="2C4B1C25"/>
    <w:rsid w:val="2C5D5373"/>
    <w:rsid w:val="2C637E83"/>
    <w:rsid w:val="2C706D6C"/>
    <w:rsid w:val="2C9C1FAD"/>
    <w:rsid w:val="2CB1704A"/>
    <w:rsid w:val="2CB90C8F"/>
    <w:rsid w:val="2CBF1202"/>
    <w:rsid w:val="2CC670B4"/>
    <w:rsid w:val="2CE453B8"/>
    <w:rsid w:val="2CF00FC2"/>
    <w:rsid w:val="2CF47537"/>
    <w:rsid w:val="2D010ED5"/>
    <w:rsid w:val="2D10478C"/>
    <w:rsid w:val="2D206127"/>
    <w:rsid w:val="2D244B6B"/>
    <w:rsid w:val="2D263637"/>
    <w:rsid w:val="2D3214BF"/>
    <w:rsid w:val="2D4471BB"/>
    <w:rsid w:val="2D481418"/>
    <w:rsid w:val="2D4B5504"/>
    <w:rsid w:val="2D4C5580"/>
    <w:rsid w:val="2D4C682C"/>
    <w:rsid w:val="2D5E57DF"/>
    <w:rsid w:val="2D682673"/>
    <w:rsid w:val="2D7A1490"/>
    <w:rsid w:val="2D7E73C7"/>
    <w:rsid w:val="2D8176C8"/>
    <w:rsid w:val="2D893826"/>
    <w:rsid w:val="2D9826EF"/>
    <w:rsid w:val="2D9E56F5"/>
    <w:rsid w:val="2D9F0850"/>
    <w:rsid w:val="2DAA682A"/>
    <w:rsid w:val="2E0761F5"/>
    <w:rsid w:val="2E0859A8"/>
    <w:rsid w:val="2E16616E"/>
    <w:rsid w:val="2E1B0118"/>
    <w:rsid w:val="2E2A145C"/>
    <w:rsid w:val="2E3D3B3A"/>
    <w:rsid w:val="2E415B63"/>
    <w:rsid w:val="2E4B242D"/>
    <w:rsid w:val="2E4C6C4A"/>
    <w:rsid w:val="2E5060F0"/>
    <w:rsid w:val="2E5E060A"/>
    <w:rsid w:val="2E607436"/>
    <w:rsid w:val="2E667F96"/>
    <w:rsid w:val="2E7D5E52"/>
    <w:rsid w:val="2E8226AB"/>
    <w:rsid w:val="2E9C2616"/>
    <w:rsid w:val="2EAB6E67"/>
    <w:rsid w:val="2EB76AF9"/>
    <w:rsid w:val="2EC4588E"/>
    <w:rsid w:val="2EC8340B"/>
    <w:rsid w:val="2ECB5C90"/>
    <w:rsid w:val="2ED33B5E"/>
    <w:rsid w:val="2ED74AF1"/>
    <w:rsid w:val="2EDC0415"/>
    <w:rsid w:val="2F0B0FAD"/>
    <w:rsid w:val="2F1031FD"/>
    <w:rsid w:val="2F1E64F6"/>
    <w:rsid w:val="2F285937"/>
    <w:rsid w:val="2F2B74F6"/>
    <w:rsid w:val="2F4C49DD"/>
    <w:rsid w:val="2F511D30"/>
    <w:rsid w:val="2F580146"/>
    <w:rsid w:val="2F5F5A27"/>
    <w:rsid w:val="2FA555EB"/>
    <w:rsid w:val="2FBC41EF"/>
    <w:rsid w:val="2FBE78D3"/>
    <w:rsid w:val="2FC83004"/>
    <w:rsid w:val="2FC836D0"/>
    <w:rsid w:val="2FCF060B"/>
    <w:rsid w:val="2FD065E6"/>
    <w:rsid w:val="2FD96870"/>
    <w:rsid w:val="2FE441D7"/>
    <w:rsid w:val="2FEB7E18"/>
    <w:rsid w:val="2FFD425A"/>
    <w:rsid w:val="30087270"/>
    <w:rsid w:val="300A2965"/>
    <w:rsid w:val="3011493E"/>
    <w:rsid w:val="301B1BC1"/>
    <w:rsid w:val="301B5F5D"/>
    <w:rsid w:val="301E1F69"/>
    <w:rsid w:val="30216F4F"/>
    <w:rsid w:val="302535DF"/>
    <w:rsid w:val="302B1020"/>
    <w:rsid w:val="303625F7"/>
    <w:rsid w:val="303C73AF"/>
    <w:rsid w:val="30441D58"/>
    <w:rsid w:val="304A64B0"/>
    <w:rsid w:val="304B496C"/>
    <w:rsid w:val="30580BC9"/>
    <w:rsid w:val="306E74AE"/>
    <w:rsid w:val="30726EC2"/>
    <w:rsid w:val="30817D16"/>
    <w:rsid w:val="30965AF3"/>
    <w:rsid w:val="30A734F4"/>
    <w:rsid w:val="30B72950"/>
    <w:rsid w:val="30C1295E"/>
    <w:rsid w:val="30DF16B6"/>
    <w:rsid w:val="30E403AF"/>
    <w:rsid w:val="30EA10B6"/>
    <w:rsid w:val="30F830E5"/>
    <w:rsid w:val="30FF7ED0"/>
    <w:rsid w:val="31096990"/>
    <w:rsid w:val="310B6887"/>
    <w:rsid w:val="31155B76"/>
    <w:rsid w:val="311D51E8"/>
    <w:rsid w:val="311E2ED7"/>
    <w:rsid w:val="312731DE"/>
    <w:rsid w:val="314459E3"/>
    <w:rsid w:val="31537BB4"/>
    <w:rsid w:val="315619EE"/>
    <w:rsid w:val="315868AA"/>
    <w:rsid w:val="315A31C6"/>
    <w:rsid w:val="315C449C"/>
    <w:rsid w:val="31650167"/>
    <w:rsid w:val="316E5D9D"/>
    <w:rsid w:val="31743C8B"/>
    <w:rsid w:val="3174713F"/>
    <w:rsid w:val="317B30D3"/>
    <w:rsid w:val="318002C1"/>
    <w:rsid w:val="31825375"/>
    <w:rsid w:val="31A041CB"/>
    <w:rsid w:val="31A87524"/>
    <w:rsid w:val="31B82709"/>
    <w:rsid w:val="31B93261"/>
    <w:rsid w:val="31C20034"/>
    <w:rsid w:val="31D05482"/>
    <w:rsid w:val="31DE2F46"/>
    <w:rsid w:val="31EF7B42"/>
    <w:rsid w:val="31FC05CA"/>
    <w:rsid w:val="321B2E89"/>
    <w:rsid w:val="321D7DCE"/>
    <w:rsid w:val="322E1FC9"/>
    <w:rsid w:val="32334B24"/>
    <w:rsid w:val="32400B34"/>
    <w:rsid w:val="32536502"/>
    <w:rsid w:val="32753755"/>
    <w:rsid w:val="328716F8"/>
    <w:rsid w:val="329E6876"/>
    <w:rsid w:val="329E6FCF"/>
    <w:rsid w:val="32A65C3C"/>
    <w:rsid w:val="32BA6274"/>
    <w:rsid w:val="32CE1184"/>
    <w:rsid w:val="32D0288E"/>
    <w:rsid w:val="32E954BC"/>
    <w:rsid w:val="3303263C"/>
    <w:rsid w:val="3303660E"/>
    <w:rsid w:val="3305289C"/>
    <w:rsid w:val="330622AE"/>
    <w:rsid w:val="333015F2"/>
    <w:rsid w:val="333252F7"/>
    <w:rsid w:val="334119DE"/>
    <w:rsid w:val="334B6320"/>
    <w:rsid w:val="33543D53"/>
    <w:rsid w:val="33642679"/>
    <w:rsid w:val="336C1B19"/>
    <w:rsid w:val="3371022E"/>
    <w:rsid w:val="33CE1955"/>
    <w:rsid w:val="33CF0D98"/>
    <w:rsid w:val="33D1174F"/>
    <w:rsid w:val="33D934D4"/>
    <w:rsid w:val="33E374BD"/>
    <w:rsid w:val="33F2372F"/>
    <w:rsid w:val="33F961BC"/>
    <w:rsid w:val="33FA529A"/>
    <w:rsid w:val="33FE2F6A"/>
    <w:rsid w:val="34062303"/>
    <w:rsid w:val="340E07E5"/>
    <w:rsid w:val="34160775"/>
    <w:rsid w:val="34201D8F"/>
    <w:rsid w:val="34235BF7"/>
    <w:rsid w:val="34276D26"/>
    <w:rsid w:val="34313C5A"/>
    <w:rsid w:val="3443482E"/>
    <w:rsid w:val="345C0152"/>
    <w:rsid w:val="34614E99"/>
    <w:rsid w:val="34907485"/>
    <w:rsid w:val="349710B0"/>
    <w:rsid w:val="34AB6B71"/>
    <w:rsid w:val="34CF41A2"/>
    <w:rsid w:val="34D729A4"/>
    <w:rsid w:val="34EE3955"/>
    <w:rsid w:val="35082F60"/>
    <w:rsid w:val="350C5A51"/>
    <w:rsid w:val="351404BF"/>
    <w:rsid w:val="351D115E"/>
    <w:rsid w:val="35296A2B"/>
    <w:rsid w:val="352C5D76"/>
    <w:rsid w:val="35316FEE"/>
    <w:rsid w:val="35351167"/>
    <w:rsid w:val="353C6B8F"/>
    <w:rsid w:val="355D111E"/>
    <w:rsid w:val="35781E67"/>
    <w:rsid w:val="357C3C3D"/>
    <w:rsid w:val="358C5FA8"/>
    <w:rsid w:val="359502CA"/>
    <w:rsid w:val="35A53D8B"/>
    <w:rsid w:val="35BF1FD3"/>
    <w:rsid w:val="35C15DF1"/>
    <w:rsid w:val="35DF7A26"/>
    <w:rsid w:val="35ED3757"/>
    <w:rsid w:val="35FE765C"/>
    <w:rsid w:val="36056CF3"/>
    <w:rsid w:val="36074A7F"/>
    <w:rsid w:val="36206337"/>
    <w:rsid w:val="3638291B"/>
    <w:rsid w:val="36437999"/>
    <w:rsid w:val="36443753"/>
    <w:rsid w:val="36584DD8"/>
    <w:rsid w:val="365921B8"/>
    <w:rsid w:val="366559E4"/>
    <w:rsid w:val="366652B8"/>
    <w:rsid w:val="366662B6"/>
    <w:rsid w:val="36673031"/>
    <w:rsid w:val="367032E0"/>
    <w:rsid w:val="36840A7D"/>
    <w:rsid w:val="368F13B1"/>
    <w:rsid w:val="368F6AF7"/>
    <w:rsid w:val="36923549"/>
    <w:rsid w:val="369C290D"/>
    <w:rsid w:val="36B75FBF"/>
    <w:rsid w:val="36BD0C45"/>
    <w:rsid w:val="36C413A7"/>
    <w:rsid w:val="36E37160"/>
    <w:rsid w:val="36FD42FE"/>
    <w:rsid w:val="370C1614"/>
    <w:rsid w:val="371F5B92"/>
    <w:rsid w:val="372F5DA4"/>
    <w:rsid w:val="373C17DE"/>
    <w:rsid w:val="37572821"/>
    <w:rsid w:val="376E7E98"/>
    <w:rsid w:val="37745D4D"/>
    <w:rsid w:val="377D6D5D"/>
    <w:rsid w:val="37887BDC"/>
    <w:rsid w:val="3790182F"/>
    <w:rsid w:val="37A42ED5"/>
    <w:rsid w:val="37DA41AF"/>
    <w:rsid w:val="37E00298"/>
    <w:rsid w:val="37EE37B7"/>
    <w:rsid w:val="37F14C7A"/>
    <w:rsid w:val="37FA4891"/>
    <w:rsid w:val="38080EF9"/>
    <w:rsid w:val="381A150A"/>
    <w:rsid w:val="38366B33"/>
    <w:rsid w:val="38421C31"/>
    <w:rsid w:val="384328FB"/>
    <w:rsid w:val="38635F53"/>
    <w:rsid w:val="387D781C"/>
    <w:rsid w:val="38843971"/>
    <w:rsid w:val="38876E31"/>
    <w:rsid w:val="38970D9F"/>
    <w:rsid w:val="389B56ED"/>
    <w:rsid w:val="38AC35CD"/>
    <w:rsid w:val="38AF73EA"/>
    <w:rsid w:val="38B2415D"/>
    <w:rsid w:val="38B302F9"/>
    <w:rsid w:val="38C92CC9"/>
    <w:rsid w:val="38E17EBE"/>
    <w:rsid w:val="38E61B47"/>
    <w:rsid w:val="38EC67DC"/>
    <w:rsid w:val="38F12CD3"/>
    <w:rsid w:val="38F74554"/>
    <w:rsid w:val="38F94775"/>
    <w:rsid w:val="38FC3332"/>
    <w:rsid w:val="39094298"/>
    <w:rsid w:val="39145075"/>
    <w:rsid w:val="392971ED"/>
    <w:rsid w:val="392A0221"/>
    <w:rsid w:val="392E348B"/>
    <w:rsid w:val="39302928"/>
    <w:rsid w:val="39325651"/>
    <w:rsid w:val="3937552D"/>
    <w:rsid w:val="39435185"/>
    <w:rsid w:val="39736B31"/>
    <w:rsid w:val="39877988"/>
    <w:rsid w:val="39B1253E"/>
    <w:rsid w:val="39B91B8A"/>
    <w:rsid w:val="39C12F31"/>
    <w:rsid w:val="39D41706"/>
    <w:rsid w:val="39DA2C8E"/>
    <w:rsid w:val="39DA5E57"/>
    <w:rsid w:val="39E772A0"/>
    <w:rsid w:val="39FE0295"/>
    <w:rsid w:val="3A006910"/>
    <w:rsid w:val="3A0C36D3"/>
    <w:rsid w:val="3A0F2EAC"/>
    <w:rsid w:val="3A1E173D"/>
    <w:rsid w:val="3A1F6E76"/>
    <w:rsid w:val="3A3E78CD"/>
    <w:rsid w:val="3A3F45F4"/>
    <w:rsid w:val="3A3F6CD6"/>
    <w:rsid w:val="3A434E4D"/>
    <w:rsid w:val="3A4F2C33"/>
    <w:rsid w:val="3A5B6852"/>
    <w:rsid w:val="3A713E42"/>
    <w:rsid w:val="3A872856"/>
    <w:rsid w:val="3A87460D"/>
    <w:rsid w:val="3A8B3B09"/>
    <w:rsid w:val="3A9C299D"/>
    <w:rsid w:val="3AAD149B"/>
    <w:rsid w:val="3ACC4283"/>
    <w:rsid w:val="3AD273C0"/>
    <w:rsid w:val="3AE3685C"/>
    <w:rsid w:val="3AFD4854"/>
    <w:rsid w:val="3B117EE8"/>
    <w:rsid w:val="3B1D17A0"/>
    <w:rsid w:val="3B273268"/>
    <w:rsid w:val="3B3763D1"/>
    <w:rsid w:val="3B547D4B"/>
    <w:rsid w:val="3B556EBE"/>
    <w:rsid w:val="3B670585"/>
    <w:rsid w:val="3B7A60DF"/>
    <w:rsid w:val="3B851E35"/>
    <w:rsid w:val="3B863140"/>
    <w:rsid w:val="3B9F3746"/>
    <w:rsid w:val="3BAB6489"/>
    <w:rsid w:val="3BB3520E"/>
    <w:rsid w:val="3BB920E2"/>
    <w:rsid w:val="3BBA4C60"/>
    <w:rsid w:val="3BC85286"/>
    <w:rsid w:val="3BE333D3"/>
    <w:rsid w:val="3BE60DBD"/>
    <w:rsid w:val="3C0A60C7"/>
    <w:rsid w:val="3C101D43"/>
    <w:rsid w:val="3C1C76C1"/>
    <w:rsid w:val="3C2F6E1E"/>
    <w:rsid w:val="3C4E14B7"/>
    <w:rsid w:val="3C4F64BA"/>
    <w:rsid w:val="3C5E7A5A"/>
    <w:rsid w:val="3C60319D"/>
    <w:rsid w:val="3C6F136A"/>
    <w:rsid w:val="3C752336"/>
    <w:rsid w:val="3C7543C4"/>
    <w:rsid w:val="3C885DB0"/>
    <w:rsid w:val="3C8B44FD"/>
    <w:rsid w:val="3C8B6976"/>
    <w:rsid w:val="3C990827"/>
    <w:rsid w:val="3C9D4E80"/>
    <w:rsid w:val="3CA07775"/>
    <w:rsid w:val="3CB2738E"/>
    <w:rsid w:val="3CB40325"/>
    <w:rsid w:val="3CBB0E0C"/>
    <w:rsid w:val="3CC50CC1"/>
    <w:rsid w:val="3CD30E63"/>
    <w:rsid w:val="3CD45A7E"/>
    <w:rsid w:val="3CDA245A"/>
    <w:rsid w:val="3CDD0F86"/>
    <w:rsid w:val="3CE103A5"/>
    <w:rsid w:val="3CE10493"/>
    <w:rsid w:val="3CE60A46"/>
    <w:rsid w:val="3CE904CE"/>
    <w:rsid w:val="3CF015D3"/>
    <w:rsid w:val="3CFC5A39"/>
    <w:rsid w:val="3D192B38"/>
    <w:rsid w:val="3D1E06B7"/>
    <w:rsid w:val="3D4E0F7F"/>
    <w:rsid w:val="3D695DB9"/>
    <w:rsid w:val="3D8F09E6"/>
    <w:rsid w:val="3D91638C"/>
    <w:rsid w:val="3DB039E8"/>
    <w:rsid w:val="3DB7275C"/>
    <w:rsid w:val="3DBD6105"/>
    <w:rsid w:val="3DBE2A7D"/>
    <w:rsid w:val="3DCF6FC0"/>
    <w:rsid w:val="3DDA38B1"/>
    <w:rsid w:val="3DFC3E6B"/>
    <w:rsid w:val="3E145F68"/>
    <w:rsid w:val="3E1514BB"/>
    <w:rsid w:val="3E3B718F"/>
    <w:rsid w:val="3E413159"/>
    <w:rsid w:val="3E6408AE"/>
    <w:rsid w:val="3E6E1261"/>
    <w:rsid w:val="3E7C7D6E"/>
    <w:rsid w:val="3E96031E"/>
    <w:rsid w:val="3EC30F78"/>
    <w:rsid w:val="3EC65D3B"/>
    <w:rsid w:val="3ECB6600"/>
    <w:rsid w:val="3EDA0523"/>
    <w:rsid w:val="3EF94085"/>
    <w:rsid w:val="3EFE4B11"/>
    <w:rsid w:val="3F160C14"/>
    <w:rsid w:val="3F1A7D67"/>
    <w:rsid w:val="3F2751FC"/>
    <w:rsid w:val="3F4D655A"/>
    <w:rsid w:val="3F546C30"/>
    <w:rsid w:val="3F6311B2"/>
    <w:rsid w:val="3F740A45"/>
    <w:rsid w:val="3F783CDA"/>
    <w:rsid w:val="3F7B78A2"/>
    <w:rsid w:val="3F85305B"/>
    <w:rsid w:val="3F890995"/>
    <w:rsid w:val="3FAC1338"/>
    <w:rsid w:val="3FD728EE"/>
    <w:rsid w:val="3FE011BF"/>
    <w:rsid w:val="3FE83F56"/>
    <w:rsid w:val="40085AC1"/>
    <w:rsid w:val="40511990"/>
    <w:rsid w:val="40532D51"/>
    <w:rsid w:val="40621EEF"/>
    <w:rsid w:val="406777D4"/>
    <w:rsid w:val="40771CFE"/>
    <w:rsid w:val="407A6407"/>
    <w:rsid w:val="40B7131D"/>
    <w:rsid w:val="40C33A32"/>
    <w:rsid w:val="40C969C8"/>
    <w:rsid w:val="40F55BB6"/>
    <w:rsid w:val="412D2E42"/>
    <w:rsid w:val="4134674D"/>
    <w:rsid w:val="41374B62"/>
    <w:rsid w:val="413B46F3"/>
    <w:rsid w:val="413F78DB"/>
    <w:rsid w:val="4148683F"/>
    <w:rsid w:val="41497C11"/>
    <w:rsid w:val="41577238"/>
    <w:rsid w:val="417A7DBD"/>
    <w:rsid w:val="41C30B82"/>
    <w:rsid w:val="41CC0BF5"/>
    <w:rsid w:val="4200449D"/>
    <w:rsid w:val="42023A0A"/>
    <w:rsid w:val="4214247E"/>
    <w:rsid w:val="421617C3"/>
    <w:rsid w:val="42352798"/>
    <w:rsid w:val="423A3BCC"/>
    <w:rsid w:val="42471EF1"/>
    <w:rsid w:val="42497357"/>
    <w:rsid w:val="424E57D2"/>
    <w:rsid w:val="425F778B"/>
    <w:rsid w:val="42644DA1"/>
    <w:rsid w:val="42735E02"/>
    <w:rsid w:val="427716DA"/>
    <w:rsid w:val="427C7519"/>
    <w:rsid w:val="428C0F59"/>
    <w:rsid w:val="4295746D"/>
    <w:rsid w:val="42A74B42"/>
    <w:rsid w:val="42B26C49"/>
    <w:rsid w:val="42BA70B7"/>
    <w:rsid w:val="42D36040"/>
    <w:rsid w:val="42DB37CB"/>
    <w:rsid w:val="42EB32CE"/>
    <w:rsid w:val="42ED5EDC"/>
    <w:rsid w:val="430E7E7A"/>
    <w:rsid w:val="43217A80"/>
    <w:rsid w:val="43235D77"/>
    <w:rsid w:val="43261421"/>
    <w:rsid w:val="433A3E47"/>
    <w:rsid w:val="433A6FE6"/>
    <w:rsid w:val="43480868"/>
    <w:rsid w:val="434B174F"/>
    <w:rsid w:val="434F7802"/>
    <w:rsid w:val="4350713C"/>
    <w:rsid w:val="43605AC8"/>
    <w:rsid w:val="436653E0"/>
    <w:rsid w:val="43684AC1"/>
    <w:rsid w:val="437E5E21"/>
    <w:rsid w:val="43890852"/>
    <w:rsid w:val="4393642C"/>
    <w:rsid w:val="43A36735"/>
    <w:rsid w:val="43A460BD"/>
    <w:rsid w:val="43AC585A"/>
    <w:rsid w:val="43B77F96"/>
    <w:rsid w:val="43C4431A"/>
    <w:rsid w:val="43C8760E"/>
    <w:rsid w:val="43CB139C"/>
    <w:rsid w:val="43E5284B"/>
    <w:rsid w:val="43E64CC4"/>
    <w:rsid w:val="43EF6B59"/>
    <w:rsid w:val="43F11770"/>
    <w:rsid w:val="43FC693C"/>
    <w:rsid w:val="44224F14"/>
    <w:rsid w:val="44290C78"/>
    <w:rsid w:val="44443463"/>
    <w:rsid w:val="44606C49"/>
    <w:rsid w:val="44631132"/>
    <w:rsid w:val="44671D76"/>
    <w:rsid w:val="446B248C"/>
    <w:rsid w:val="44710D95"/>
    <w:rsid w:val="44742620"/>
    <w:rsid w:val="44872FC9"/>
    <w:rsid w:val="448A1C65"/>
    <w:rsid w:val="448F287C"/>
    <w:rsid w:val="44956565"/>
    <w:rsid w:val="44983C5E"/>
    <w:rsid w:val="44A37BF7"/>
    <w:rsid w:val="44B4325F"/>
    <w:rsid w:val="44B951CC"/>
    <w:rsid w:val="44CD14E0"/>
    <w:rsid w:val="44CE6128"/>
    <w:rsid w:val="44CE6739"/>
    <w:rsid w:val="44D77AAC"/>
    <w:rsid w:val="44EA30F8"/>
    <w:rsid w:val="44F20B0B"/>
    <w:rsid w:val="44FB129D"/>
    <w:rsid w:val="44FF09FF"/>
    <w:rsid w:val="452E5F4C"/>
    <w:rsid w:val="453044F3"/>
    <w:rsid w:val="454F5C99"/>
    <w:rsid w:val="455E5396"/>
    <w:rsid w:val="45605EFD"/>
    <w:rsid w:val="45612018"/>
    <w:rsid w:val="45723297"/>
    <w:rsid w:val="45740479"/>
    <w:rsid w:val="457C4AF8"/>
    <w:rsid w:val="458946E9"/>
    <w:rsid w:val="458C0826"/>
    <w:rsid w:val="459E05CA"/>
    <w:rsid w:val="45A11732"/>
    <w:rsid w:val="45A47C0E"/>
    <w:rsid w:val="45A77253"/>
    <w:rsid w:val="45BD200A"/>
    <w:rsid w:val="45C07CB9"/>
    <w:rsid w:val="45C82467"/>
    <w:rsid w:val="45CC3614"/>
    <w:rsid w:val="45E2650C"/>
    <w:rsid w:val="460B430A"/>
    <w:rsid w:val="46182FF9"/>
    <w:rsid w:val="462431C5"/>
    <w:rsid w:val="463827CD"/>
    <w:rsid w:val="46577818"/>
    <w:rsid w:val="46577FD6"/>
    <w:rsid w:val="46725D88"/>
    <w:rsid w:val="468B4FF2"/>
    <w:rsid w:val="46906B83"/>
    <w:rsid w:val="46945D8C"/>
    <w:rsid w:val="46AC0EB9"/>
    <w:rsid w:val="46B018AA"/>
    <w:rsid w:val="46B6517D"/>
    <w:rsid w:val="46D00832"/>
    <w:rsid w:val="46D955A7"/>
    <w:rsid w:val="46DF37FA"/>
    <w:rsid w:val="46E100CE"/>
    <w:rsid w:val="46E22C15"/>
    <w:rsid w:val="46EB442E"/>
    <w:rsid w:val="46F9764D"/>
    <w:rsid w:val="47080E99"/>
    <w:rsid w:val="470902D0"/>
    <w:rsid w:val="470E037C"/>
    <w:rsid w:val="47133957"/>
    <w:rsid w:val="47146CF3"/>
    <w:rsid w:val="471675BD"/>
    <w:rsid w:val="47183163"/>
    <w:rsid w:val="47483305"/>
    <w:rsid w:val="47783472"/>
    <w:rsid w:val="477B08A2"/>
    <w:rsid w:val="477B502D"/>
    <w:rsid w:val="47852FB4"/>
    <w:rsid w:val="47990C52"/>
    <w:rsid w:val="479F2559"/>
    <w:rsid w:val="47A07E0C"/>
    <w:rsid w:val="47AC3985"/>
    <w:rsid w:val="47B3263A"/>
    <w:rsid w:val="47C22C96"/>
    <w:rsid w:val="47DA59FB"/>
    <w:rsid w:val="47E32C0C"/>
    <w:rsid w:val="47EA6BE5"/>
    <w:rsid w:val="47EE0C1F"/>
    <w:rsid w:val="47F765E2"/>
    <w:rsid w:val="47FA1658"/>
    <w:rsid w:val="480D3D8E"/>
    <w:rsid w:val="48147E37"/>
    <w:rsid w:val="481553CE"/>
    <w:rsid w:val="48175F8B"/>
    <w:rsid w:val="481818CA"/>
    <w:rsid w:val="481A7F92"/>
    <w:rsid w:val="4825055D"/>
    <w:rsid w:val="48403C0E"/>
    <w:rsid w:val="4850658B"/>
    <w:rsid w:val="48555247"/>
    <w:rsid w:val="486755EB"/>
    <w:rsid w:val="4870272E"/>
    <w:rsid w:val="48820F84"/>
    <w:rsid w:val="48A775E4"/>
    <w:rsid w:val="48AF7E4F"/>
    <w:rsid w:val="48B542C0"/>
    <w:rsid w:val="48CE77CA"/>
    <w:rsid w:val="48D82290"/>
    <w:rsid w:val="48F37BC2"/>
    <w:rsid w:val="48F84495"/>
    <w:rsid w:val="492F13F5"/>
    <w:rsid w:val="493E26B7"/>
    <w:rsid w:val="494160C9"/>
    <w:rsid w:val="49502686"/>
    <w:rsid w:val="495F6869"/>
    <w:rsid w:val="49722404"/>
    <w:rsid w:val="49930A8B"/>
    <w:rsid w:val="49975A5C"/>
    <w:rsid w:val="499A72FA"/>
    <w:rsid w:val="49A05B41"/>
    <w:rsid w:val="49CF51F6"/>
    <w:rsid w:val="49DC7715"/>
    <w:rsid w:val="49DD6CEF"/>
    <w:rsid w:val="49DF4E6A"/>
    <w:rsid w:val="49F23B89"/>
    <w:rsid w:val="49F80CA9"/>
    <w:rsid w:val="4A0157AF"/>
    <w:rsid w:val="4A023139"/>
    <w:rsid w:val="4A0955D0"/>
    <w:rsid w:val="4A121093"/>
    <w:rsid w:val="4A130F8B"/>
    <w:rsid w:val="4A184F7F"/>
    <w:rsid w:val="4A2018A6"/>
    <w:rsid w:val="4A206B04"/>
    <w:rsid w:val="4A271BA8"/>
    <w:rsid w:val="4A272B71"/>
    <w:rsid w:val="4A36755E"/>
    <w:rsid w:val="4A7B576F"/>
    <w:rsid w:val="4A9C34F6"/>
    <w:rsid w:val="4A9D78E7"/>
    <w:rsid w:val="4AC63A3A"/>
    <w:rsid w:val="4AD21878"/>
    <w:rsid w:val="4AD73483"/>
    <w:rsid w:val="4ADE5503"/>
    <w:rsid w:val="4AE0041E"/>
    <w:rsid w:val="4AE37CF9"/>
    <w:rsid w:val="4AE7101D"/>
    <w:rsid w:val="4AE80FFA"/>
    <w:rsid w:val="4AF561A9"/>
    <w:rsid w:val="4B0C7423"/>
    <w:rsid w:val="4B101139"/>
    <w:rsid w:val="4B10121A"/>
    <w:rsid w:val="4B105DBC"/>
    <w:rsid w:val="4B260A4B"/>
    <w:rsid w:val="4B320132"/>
    <w:rsid w:val="4B3B5DC9"/>
    <w:rsid w:val="4B4400C0"/>
    <w:rsid w:val="4B62209A"/>
    <w:rsid w:val="4B663FE5"/>
    <w:rsid w:val="4B7924D2"/>
    <w:rsid w:val="4B824C4E"/>
    <w:rsid w:val="4B9361C3"/>
    <w:rsid w:val="4BA252A4"/>
    <w:rsid w:val="4BA53148"/>
    <w:rsid w:val="4BB12D4F"/>
    <w:rsid w:val="4BDB6EBD"/>
    <w:rsid w:val="4BEB208F"/>
    <w:rsid w:val="4BF20AA8"/>
    <w:rsid w:val="4BF709CD"/>
    <w:rsid w:val="4C014C45"/>
    <w:rsid w:val="4C022DB6"/>
    <w:rsid w:val="4C0A5ACD"/>
    <w:rsid w:val="4C21145A"/>
    <w:rsid w:val="4C2A705C"/>
    <w:rsid w:val="4C4A0649"/>
    <w:rsid w:val="4C4F7F8E"/>
    <w:rsid w:val="4C681E84"/>
    <w:rsid w:val="4C742085"/>
    <w:rsid w:val="4C7B081E"/>
    <w:rsid w:val="4C7E5ECA"/>
    <w:rsid w:val="4C876AA5"/>
    <w:rsid w:val="4C8B7B66"/>
    <w:rsid w:val="4C9316DD"/>
    <w:rsid w:val="4CA83BB4"/>
    <w:rsid w:val="4CB25BF0"/>
    <w:rsid w:val="4CB27B6C"/>
    <w:rsid w:val="4CBB6ED5"/>
    <w:rsid w:val="4CF0343A"/>
    <w:rsid w:val="4CF13A14"/>
    <w:rsid w:val="4D0E00FB"/>
    <w:rsid w:val="4D176606"/>
    <w:rsid w:val="4D1F1116"/>
    <w:rsid w:val="4D2039B7"/>
    <w:rsid w:val="4D233C51"/>
    <w:rsid w:val="4D2829FD"/>
    <w:rsid w:val="4D302F75"/>
    <w:rsid w:val="4D386DC7"/>
    <w:rsid w:val="4D3D5045"/>
    <w:rsid w:val="4D414584"/>
    <w:rsid w:val="4D4A231F"/>
    <w:rsid w:val="4D50664E"/>
    <w:rsid w:val="4D513D87"/>
    <w:rsid w:val="4D573BA0"/>
    <w:rsid w:val="4D774C13"/>
    <w:rsid w:val="4D892E0C"/>
    <w:rsid w:val="4D8C00C0"/>
    <w:rsid w:val="4DA1243B"/>
    <w:rsid w:val="4DAA7254"/>
    <w:rsid w:val="4DD86643"/>
    <w:rsid w:val="4DE3504C"/>
    <w:rsid w:val="4DE81FCA"/>
    <w:rsid w:val="4DE964B7"/>
    <w:rsid w:val="4DEC4FB0"/>
    <w:rsid w:val="4DED0D83"/>
    <w:rsid w:val="4E075D8A"/>
    <w:rsid w:val="4E1028CD"/>
    <w:rsid w:val="4E1B63C8"/>
    <w:rsid w:val="4E1F2065"/>
    <w:rsid w:val="4E30022D"/>
    <w:rsid w:val="4E3111B7"/>
    <w:rsid w:val="4E4B5462"/>
    <w:rsid w:val="4E5D5C41"/>
    <w:rsid w:val="4E6631BA"/>
    <w:rsid w:val="4E683E6B"/>
    <w:rsid w:val="4E783ADD"/>
    <w:rsid w:val="4E803E01"/>
    <w:rsid w:val="4E9E693D"/>
    <w:rsid w:val="4E9F343C"/>
    <w:rsid w:val="4EAB3C0F"/>
    <w:rsid w:val="4EC00FAD"/>
    <w:rsid w:val="4EC31B43"/>
    <w:rsid w:val="4ED07495"/>
    <w:rsid w:val="4ED777B6"/>
    <w:rsid w:val="4EEB481D"/>
    <w:rsid w:val="4EF2120C"/>
    <w:rsid w:val="4F0A68D2"/>
    <w:rsid w:val="4F284D8A"/>
    <w:rsid w:val="4F29214E"/>
    <w:rsid w:val="4F4D5BA9"/>
    <w:rsid w:val="4F623308"/>
    <w:rsid w:val="4F623C8B"/>
    <w:rsid w:val="4F6C2452"/>
    <w:rsid w:val="4F9843DC"/>
    <w:rsid w:val="4FA06CA8"/>
    <w:rsid w:val="4FB4394D"/>
    <w:rsid w:val="4FBB5E69"/>
    <w:rsid w:val="4FC62A8C"/>
    <w:rsid w:val="4FD63F81"/>
    <w:rsid w:val="4FDB0BF1"/>
    <w:rsid w:val="4FE20F0D"/>
    <w:rsid w:val="4FE51552"/>
    <w:rsid w:val="4FFD4212"/>
    <w:rsid w:val="50203765"/>
    <w:rsid w:val="50276F1F"/>
    <w:rsid w:val="502A2D3A"/>
    <w:rsid w:val="502B3FFD"/>
    <w:rsid w:val="50504C4B"/>
    <w:rsid w:val="505415A2"/>
    <w:rsid w:val="50582E68"/>
    <w:rsid w:val="505C6EC4"/>
    <w:rsid w:val="50670742"/>
    <w:rsid w:val="506F328F"/>
    <w:rsid w:val="5088346D"/>
    <w:rsid w:val="50895B1F"/>
    <w:rsid w:val="50940112"/>
    <w:rsid w:val="50974E33"/>
    <w:rsid w:val="509C6E7C"/>
    <w:rsid w:val="50CF01D2"/>
    <w:rsid w:val="50E278DA"/>
    <w:rsid w:val="50E579F5"/>
    <w:rsid w:val="50EA1314"/>
    <w:rsid w:val="50EA6DB9"/>
    <w:rsid w:val="50F15368"/>
    <w:rsid w:val="50F46C84"/>
    <w:rsid w:val="50F576E2"/>
    <w:rsid w:val="50FE5415"/>
    <w:rsid w:val="50FF3A7D"/>
    <w:rsid w:val="51153681"/>
    <w:rsid w:val="511F2457"/>
    <w:rsid w:val="51274676"/>
    <w:rsid w:val="512A0A14"/>
    <w:rsid w:val="512C2DE9"/>
    <w:rsid w:val="51322CE6"/>
    <w:rsid w:val="514A7858"/>
    <w:rsid w:val="51542926"/>
    <w:rsid w:val="515E5FDD"/>
    <w:rsid w:val="5162104E"/>
    <w:rsid w:val="516D575F"/>
    <w:rsid w:val="517645BA"/>
    <w:rsid w:val="517800FE"/>
    <w:rsid w:val="51825244"/>
    <w:rsid w:val="51861ABD"/>
    <w:rsid w:val="518A1EAA"/>
    <w:rsid w:val="518F4562"/>
    <w:rsid w:val="51982514"/>
    <w:rsid w:val="51AC096F"/>
    <w:rsid w:val="51D32DF1"/>
    <w:rsid w:val="51D56E40"/>
    <w:rsid w:val="51DA302C"/>
    <w:rsid w:val="51DC4765"/>
    <w:rsid w:val="51E26721"/>
    <w:rsid w:val="51ED7E6A"/>
    <w:rsid w:val="51FF0DA4"/>
    <w:rsid w:val="520B7684"/>
    <w:rsid w:val="52343C9E"/>
    <w:rsid w:val="52374AE6"/>
    <w:rsid w:val="52401870"/>
    <w:rsid w:val="52692B59"/>
    <w:rsid w:val="526E4730"/>
    <w:rsid w:val="527C305F"/>
    <w:rsid w:val="528E4E80"/>
    <w:rsid w:val="529C1C38"/>
    <w:rsid w:val="52AE5340"/>
    <w:rsid w:val="52BB2142"/>
    <w:rsid w:val="52BF281F"/>
    <w:rsid w:val="52D12952"/>
    <w:rsid w:val="52E67747"/>
    <w:rsid w:val="52EC45B3"/>
    <w:rsid w:val="52EC506B"/>
    <w:rsid w:val="53081779"/>
    <w:rsid w:val="53121504"/>
    <w:rsid w:val="53186CB2"/>
    <w:rsid w:val="53367966"/>
    <w:rsid w:val="533B173C"/>
    <w:rsid w:val="533D4B9F"/>
    <w:rsid w:val="53453670"/>
    <w:rsid w:val="53915C12"/>
    <w:rsid w:val="53A039CC"/>
    <w:rsid w:val="53A1505A"/>
    <w:rsid w:val="53AE311D"/>
    <w:rsid w:val="53C20FD4"/>
    <w:rsid w:val="53C70FDB"/>
    <w:rsid w:val="53E94A32"/>
    <w:rsid w:val="53EB4568"/>
    <w:rsid w:val="53EF7D0D"/>
    <w:rsid w:val="53F54961"/>
    <w:rsid w:val="54063E08"/>
    <w:rsid w:val="54083AFC"/>
    <w:rsid w:val="540E7263"/>
    <w:rsid w:val="542C406D"/>
    <w:rsid w:val="543437E8"/>
    <w:rsid w:val="54344EED"/>
    <w:rsid w:val="54354B2F"/>
    <w:rsid w:val="5444538C"/>
    <w:rsid w:val="544B04E7"/>
    <w:rsid w:val="544B514D"/>
    <w:rsid w:val="545302FB"/>
    <w:rsid w:val="54580A0A"/>
    <w:rsid w:val="54596730"/>
    <w:rsid w:val="54745318"/>
    <w:rsid w:val="54793572"/>
    <w:rsid w:val="547A2BCA"/>
    <w:rsid w:val="547F0A35"/>
    <w:rsid w:val="54881E90"/>
    <w:rsid w:val="54A159E1"/>
    <w:rsid w:val="54AC0753"/>
    <w:rsid w:val="54C77281"/>
    <w:rsid w:val="54D666BE"/>
    <w:rsid w:val="54DE09E3"/>
    <w:rsid w:val="54F73313"/>
    <w:rsid w:val="54F80955"/>
    <w:rsid w:val="55015040"/>
    <w:rsid w:val="55065893"/>
    <w:rsid w:val="551D5F8B"/>
    <w:rsid w:val="55313209"/>
    <w:rsid w:val="555170A7"/>
    <w:rsid w:val="55601422"/>
    <w:rsid w:val="556E4C3C"/>
    <w:rsid w:val="557919B7"/>
    <w:rsid w:val="557D12D8"/>
    <w:rsid w:val="5587536D"/>
    <w:rsid w:val="559B174B"/>
    <w:rsid w:val="559B4355"/>
    <w:rsid w:val="559D0A05"/>
    <w:rsid w:val="55A820FB"/>
    <w:rsid w:val="55B7413F"/>
    <w:rsid w:val="55CE0CF4"/>
    <w:rsid w:val="55CE415A"/>
    <w:rsid w:val="55D84BFB"/>
    <w:rsid w:val="55DA1AC5"/>
    <w:rsid w:val="55DC2AD0"/>
    <w:rsid w:val="55E5223F"/>
    <w:rsid w:val="55F96B0D"/>
    <w:rsid w:val="560A7217"/>
    <w:rsid w:val="561202E1"/>
    <w:rsid w:val="561441ED"/>
    <w:rsid w:val="561472B4"/>
    <w:rsid w:val="561A27D0"/>
    <w:rsid w:val="56262642"/>
    <w:rsid w:val="562A0F99"/>
    <w:rsid w:val="5634515D"/>
    <w:rsid w:val="563B3D20"/>
    <w:rsid w:val="563B6815"/>
    <w:rsid w:val="563C1E65"/>
    <w:rsid w:val="563F1955"/>
    <w:rsid w:val="564173F8"/>
    <w:rsid w:val="564E113B"/>
    <w:rsid w:val="565C15FA"/>
    <w:rsid w:val="565D59D9"/>
    <w:rsid w:val="565F6E98"/>
    <w:rsid w:val="56672AAB"/>
    <w:rsid w:val="56785D5C"/>
    <w:rsid w:val="56842916"/>
    <w:rsid w:val="56866C66"/>
    <w:rsid w:val="568F0938"/>
    <w:rsid w:val="56926D37"/>
    <w:rsid w:val="56B22A9C"/>
    <w:rsid w:val="56B42141"/>
    <w:rsid w:val="56C269F2"/>
    <w:rsid w:val="56C50CE6"/>
    <w:rsid w:val="56CB7685"/>
    <w:rsid w:val="56CE1CCA"/>
    <w:rsid w:val="56E15063"/>
    <w:rsid w:val="56E878F7"/>
    <w:rsid w:val="56ED7603"/>
    <w:rsid w:val="56F8455F"/>
    <w:rsid w:val="570E7654"/>
    <w:rsid w:val="57180628"/>
    <w:rsid w:val="572A1536"/>
    <w:rsid w:val="572C46CA"/>
    <w:rsid w:val="57424AEA"/>
    <w:rsid w:val="5748312D"/>
    <w:rsid w:val="5750071B"/>
    <w:rsid w:val="577B4C0F"/>
    <w:rsid w:val="578C3672"/>
    <w:rsid w:val="57981DED"/>
    <w:rsid w:val="57A77A48"/>
    <w:rsid w:val="57A94831"/>
    <w:rsid w:val="57B65C47"/>
    <w:rsid w:val="57B72A76"/>
    <w:rsid w:val="57C3426C"/>
    <w:rsid w:val="57CE1F93"/>
    <w:rsid w:val="57DE64D2"/>
    <w:rsid w:val="57E36310"/>
    <w:rsid w:val="57EB66EB"/>
    <w:rsid w:val="5804772E"/>
    <w:rsid w:val="585234F2"/>
    <w:rsid w:val="58526F15"/>
    <w:rsid w:val="58541988"/>
    <w:rsid w:val="586D6DED"/>
    <w:rsid w:val="588743D1"/>
    <w:rsid w:val="5887701A"/>
    <w:rsid w:val="588B0446"/>
    <w:rsid w:val="588E2720"/>
    <w:rsid w:val="58940F7F"/>
    <w:rsid w:val="58C71852"/>
    <w:rsid w:val="58CC1389"/>
    <w:rsid w:val="58D00AF4"/>
    <w:rsid w:val="58D63D1E"/>
    <w:rsid w:val="58D968EA"/>
    <w:rsid w:val="58DC1FC7"/>
    <w:rsid w:val="58E21872"/>
    <w:rsid w:val="58F32904"/>
    <w:rsid w:val="593A38B4"/>
    <w:rsid w:val="59433CDD"/>
    <w:rsid w:val="594436D4"/>
    <w:rsid w:val="595A479B"/>
    <w:rsid w:val="595B5175"/>
    <w:rsid w:val="59657925"/>
    <w:rsid w:val="596C22C4"/>
    <w:rsid w:val="59755B41"/>
    <w:rsid w:val="597A09AF"/>
    <w:rsid w:val="59972002"/>
    <w:rsid w:val="599F3FA5"/>
    <w:rsid w:val="599F7BD2"/>
    <w:rsid w:val="59C0439F"/>
    <w:rsid w:val="59D14FBA"/>
    <w:rsid w:val="59D51E7F"/>
    <w:rsid w:val="59E3084A"/>
    <w:rsid w:val="59E940B2"/>
    <w:rsid w:val="59FC3215"/>
    <w:rsid w:val="5A095B5A"/>
    <w:rsid w:val="5A1B236C"/>
    <w:rsid w:val="5A2C0AD2"/>
    <w:rsid w:val="5A3D38B7"/>
    <w:rsid w:val="5A471E07"/>
    <w:rsid w:val="5A47332F"/>
    <w:rsid w:val="5A51453B"/>
    <w:rsid w:val="5A661615"/>
    <w:rsid w:val="5A8257C1"/>
    <w:rsid w:val="5AA220B4"/>
    <w:rsid w:val="5ABE2233"/>
    <w:rsid w:val="5AE86795"/>
    <w:rsid w:val="5AF95AB0"/>
    <w:rsid w:val="5B0D6FD7"/>
    <w:rsid w:val="5B140B62"/>
    <w:rsid w:val="5B322360"/>
    <w:rsid w:val="5B373A6F"/>
    <w:rsid w:val="5B407D53"/>
    <w:rsid w:val="5B4930DF"/>
    <w:rsid w:val="5B4B1D4C"/>
    <w:rsid w:val="5B583A26"/>
    <w:rsid w:val="5B6C3F69"/>
    <w:rsid w:val="5B6C7FDD"/>
    <w:rsid w:val="5B7D11B9"/>
    <w:rsid w:val="5B9D1E4C"/>
    <w:rsid w:val="5BA34735"/>
    <w:rsid w:val="5BB6171E"/>
    <w:rsid w:val="5BC271E1"/>
    <w:rsid w:val="5BDF5D95"/>
    <w:rsid w:val="5BE77BBC"/>
    <w:rsid w:val="5BFE7528"/>
    <w:rsid w:val="5C007F40"/>
    <w:rsid w:val="5C0B50DF"/>
    <w:rsid w:val="5C26481F"/>
    <w:rsid w:val="5C361EDB"/>
    <w:rsid w:val="5C3A48CF"/>
    <w:rsid w:val="5C551771"/>
    <w:rsid w:val="5C567DFB"/>
    <w:rsid w:val="5C6A20A8"/>
    <w:rsid w:val="5C7B7847"/>
    <w:rsid w:val="5C890504"/>
    <w:rsid w:val="5C906961"/>
    <w:rsid w:val="5C942C26"/>
    <w:rsid w:val="5C94551A"/>
    <w:rsid w:val="5CAF7D0D"/>
    <w:rsid w:val="5CB92345"/>
    <w:rsid w:val="5CC44962"/>
    <w:rsid w:val="5CCF2A0A"/>
    <w:rsid w:val="5CDD040B"/>
    <w:rsid w:val="5CED5C47"/>
    <w:rsid w:val="5CFD21A5"/>
    <w:rsid w:val="5CFD7E74"/>
    <w:rsid w:val="5D0C0D36"/>
    <w:rsid w:val="5D0C307D"/>
    <w:rsid w:val="5D0F0C84"/>
    <w:rsid w:val="5D183915"/>
    <w:rsid w:val="5D235E58"/>
    <w:rsid w:val="5D2D762B"/>
    <w:rsid w:val="5D310D37"/>
    <w:rsid w:val="5D5435D0"/>
    <w:rsid w:val="5D570AB1"/>
    <w:rsid w:val="5D7C0D6D"/>
    <w:rsid w:val="5D921815"/>
    <w:rsid w:val="5D951CD0"/>
    <w:rsid w:val="5D9E05A7"/>
    <w:rsid w:val="5DCE5755"/>
    <w:rsid w:val="5DD66746"/>
    <w:rsid w:val="5DEA3B78"/>
    <w:rsid w:val="5DF030A1"/>
    <w:rsid w:val="5E053B1C"/>
    <w:rsid w:val="5E074651"/>
    <w:rsid w:val="5E16546A"/>
    <w:rsid w:val="5E167440"/>
    <w:rsid w:val="5E2467F1"/>
    <w:rsid w:val="5E3E3A04"/>
    <w:rsid w:val="5E435D5B"/>
    <w:rsid w:val="5E4C4C10"/>
    <w:rsid w:val="5E4D1E1C"/>
    <w:rsid w:val="5E541D16"/>
    <w:rsid w:val="5E5461ED"/>
    <w:rsid w:val="5E58798A"/>
    <w:rsid w:val="5E5C7A94"/>
    <w:rsid w:val="5E6F08FE"/>
    <w:rsid w:val="5E8641AB"/>
    <w:rsid w:val="5E8D26AE"/>
    <w:rsid w:val="5EAF1912"/>
    <w:rsid w:val="5EB617B3"/>
    <w:rsid w:val="5EB7681C"/>
    <w:rsid w:val="5EB822A5"/>
    <w:rsid w:val="5EB91099"/>
    <w:rsid w:val="5EBD78BB"/>
    <w:rsid w:val="5ECE7D1A"/>
    <w:rsid w:val="5ED527C2"/>
    <w:rsid w:val="5EE60C28"/>
    <w:rsid w:val="5F0141CD"/>
    <w:rsid w:val="5F0A527B"/>
    <w:rsid w:val="5F1A2B43"/>
    <w:rsid w:val="5F4365D5"/>
    <w:rsid w:val="5F7E2C27"/>
    <w:rsid w:val="5F8039F9"/>
    <w:rsid w:val="5FA25B22"/>
    <w:rsid w:val="5FB837BB"/>
    <w:rsid w:val="5FBD7995"/>
    <w:rsid w:val="5FD726AE"/>
    <w:rsid w:val="5FDC0E1C"/>
    <w:rsid w:val="5FE2117A"/>
    <w:rsid w:val="5FE57A29"/>
    <w:rsid w:val="5FF53651"/>
    <w:rsid w:val="5FFD0670"/>
    <w:rsid w:val="6004682B"/>
    <w:rsid w:val="60164D85"/>
    <w:rsid w:val="60250EA4"/>
    <w:rsid w:val="603E2C7E"/>
    <w:rsid w:val="603F0BF4"/>
    <w:rsid w:val="605855A7"/>
    <w:rsid w:val="60652FF7"/>
    <w:rsid w:val="60887CBB"/>
    <w:rsid w:val="60946B72"/>
    <w:rsid w:val="60B719D8"/>
    <w:rsid w:val="60CC405A"/>
    <w:rsid w:val="60E1603F"/>
    <w:rsid w:val="60E66F95"/>
    <w:rsid w:val="60FA2C40"/>
    <w:rsid w:val="61086AA0"/>
    <w:rsid w:val="611724E2"/>
    <w:rsid w:val="6117377F"/>
    <w:rsid w:val="611B35B3"/>
    <w:rsid w:val="61461DEA"/>
    <w:rsid w:val="6147235A"/>
    <w:rsid w:val="6154146C"/>
    <w:rsid w:val="615C785F"/>
    <w:rsid w:val="616404C2"/>
    <w:rsid w:val="61A45F46"/>
    <w:rsid w:val="61A94E6C"/>
    <w:rsid w:val="61B157D8"/>
    <w:rsid w:val="61B31D3A"/>
    <w:rsid w:val="61C52A20"/>
    <w:rsid w:val="61D1061E"/>
    <w:rsid w:val="61E215D8"/>
    <w:rsid w:val="61F01D56"/>
    <w:rsid w:val="62012136"/>
    <w:rsid w:val="62065DEE"/>
    <w:rsid w:val="62073330"/>
    <w:rsid w:val="62117487"/>
    <w:rsid w:val="621B3775"/>
    <w:rsid w:val="62287742"/>
    <w:rsid w:val="62364782"/>
    <w:rsid w:val="62453143"/>
    <w:rsid w:val="6247242B"/>
    <w:rsid w:val="624A2B22"/>
    <w:rsid w:val="629565D6"/>
    <w:rsid w:val="62966EB6"/>
    <w:rsid w:val="629E620F"/>
    <w:rsid w:val="62B266FC"/>
    <w:rsid w:val="62CE6A89"/>
    <w:rsid w:val="62FF4946"/>
    <w:rsid w:val="630A7345"/>
    <w:rsid w:val="631511FB"/>
    <w:rsid w:val="633006D6"/>
    <w:rsid w:val="63615846"/>
    <w:rsid w:val="636269AF"/>
    <w:rsid w:val="6372210C"/>
    <w:rsid w:val="637A5D7B"/>
    <w:rsid w:val="637C4FE4"/>
    <w:rsid w:val="6380382F"/>
    <w:rsid w:val="6394356A"/>
    <w:rsid w:val="63C61B2C"/>
    <w:rsid w:val="63D40BE9"/>
    <w:rsid w:val="63ED3DF3"/>
    <w:rsid w:val="63FC6E29"/>
    <w:rsid w:val="640B266D"/>
    <w:rsid w:val="64102431"/>
    <w:rsid w:val="64276533"/>
    <w:rsid w:val="64336C2C"/>
    <w:rsid w:val="64374988"/>
    <w:rsid w:val="645371E5"/>
    <w:rsid w:val="64555006"/>
    <w:rsid w:val="64584FF4"/>
    <w:rsid w:val="6459249E"/>
    <w:rsid w:val="646D22E8"/>
    <w:rsid w:val="6484749A"/>
    <w:rsid w:val="64855C0F"/>
    <w:rsid w:val="648D794E"/>
    <w:rsid w:val="649477F5"/>
    <w:rsid w:val="64994927"/>
    <w:rsid w:val="649A6FBF"/>
    <w:rsid w:val="64A5243A"/>
    <w:rsid w:val="64B97152"/>
    <w:rsid w:val="64CD1FF5"/>
    <w:rsid w:val="64D90221"/>
    <w:rsid w:val="64E6739A"/>
    <w:rsid w:val="64EB52A1"/>
    <w:rsid w:val="64F531DE"/>
    <w:rsid w:val="650512A6"/>
    <w:rsid w:val="6505434A"/>
    <w:rsid w:val="65373578"/>
    <w:rsid w:val="65382FF4"/>
    <w:rsid w:val="653F0F40"/>
    <w:rsid w:val="65406164"/>
    <w:rsid w:val="6540655D"/>
    <w:rsid w:val="65450AE6"/>
    <w:rsid w:val="655A6209"/>
    <w:rsid w:val="6582412A"/>
    <w:rsid w:val="658579FE"/>
    <w:rsid w:val="65864EAB"/>
    <w:rsid w:val="658D56F2"/>
    <w:rsid w:val="658F239D"/>
    <w:rsid w:val="65A2572E"/>
    <w:rsid w:val="65BB44CA"/>
    <w:rsid w:val="65C9123C"/>
    <w:rsid w:val="65EF17A0"/>
    <w:rsid w:val="65FC516D"/>
    <w:rsid w:val="66177CE7"/>
    <w:rsid w:val="661C6B52"/>
    <w:rsid w:val="662C2F84"/>
    <w:rsid w:val="664570D9"/>
    <w:rsid w:val="666219E2"/>
    <w:rsid w:val="666B09FB"/>
    <w:rsid w:val="667258CB"/>
    <w:rsid w:val="66792A12"/>
    <w:rsid w:val="669427D9"/>
    <w:rsid w:val="669B4986"/>
    <w:rsid w:val="669C1802"/>
    <w:rsid w:val="669D5217"/>
    <w:rsid w:val="66AD290B"/>
    <w:rsid w:val="66B73D42"/>
    <w:rsid w:val="66BB6DD6"/>
    <w:rsid w:val="66DC6D4D"/>
    <w:rsid w:val="66F73586"/>
    <w:rsid w:val="66F92F05"/>
    <w:rsid w:val="67027FFB"/>
    <w:rsid w:val="671C2656"/>
    <w:rsid w:val="671E60CA"/>
    <w:rsid w:val="671F124A"/>
    <w:rsid w:val="67220BBC"/>
    <w:rsid w:val="67241AA7"/>
    <w:rsid w:val="67475966"/>
    <w:rsid w:val="675F7AC4"/>
    <w:rsid w:val="67656D42"/>
    <w:rsid w:val="677A33C6"/>
    <w:rsid w:val="678154F2"/>
    <w:rsid w:val="678261B8"/>
    <w:rsid w:val="6784273E"/>
    <w:rsid w:val="67847453"/>
    <w:rsid w:val="678834BD"/>
    <w:rsid w:val="67957DFD"/>
    <w:rsid w:val="6799512F"/>
    <w:rsid w:val="67AA29A7"/>
    <w:rsid w:val="67B0563A"/>
    <w:rsid w:val="67B35CFF"/>
    <w:rsid w:val="67BD0518"/>
    <w:rsid w:val="67C023A9"/>
    <w:rsid w:val="67C41CBB"/>
    <w:rsid w:val="67D02C7E"/>
    <w:rsid w:val="67DE7E23"/>
    <w:rsid w:val="67FB4C27"/>
    <w:rsid w:val="681F6961"/>
    <w:rsid w:val="6824369C"/>
    <w:rsid w:val="68420AA1"/>
    <w:rsid w:val="68610A2F"/>
    <w:rsid w:val="687A5CD7"/>
    <w:rsid w:val="687D04B4"/>
    <w:rsid w:val="68805514"/>
    <w:rsid w:val="688C4647"/>
    <w:rsid w:val="688E2E39"/>
    <w:rsid w:val="68915073"/>
    <w:rsid w:val="689D21D0"/>
    <w:rsid w:val="689E6CEA"/>
    <w:rsid w:val="68C006D4"/>
    <w:rsid w:val="68C04067"/>
    <w:rsid w:val="68C47F03"/>
    <w:rsid w:val="68D17B10"/>
    <w:rsid w:val="68D36AD6"/>
    <w:rsid w:val="68D5773D"/>
    <w:rsid w:val="68E754F1"/>
    <w:rsid w:val="68EA31C9"/>
    <w:rsid w:val="68ED7415"/>
    <w:rsid w:val="68EE56A8"/>
    <w:rsid w:val="68F25E45"/>
    <w:rsid w:val="69316E2F"/>
    <w:rsid w:val="693772C2"/>
    <w:rsid w:val="694D6C95"/>
    <w:rsid w:val="694E2071"/>
    <w:rsid w:val="696279DD"/>
    <w:rsid w:val="69687F50"/>
    <w:rsid w:val="696C56EB"/>
    <w:rsid w:val="69766163"/>
    <w:rsid w:val="69766FE4"/>
    <w:rsid w:val="697A3B33"/>
    <w:rsid w:val="69815107"/>
    <w:rsid w:val="69821E2D"/>
    <w:rsid w:val="69831701"/>
    <w:rsid w:val="698971FC"/>
    <w:rsid w:val="698A207D"/>
    <w:rsid w:val="6992608B"/>
    <w:rsid w:val="69B813AB"/>
    <w:rsid w:val="69C37D0A"/>
    <w:rsid w:val="69C86033"/>
    <w:rsid w:val="69D44760"/>
    <w:rsid w:val="69DD457F"/>
    <w:rsid w:val="69DF102E"/>
    <w:rsid w:val="69E41D48"/>
    <w:rsid w:val="69E93B36"/>
    <w:rsid w:val="69F20600"/>
    <w:rsid w:val="69FD7706"/>
    <w:rsid w:val="6A0D5EE6"/>
    <w:rsid w:val="6A1636F6"/>
    <w:rsid w:val="6A243D9B"/>
    <w:rsid w:val="6A31115D"/>
    <w:rsid w:val="6A353C76"/>
    <w:rsid w:val="6A3B6603"/>
    <w:rsid w:val="6A3B7231"/>
    <w:rsid w:val="6A3D5D54"/>
    <w:rsid w:val="6A3E56F7"/>
    <w:rsid w:val="6A403B58"/>
    <w:rsid w:val="6A497AA1"/>
    <w:rsid w:val="6A520EC7"/>
    <w:rsid w:val="6A5C442C"/>
    <w:rsid w:val="6A6B6B26"/>
    <w:rsid w:val="6A722F9A"/>
    <w:rsid w:val="6A725DDD"/>
    <w:rsid w:val="6A7C19FC"/>
    <w:rsid w:val="6A7D221E"/>
    <w:rsid w:val="6A936E33"/>
    <w:rsid w:val="6A9B2132"/>
    <w:rsid w:val="6AAC3401"/>
    <w:rsid w:val="6AC84E7A"/>
    <w:rsid w:val="6ACE1274"/>
    <w:rsid w:val="6AE25E31"/>
    <w:rsid w:val="6AF22D59"/>
    <w:rsid w:val="6AF87E20"/>
    <w:rsid w:val="6AFB6880"/>
    <w:rsid w:val="6AFD7F0C"/>
    <w:rsid w:val="6B0D4F31"/>
    <w:rsid w:val="6B176657"/>
    <w:rsid w:val="6B1B3BF9"/>
    <w:rsid w:val="6B297E9B"/>
    <w:rsid w:val="6B322639"/>
    <w:rsid w:val="6B32564D"/>
    <w:rsid w:val="6B47165C"/>
    <w:rsid w:val="6B523D45"/>
    <w:rsid w:val="6B52582F"/>
    <w:rsid w:val="6B5800FD"/>
    <w:rsid w:val="6B712CDD"/>
    <w:rsid w:val="6B7A1A9B"/>
    <w:rsid w:val="6B80414A"/>
    <w:rsid w:val="6B9419A4"/>
    <w:rsid w:val="6B981494"/>
    <w:rsid w:val="6BAA59E2"/>
    <w:rsid w:val="6BB40298"/>
    <w:rsid w:val="6BC35B2B"/>
    <w:rsid w:val="6BCC32A4"/>
    <w:rsid w:val="6BCD7F0D"/>
    <w:rsid w:val="6BE215AD"/>
    <w:rsid w:val="6BE57BD0"/>
    <w:rsid w:val="6BF32B6E"/>
    <w:rsid w:val="6BF46467"/>
    <w:rsid w:val="6C0536EA"/>
    <w:rsid w:val="6C085287"/>
    <w:rsid w:val="6C27061F"/>
    <w:rsid w:val="6C38556E"/>
    <w:rsid w:val="6C4C6F50"/>
    <w:rsid w:val="6C4E3246"/>
    <w:rsid w:val="6C636C38"/>
    <w:rsid w:val="6C6758C0"/>
    <w:rsid w:val="6C6A6E5D"/>
    <w:rsid w:val="6C7935BC"/>
    <w:rsid w:val="6C8034E5"/>
    <w:rsid w:val="6C845EBC"/>
    <w:rsid w:val="6C963990"/>
    <w:rsid w:val="6CCC24A1"/>
    <w:rsid w:val="6CEC12DD"/>
    <w:rsid w:val="6CF06E1B"/>
    <w:rsid w:val="6CF272CA"/>
    <w:rsid w:val="6CF62502"/>
    <w:rsid w:val="6CFB23FF"/>
    <w:rsid w:val="6CFC0175"/>
    <w:rsid w:val="6CFE17CB"/>
    <w:rsid w:val="6D2F2148"/>
    <w:rsid w:val="6D781B94"/>
    <w:rsid w:val="6D7C5A22"/>
    <w:rsid w:val="6D887AA2"/>
    <w:rsid w:val="6D99218A"/>
    <w:rsid w:val="6DA00AD4"/>
    <w:rsid w:val="6DB151E2"/>
    <w:rsid w:val="6DB34098"/>
    <w:rsid w:val="6DB3447D"/>
    <w:rsid w:val="6DB545B6"/>
    <w:rsid w:val="6DC41DD2"/>
    <w:rsid w:val="6DCF67B5"/>
    <w:rsid w:val="6DE02FB4"/>
    <w:rsid w:val="6E002985"/>
    <w:rsid w:val="6E14501E"/>
    <w:rsid w:val="6E2E49F3"/>
    <w:rsid w:val="6E3659C8"/>
    <w:rsid w:val="6E514CED"/>
    <w:rsid w:val="6E5A4318"/>
    <w:rsid w:val="6E793933"/>
    <w:rsid w:val="6E8B0B0E"/>
    <w:rsid w:val="6E95432E"/>
    <w:rsid w:val="6E967BE7"/>
    <w:rsid w:val="6EB563D5"/>
    <w:rsid w:val="6EB6414C"/>
    <w:rsid w:val="6EBD6817"/>
    <w:rsid w:val="6ED92677"/>
    <w:rsid w:val="6EE76BD1"/>
    <w:rsid w:val="6EEA6ECE"/>
    <w:rsid w:val="6EF87904"/>
    <w:rsid w:val="6F09453C"/>
    <w:rsid w:val="6F0D3BE7"/>
    <w:rsid w:val="6F225983"/>
    <w:rsid w:val="6F3F3AD5"/>
    <w:rsid w:val="6F433E0D"/>
    <w:rsid w:val="6F457B85"/>
    <w:rsid w:val="6F675D4D"/>
    <w:rsid w:val="6F6D48B9"/>
    <w:rsid w:val="6F6E05C3"/>
    <w:rsid w:val="6F6E6CA2"/>
    <w:rsid w:val="6F7915DC"/>
    <w:rsid w:val="6F8A09F4"/>
    <w:rsid w:val="6F917A0E"/>
    <w:rsid w:val="6FE63B07"/>
    <w:rsid w:val="6FF63884"/>
    <w:rsid w:val="6FFB6BE9"/>
    <w:rsid w:val="6FFC0070"/>
    <w:rsid w:val="6FFC5590"/>
    <w:rsid w:val="70001486"/>
    <w:rsid w:val="70057314"/>
    <w:rsid w:val="700A405F"/>
    <w:rsid w:val="701337DF"/>
    <w:rsid w:val="701B0935"/>
    <w:rsid w:val="70351F79"/>
    <w:rsid w:val="703A4106"/>
    <w:rsid w:val="704A532F"/>
    <w:rsid w:val="704A7F86"/>
    <w:rsid w:val="704F18F0"/>
    <w:rsid w:val="70502021"/>
    <w:rsid w:val="705B4B80"/>
    <w:rsid w:val="706D1DD0"/>
    <w:rsid w:val="70790236"/>
    <w:rsid w:val="708104E7"/>
    <w:rsid w:val="70856B87"/>
    <w:rsid w:val="708E7A0F"/>
    <w:rsid w:val="70A17E11"/>
    <w:rsid w:val="70CE7C8D"/>
    <w:rsid w:val="70D527EE"/>
    <w:rsid w:val="70F07074"/>
    <w:rsid w:val="70F64F61"/>
    <w:rsid w:val="70FA723B"/>
    <w:rsid w:val="70FC4273"/>
    <w:rsid w:val="70FE42A3"/>
    <w:rsid w:val="714059D6"/>
    <w:rsid w:val="715B5300"/>
    <w:rsid w:val="717A163C"/>
    <w:rsid w:val="717A6480"/>
    <w:rsid w:val="71882F16"/>
    <w:rsid w:val="718E6E1F"/>
    <w:rsid w:val="719B1193"/>
    <w:rsid w:val="71A248A1"/>
    <w:rsid w:val="71A93595"/>
    <w:rsid w:val="71B41CA9"/>
    <w:rsid w:val="71B46975"/>
    <w:rsid w:val="71C94EA2"/>
    <w:rsid w:val="71D27F8A"/>
    <w:rsid w:val="71E84583"/>
    <w:rsid w:val="721B0360"/>
    <w:rsid w:val="723C7AC6"/>
    <w:rsid w:val="724235DE"/>
    <w:rsid w:val="724C3A9C"/>
    <w:rsid w:val="72514A93"/>
    <w:rsid w:val="72553024"/>
    <w:rsid w:val="72612A0B"/>
    <w:rsid w:val="72634633"/>
    <w:rsid w:val="726F70A7"/>
    <w:rsid w:val="72883583"/>
    <w:rsid w:val="728974C3"/>
    <w:rsid w:val="729624A5"/>
    <w:rsid w:val="729C4CF2"/>
    <w:rsid w:val="72A314FA"/>
    <w:rsid w:val="72AF001C"/>
    <w:rsid w:val="72B34E61"/>
    <w:rsid w:val="72B868C0"/>
    <w:rsid w:val="72D73EF6"/>
    <w:rsid w:val="72DC6EDB"/>
    <w:rsid w:val="72DF4E7F"/>
    <w:rsid w:val="72E8679E"/>
    <w:rsid w:val="72E954EE"/>
    <w:rsid w:val="72F86D8D"/>
    <w:rsid w:val="73122968"/>
    <w:rsid w:val="7315161C"/>
    <w:rsid w:val="731F5D5E"/>
    <w:rsid w:val="732F5959"/>
    <w:rsid w:val="733028FA"/>
    <w:rsid w:val="73412411"/>
    <w:rsid w:val="734168B5"/>
    <w:rsid w:val="73465C7A"/>
    <w:rsid w:val="73532842"/>
    <w:rsid w:val="73552A46"/>
    <w:rsid w:val="73763DFC"/>
    <w:rsid w:val="738526B4"/>
    <w:rsid w:val="73A06665"/>
    <w:rsid w:val="73A27229"/>
    <w:rsid w:val="73A7531A"/>
    <w:rsid w:val="73B115BF"/>
    <w:rsid w:val="73B800DD"/>
    <w:rsid w:val="73C51AD5"/>
    <w:rsid w:val="73D3791E"/>
    <w:rsid w:val="73D4230A"/>
    <w:rsid w:val="73DA1821"/>
    <w:rsid w:val="740A6CA7"/>
    <w:rsid w:val="741E793C"/>
    <w:rsid w:val="74253FA2"/>
    <w:rsid w:val="74471CA9"/>
    <w:rsid w:val="745E3944"/>
    <w:rsid w:val="745E6FF3"/>
    <w:rsid w:val="746C1523"/>
    <w:rsid w:val="7487397A"/>
    <w:rsid w:val="74BB0037"/>
    <w:rsid w:val="74BD28F7"/>
    <w:rsid w:val="74CD044A"/>
    <w:rsid w:val="74CF1873"/>
    <w:rsid w:val="74E97AAC"/>
    <w:rsid w:val="74EB75B6"/>
    <w:rsid w:val="74FD0501"/>
    <w:rsid w:val="75052D18"/>
    <w:rsid w:val="750E0F94"/>
    <w:rsid w:val="75297777"/>
    <w:rsid w:val="75376D3C"/>
    <w:rsid w:val="754025BF"/>
    <w:rsid w:val="75550420"/>
    <w:rsid w:val="75580B68"/>
    <w:rsid w:val="75742828"/>
    <w:rsid w:val="757531AD"/>
    <w:rsid w:val="757A6A57"/>
    <w:rsid w:val="757B6E0E"/>
    <w:rsid w:val="75815E4A"/>
    <w:rsid w:val="75915B3B"/>
    <w:rsid w:val="75A54C36"/>
    <w:rsid w:val="75E07DEA"/>
    <w:rsid w:val="75ED4AD2"/>
    <w:rsid w:val="75F73F89"/>
    <w:rsid w:val="76206C56"/>
    <w:rsid w:val="762140DE"/>
    <w:rsid w:val="7635099D"/>
    <w:rsid w:val="763C0A95"/>
    <w:rsid w:val="764D4466"/>
    <w:rsid w:val="766B04BE"/>
    <w:rsid w:val="7679296C"/>
    <w:rsid w:val="76AB2D8D"/>
    <w:rsid w:val="76B5715E"/>
    <w:rsid w:val="76C02D4F"/>
    <w:rsid w:val="76DE41F1"/>
    <w:rsid w:val="76E71B10"/>
    <w:rsid w:val="76FA0DD4"/>
    <w:rsid w:val="76FD6F97"/>
    <w:rsid w:val="771028F5"/>
    <w:rsid w:val="771A4456"/>
    <w:rsid w:val="771C4622"/>
    <w:rsid w:val="77262C2A"/>
    <w:rsid w:val="776A2EB0"/>
    <w:rsid w:val="77762421"/>
    <w:rsid w:val="777E00C3"/>
    <w:rsid w:val="778A38E9"/>
    <w:rsid w:val="7790064A"/>
    <w:rsid w:val="77B22A41"/>
    <w:rsid w:val="77B56B1F"/>
    <w:rsid w:val="77C5780E"/>
    <w:rsid w:val="77ED33A3"/>
    <w:rsid w:val="77F23F2C"/>
    <w:rsid w:val="77F8275B"/>
    <w:rsid w:val="7808157C"/>
    <w:rsid w:val="780F09F4"/>
    <w:rsid w:val="786C6E8A"/>
    <w:rsid w:val="787D038F"/>
    <w:rsid w:val="78830352"/>
    <w:rsid w:val="78850F74"/>
    <w:rsid w:val="78A15E9B"/>
    <w:rsid w:val="78A6597F"/>
    <w:rsid w:val="78A90480"/>
    <w:rsid w:val="78A92BAD"/>
    <w:rsid w:val="78AA6CAB"/>
    <w:rsid w:val="78B2790D"/>
    <w:rsid w:val="78BE6326"/>
    <w:rsid w:val="78C054A7"/>
    <w:rsid w:val="78E124D5"/>
    <w:rsid w:val="78F362FD"/>
    <w:rsid w:val="791C31CA"/>
    <w:rsid w:val="79456B36"/>
    <w:rsid w:val="794B2E20"/>
    <w:rsid w:val="79607369"/>
    <w:rsid w:val="798B00E4"/>
    <w:rsid w:val="798B7149"/>
    <w:rsid w:val="798D1378"/>
    <w:rsid w:val="79946D25"/>
    <w:rsid w:val="79974691"/>
    <w:rsid w:val="79A67472"/>
    <w:rsid w:val="79BA4CCB"/>
    <w:rsid w:val="79D37ED2"/>
    <w:rsid w:val="79D66ACB"/>
    <w:rsid w:val="79DC7CBF"/>
    <w:rsid w:val="79EB59A2"/>
    <w:rsid w:val="79F13086"/>
    <w:rsid w:val="79F35279"/>
    <w:rsid w:val="7A096131"/>
    <w:rsid w:val="7A0C60AF"/>
    <w:rsid w:val="7A364017"/>
    <w:rsid w:val="7A57156E"/>
    <w:rsid w:val="7A604E8D"/>
    <w:rsid w:val="7A6A10E2"/>
    <w:rsid w:val="7A7672D8"/>
    <w:rsid w:val="7A8265E1"/>
    <w:rsid w:val="7A8279C3"/>
    <w:rsid w:val="7A965738"/>
    <w:rsid w:val="7A973668"/>
    <w:rsid w:val="7ABA1076"/>
    <w:rsid w:val="7ABE07EB"/>
    <w:rsid w:val="7ACF4BC8"/>
    <w:rsid w:val="7ADA1B03"/>
    <w:rsid w:val="7AEE3815"/>
    <w:rsid w:val="7AF4685B"/>
    <w:rsid w:val="7B162E06"/>
    <w:rsid w:val="7B252612"/>
    <w:rsid w:val="7B312D12"/>
    <w:rsid w:val="7B32428B"/>
    <w:rsid w:val="7B3A1BF7"/>
    <w:rsid w:val="7B5C4D4D"/>
    <w:rsid w:val="7B5C7D02"/>
    <w:rsid w:val="7B5F6966"/>
    <w:rsid w:val="7B686D42"/>
    <w:rsid w:val="7B762E74"/>
    <w:rsid w:val="7B7B4275"/>
    <w:rsid w:val="7B841746"/>
    <w:rsid w:val="7BDE750D"/>
    <w:rsid w:val="7BE47B85"/>
    <w:rsid w:val="7BEC1198"/>
    <w:rsid w:val="7C045A85"/>
    <w:rsid w:val="7C105031"/>
    <w:rsid w:val="7C15363D"/>
    <w:rsid w:val="7C1D1542"/>
    <w:rsid w:val="7C1D7794"/>
    <w:rsid w:val="7C4D776D"/>
    <w:rsid w:val="7C535EE0"/>
    <w:rsid w:val="7C5E34B8"/>
    <w:rsid w:val="7C6C5AC7"/>
    <w:rsid w:val="7C6E0CB7"/>
    <w:rsid w:val="7C716A88"/>
    <w:rsid w:val="7C8166E2"/>
    <w:rsid w:val="7C8347EA"/>
    <w:rsid w:val="7C835849"/>
    <w:rsid w:val="7C905799"/>
    <w:rsid w:val="7C9855E2"/>
    <w:rsid w:val="7CC33E38"/>
    <w:rsid w:val="7CC6544B"/>
    <w:rsid w:val="7CDA3824"/>
    <w:rsid w:val="7CE01DF9"/>
    <w:rsid w:val="7CE81240"/>
    <w:rsid w:val="7CEF62FD"/>
    <w:rsid w:val="7CF51831"/>
    <w:rsid w:val="7CFB0CD2"/>
    <w:rsid w:val="7D0239FF"/>
    <w:rsid w:val="7D176A41"/>
    <w:rsid w:val="7D2B0CA7"/>
    <w:rsid w:val="7D441CBC"/>
    <w:rsid w:val="7D5611AF"/>
    <w:rsid w:val="7D562D74"/>
    <w:rsid w:val="7D5E40CD"/>
    <w:rsid w:val="7D68395A"/>
    <w:rsid w:val="7D751E6F"/>
    <w:rsid w:val="7D7B6AE5"/>
    <w:rsid w:val="7D8555F0"/>
    <w:rsid w:val="7D890A9A"/>
    <w:rsid w:val="7D8A0E59"/>
    <w:rsid w:val="7D9F4FAC"/>
    <w:rsid w:val="7DA26934"/>
    <w:rsid w:val="7DAD14CF"/>
    <w:rsid w:val="7DCC75B9"/>
    <w:rsid w:val="7DCD56F2"/>
    <w:rsid w:val="7DDE31B9"/>
    <w:rsid w:val="7DDF51DB"/>
    <w:rsid w:val="7DF37D78"/>
    <w:rsid w:val="7DFE2FAC"/>
    <w:rsid w:val="7E061F65"/>
    <w:rsid w:val="7E06502C"/>
    <w:rsid w:val="7E2748F9"/>
    <w:rsid w:val="7E2D36EC"/>
    <w:rsid w:val="7E3200C4"/>
    <w:rsid w:val="7E490D14"/>
    <w:rsid w:val="7E5A1AEB"/>
    <w:rsid w:val="7E7B6E1F"/>
    <w:rsid w:val="7E927B47"/>
    <w:rsid w:val="7EC27F71"/>
    <w:rsid w:val="7EDB3F5C"/>
    <w:rsid w:val="7EED45ED"/>
    <w:rsid w:val="7EEF5FAD"/>
    <w:rsid w:val="7F001CE7"/>
    <w:rsid w:val="7F0305EB"/>
    <w:rsid w:val="7F196675"/>
    <w:rsid w:val="7F337740"/>
    <w:rsid w:val="7F473F79"/>
    <w:rsid w:val="7F573CAC"/>
    <w:rsid w:val="7F907D51"/>
    <w:rsid w:val="7F9C3D26"/>
    <w:rsid w:val="7FA47887"/>
    <w:rsid w:val="7FB46D62"/>
    <w:rsid w:val="7FC27B37"/>
    <w:rsid w:val="7FD73A6D"/>
    <w:rsid w:val="7FE138D8"/>
    <w:rsid w:val="7FE47E50"/>
    <w:rsid w:val="7FED5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semiHidden="0" w:name="heading 2" w:locked="1"/>
    <w:lsdException w:qFormat="1" w:uiPriority="9" w:semiHidden="0" w:name="heading 3" w:locked="1"/>
    <w:lsdException w:qFormat="1" w:unhideWhenUsed="0" w:uiPriority="9" w:semiHidden="0" w:name="heading 4" w:locked="1"/>
    <w:lsdException w:qFormat="1" w:uiPriority="0" w:name="heading 5" w:locked="1"/>
    <w:lsdException w:qFormat="1" w:unhideWhenUsed="0" w:uiPriority="0" w:semiHidden="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qFormat="1" w:uiPriority="39"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ocked="1"/>
    <w:lsdException w:qFormat="1" w:unhideWhenUsed="0" w:uiPriority="0" w:semiHidden="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qFormat="1"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qFormat="1" w:uiPriority="99"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0" w:semiHidden="0" w:name="Hyperlink" w:locked="1"/>
    <w:lsdException w:unhideWhenUsed="0" w:uiPriority="0" w:semiHidden="0" w:name="FollowedHyperlink" w:locked="1"/>
    <w:lsdException w:qFormat="1" w:unhideWhenUsed="0" w:uiPriority="22"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99"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99"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sdException w:qFormat="1" w:unhideWhenUsed="0" w:uiPriority="0" w:semiHidden="0" w:name="Table Grid"/>
    <w:lsdException w:uiPriority="0" w:name="Table Theme" w:locked="1"/>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2"/>
    <w:basedOn w:val="1"/>
    <w:next w:val="1"/>
    <w:link w:val="89"/>
    <w:unhideWhenUsed/>
    <w:qFormat/>
    <w:locked/>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5"/>
    <w:link w:val="90"/>
    <w:unhideWhenUsed/>
    <w:qFormat/>
    <w:locked/>
    <w:uiPriority w:val="9"/>
    <w:pPr>
      <w:keepNext/>
      <w:keepLines/>
      <w:spacing w:before="260" w:after="260" w:line="416" w:lineRule="auto"/>
      <w:outlineLvl w:val="2"/>
    </w:pPr>
    <w:rPr>
      <w:b/>
      <w:bCs/>
      <w:sz w:val="32"/>
      <w:szCs w:val="32"/>
    </w:rPr>
  </w:style>
  <w:style w:type="paragraph" w:styleId="8">
    <w:name w:val="heading 4"/>
    <w:next w:val="1"/>
    <w:link w:val="91"/>
    <w:qFormat/>
    <w:locked/>
    <w:uiPriority w:val="9"/>
    <w:pPr>
      <w:keepNext/>
      <w:keepLines/>
      <w:adjustRightInd w:val="0"/>
      <w:spacing w:before="156" w:beforeLines="50" w:line="360" w:lineRule="auto"/>
      <w:ind w:left="837" w:hanging="411"/>
      <w:outlineLvl w:val="3"/>
    </w:pPr>
    <w:rPr>
      <w:rFonts w:ascii="Times New Roman" w:hAnsi="宋体" w:eastAsia="黑体" w:cs="宋体"/>
      <w:bCs/>
      <w:kern w:val="2"/>
      <w:sz w:val="24"/>
      <w:szCs w:val="24"/>
      <w:lang w:val="en-US" w:eastAsia="zh-CN" w:bidi="ar-SA"/>
    </w:rPr>
  </w:style>
  <w:style w:type="paragraph" w:styleId="9">
    <w:name w:val="heading 6"/>
    <w:basedOn w:val="1"/>
    <w:next w:val="1"/>
    <w:qFormat/>
    <w:locked/>
    <w:uiPriority w:val="0"/>
    <w:pPr>
      <w:numPr>
        <w:ilvl w:val="5"/>
        <w:numId w:val="1"/>
      </w:numPr>
      <w:tabs>
        <w:tab w:val="left" w:pos="1152"/>
      </w:tabs>
      <w:adjustRightInd w:val="0"/>
      <w:outlineLvl w:val="5"/>
    </w:pPr>
    <w:rPr>
      <w:bCs/>
      <w:kern w:val="0"/>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locked/>
    <w:uiPriority w:val="0"/>
    <w:pPr>
      <w:adjustRightInd w:val="0"/>
      <w:spacing w:line="480" w:lineRule="exact"/>
      <w:ind w:firstLine="480" w:firstLineChars="200"/>
      <w:textAlignment w:val="baseline"/>
    </w:pPr>
    <w:rPr>
      <w:kern w:val="0"/>
      <w:sz w:val="24"/>
    </w:rPr>
  </w:style>
  <w:style w:type="paragraph" w:styleId="6">
    <w:name w:val="Body Text First Indent 2"/>
    <w:basedOn w:val="7"/>
    <w:next w:val="1"/>
    <w:link w:val="52"/>
    <w:qFormat/>
    <w:locked/>
    <w:uiPriority w:val="0"/>
    <w:pPr>
      <w:ind w:firstLine="420" w:firstLineChars="200"/>
    </w:pPr>
    <w:rPr>
      <w:kern w:val="2"/>
      <w:sz w:val="21"/>
      <w:szCs w:val="24"/>
    </w:rPr>
  </w:style>
  <w:style w:type="paragraph" w:styleId="7">
    <w:name w:val="Body Text Indent"/>
    <w:basedOn w:val="1"/>
    <w:next w:val="6"/>
    <w:link w:val="49"/>
    <w:qFormat/>
    <w:uiPriority w:val="0"/>
    <w:pPr>
      <w:spacing w:after="120"/>
      <w:ind w:left="420" w:leftChars="200"/>
    </w:pPr>
    <w:rPr>
      <w:kern w:val="0"/>
      <w:sz w:val="24"/>
      <w:szCs w:val="20"/>
    </w:rPr>
  </w:style>
  <w:style w:type="paragraph" w:styleId="10">
    <w:name w:val="caption"/>
    <w:basedOn w:val="1"/>
    <w:next w:val="1"/>
    <w:qFormat/>
    <w:locked/>
    <w:uiPriority w:val="0"/>
    <w:pPr>
      <w:spacing w:before="152" w:after="160"/>
    </w:pPr>
    <w:rPr>
      <w:rFonts w:ascii="Arial" w:hAnsi="Arial" w:eastAsia="黑体"/>
      <w:sz w:val="28"/>
      <w:szCs w:val="20"/>
    </w:rPr>
  </w:style>
  <w:style w:type="paragraph" w:styleId="11">
    <w:name w:val="annotation text"/>
    <w:basedOn w:val="1"/>
    <w:link w:val="41"/>
    <w:semiHidden/>
    <w:qFormat/>
    <w:uiPriority w:val="0"/>
    <w:pPr>
      <w:jc w:val="left"/>
    </w:pPr>
    <w:rPr>
      <w:kern w:val="0"/>
      <w:sz w:val="24"/>
      <w:szCs w:val="20"/>
    </w:rPr>
  </w:style>
  <w:style w:type="paragraph" w:styleId="12">
    <w:name w:val="Body Text"/>
    <w:basedOn w:val="1"/>
    <w:next w:val="13"/>
    <w:link w:val="40"/>
    <w:qFormat/>
    <w:uiPriority w:val="0"/>
    <w:pPr>
      <w:widowControl/>
      <w:snapToGrid w:val="0"/>
      <w:spacing w:before="60" w:after="160" w:line="259" w:lineRule="auto"/>
      <w:ind w:right="113"/>
    </w:pPr>
    <w:rPr>
      <w:kern w:val="0"/>
      <w:sz w:val="18"/>
      <w:szCs w:val="20"/>
    </w:rPr>
  </w:style>
  <w:style w:type="paragraph" w:styleId="13">
    <w:name w:val="Body Text 2"/>
    <w:basedOn w:val="1"/>
    <w:link w:val="54"/>
    <w:unhideWhenUsed/>
    <w:qFormat/>
    <w:locked/>
    <w:uiPriority w:val="99"/>
    <w:pPr>
      <w:spacing w:after="120" w:line="480" w:lineRule="auto"/>
    </w:pPr>
  </w:style>
  <w:style w:type="paragraph" w:styleId="14">
    <w:name w:val="Plain Text"/>
    <w:basedOn w:val="1"/>
    <w:link w:val="82"/>
    <w:qFormat/>
    <w:locked/>
    <w:uiPriority w:val="0"/>
    <w:pPr>
      <w:adjustRightInd w:val="0"/>
      <w:snapToGrid w:val="0"/>
      <w:jc w:val="center"/>
      <w:textAlignment w:val="baseline"/>
    </w:pPr>
    <w:rPr>
      <w:kern w:val="0"/>
      <w:szCs w:val="20"/>
      <w:lang w:eastAsia="en-US"/>
    </w:rPr>
  </w:style>
  <w:style w:type="paragraph" w:styleId="15">
    <w:name w:val="Date"/>
    <w:basedOn w:val="1"/>
    <w:next w:val="1"/>
    <w:link w:val="36"/>
    <w:qFormat/>
    <w:uiPriority w:val="0"/>
    <w:pPr>
      <w:ind w:left="100" w:leftChars="2500"/>
    </w:pPr>
    <w:rPr>
      <w:kern w:val="0"/>
      <w:sz w:val="24"/>
      <w:szCs w:val="20"/>
    </w:rPr>
  </w:style>
  <w:style w:type="paragraph" w:styleId="16">
    <w:name w:val="Balloon Text"/>
    <w:basedOn w:val="1"/>
    <w:link w:val="45"/>
    <w:semiHidden/>
    <w:qFormat/>
    <w:uiPriority w:val="0"/>
    <w:rPr>
      <w:kern w:val="0"/>
      <w:sz w:val="18"/>
      <w:szCs w:val="20"/>
    </w:rPr>
  </w:style>
  <w:style w:type="paragraph" w:styleId="17">
    <w:name w:val="footer"/>
    <w:basedOn w:val="1"/>
    <w:link w:val="35"/>
    <w:qFormat/>
    <w:uiPriority w:val="99"/>
    <w:pPr>
      <w:tabs>
        <w:tab w:val="center" w:pos="4153"/>
        <w:tab w:val="right" w:pos="8306"/>
      </w:tabs>
      <w:snapToGrid w:val="0"/>
      <w:jc w:val="left"/>
    </w:pPr>
    <w:rPr>
      <w:kern w:val="0"/>
      <w:sz w:val="18"/>
      <w:szCs w:val="20"/>
    </w:rPr>
  </w:style>
  <w:style w:type="paragraph" w:styleId="18">
    <w:name w:val="header"/>
    <w:basedOn w:val="1"/>
    <w:link w:val="47"/>
    <w:qFormat/>
    <w:uiPriority w:val="99"/>
    <w:pPr>
      <w:pBdr>
        <w:bottom w:val="single" w:color="auto" w:sz="6" w:space="1"/>
      </w:pBdr>
      <w:tabs>
        <w:tab w:val="center" w:pos="4153"/>
        <w:tab w:val="right" w:pos="8306"/>
      </w:tabs>
      <w:snapToGrid w:val="0"/>
      <w:jc w:val="center"/>
    </w:pPr>
    <w:rPr>
      <w:kern w:val="0"/>
      <w:sz w:val="18"/>
      <w:szCs w:val="20"/>
    </w:rPr>
  </w:style>
  <w:style w:type="paragraph" w:styleId="19">
    <w:name w:val="toc 4"/>
    <w:basedOn w:val="1"/>
    <w:next w:val="1"/>
    <w:unhideWhenUsed/>
    <w:qFormat/>
    <w:locked/>
    <w:uiPriority w:val="39"/>
    <w:pPr>
      <w:ind w:left="1260" w:leftChars="600"/>
    </w:pPr>
  </w:style>
  <w:style w:type="paragraph" w:styleId="20">
    <w:name w:val="List"/>
    <w:basedOn w:val="1"/>
    <w:next w:val="1"/>
    <w:qFormat/>
    <w:locked/>
    <w:uiPriority w:val="0"/>
    <w:pPr>
      <w:tabs>
        <w:tab w:val="left" w:pos="560"/>
      </w:tabs>
      <w:adjustRightInd w:val="0"/>
      <w:snapToGrid w:val="0"/>
      <w:jc w:val="center"/>
    </w:pPr>
    <w:rPr>
      <w:b/>
      <w:spacing w:val="6"/>
      <w:kern w:val="24"/>
      <w:szCs w:val="20"/>
    </w:rPr>
  </w:style>
  <w:style w:type="paragraph" w:styleId="21">
    <w:name w:val="Normal (Web)"/>
    <w:basedOn w:val="1"/>
    <w:link w:val="38"/>
    <w:qFormat/>
    <w:uiPriority w:val="99"/>
    <w:pPr>
      <w:widowControl/>
      <w:spacing w:before="100" w:beforeAutospacing="1" w:after="100" w:afterAutospacing="1"/>
      <w:jc w:val="left"/>
    </w:pPr>
    <w:rPr>
      <w:rFonts w:ascii="宋体" w:hAnsi="宋体"/>
      <w:kern w:val="0"/>
      <w:sz w:val="24"/>
      <w:szCs w:val="20"/>
    </w:rPr>
  </w:style>
  <w:style w:type="paragraph" w:styleId="22">
    <w:name w:val="annotation subject"/>
    <w:basedOn w:val="11"/>
    <w:next w:val="11"/>
    <w:link w:val="46"/>
    <w:semiHidden/>
    <w:qFormat/>
    <w:uiPriority w:val="99"/>
    <w:rPr>
      <w:b/>
    </w:rPr>
  </w:style>
  <w:style w:type="paragraph" w:styleId="23">
    <w:name w:val="Body Text First Indent"/>
    <w:basedOn w:val="12"/>
    <w:qFormat/>
    <w:locked/>
    <w:uiPriority w:val="0"/>
    <w:pPr>
      <w:spacing w:after="120"/>
      <w:ind w:firstLine="420" w:firstLineChars="100"/>
    </w:pPr>
    <w:rPr>
      <w:sz w:val="21"/>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locked/>
    <w:uiPriority w:val="22"/>
    <w:rPr>
      <w:b/>
      <w:bCs/>
    </w:rPr>
  </w:style>
  <w:style w:type="character" w:styleId="28">
    <w:name w:val="page number"/>
    <w:basedOn w:val="26"/>
    <w:qFormat/>
    <w:locked/>
    <w:uiPriority w:val="0"/>
  </w:style>
  <w:style w:type="character" w:styleId="29">
    <w:name w:val="Emphasis"/>
    <w:qFormat/>
    <w:locked/>
    <w:uiPriority w:val="0"/>
    <w:rPr>
      <w:i/>
      <w:iCs/>
    </w:rPr>
  </w:style>
  <w:style w:type="character" w:styleId="30">
    <w:name w:val="Hyperlink"/>
    <w:basedOn w:val="26"/>
    <w:qFormat/>
    <w:locked/>
    <w:uiPriority w:val="0"/>
    <w:rPr>
      <w:color w:val="0000FF"/>
      <w:u w:val="single"/>
    </w:rPr>
  </w:style>
  <w:style w:type="character" w:styleId="31">
    <w:name w:val="annotation reference"/>
    <w:basedOn w:val="26"/>
    <w:semiHidden/>
    <w:qFormat/>
    <w:uiPriority w:val="0"/>
    <w:rPr>
      <w:sz w:val="21"/>
    </w:rPr>
  </w:style>
  <w:style w:type="paragraph" w:customStyle="1" w:styleId="32">
    <w:name w:val="Default"/>
    <w:basedOn w:val="33"/>
    <w:qFormat/>
    <w:uiPriority w:val="0"/>
    <w:pPr>
      <w:autoSpaceDE w:val="0"/>
      <w:autoSpaceDN w:val="0"/>
    </w:pPr>
    <w:rPr>
      <w:rFonts w:ascii="宋体" w:hAnsi="Calibri" w:cs="宋体"/>
      <w:sz w:val="24"/>
      <w:szCs w:val="24"/>
    </w:rPr>
  </w:style>
  <w:style w:type="paragraph" w:customStyle="1" w:styleId="33">
    <w:name w:val="1 表头"/>
    <w:basedOn w:val="1"/>
    <w:qFormat/>
    <w:uiPriority w:val="0"/>
    <w:pPr>
      <w:adjustRightInd w:val="0"/>
      <w:snapToGrid w:val="0"/>
      <w:jc w:val="center"/>
    </w:pPr>
    <w:rPr>
      <w:b/>
      <w:color w:val="000000"/>
      <w:szCs w:val="21"/>
    </w:rPr>
  </w:style>
  <w:style w:type="paragraph" w:customStyle="1" w:styleId="34">
    <w:name w:val="Char Char Char"/>
    <w:basedOn w:val="1"/>
    <w:qFormat/>
    <w:uiPriority w:val="0"/>
  </w:style>
  <w:style w:type="character" w:customStyle="1" w:styleId="35">
    <w:name w:val="页脚 字符1"/>
    <w:link w:val="17"/>
    <w:qFormat/>
    <w:locked/>
    <w:uiPriority w:val="99"/>
    <w:rPr>
      <w:sz w:val="18"/>
    </w:rPr>
  </w:style>
  <w:style w:type="character" w:customStyle="1" w:styleId="36">
    <w:name w:val="日期 字符1"/>
    <w:link w:val="15"/>
    <w:qFormat/>
    <w:locked/>
    <w:uiPriority w:val="0"/>
    <w:rPr>
      <w:rFonts w:ascii="Times New Roman" w:hAnsi="Times New Roman" w:eastAsia="宋体"/>
      <w:sz w:val="24"/>
    </w:rPr>
  </w:style>
  <w:style w:type="character" w:customStyle="1" w:styleId="37">
    <w:name w:val="页脚 字符"/>
    <w:basedOn w:val="26"/>
    <w:qFormat/>
    <w:uiPriority w:val="99"/>
  </w:style>
  <w:style w:type="character" w:customStyle="1" w:styleId="38">
    <w:name w:val="普通(网站) 字符"/>
    <w:link w:val="21"/>
    <w:qFormat/>
    <w:locked/>
    <w:uiPriority w:val="0"/>
    <w:rPr>
      <w:rFonts w:ascii="宋体" w:hAnsi="宋体" w:eastAsia="宋体"/>
      <w:sz w:val="24"/>
    </w:rPr>
  </w:style>
  <w:style w:type="character" w:customStyle="1" w:styleId="39">
    <w:name w:val="正文文本 字符1"/>
    <w:semiHidden/>
    <w:qFormat/>
    <w:uiPriority w:val="0"/>
    <w:rPr>
      <w:rFonts w:ascii="Times New Roman" w:hAnsi="Times New Roman" w:eastAsia="宋体"/>
      <w:sz w:val="24"/>
    </w:rPr>
  </w:style>
  <w:style w:type="character" w:customStyle="1" w:styleId="40">
    <w:name w:val="正文文本 字符"/>
    <w:link w:val="12"/>
    <w:qFormat/>
    <w:locked/>
    <w:uiPriority w:val="0"/>
    <w:rPr>
      <w:sz w:val="18"/>
    </w:rPr>
  </w:style>
  <w:style w:type="character" w:customStyle="1" w:styleId="41">
    <w:name w:val="批注文字 字符"/>
    <w:link w:val="11"/>
    <w:qFormat/>
    <w:locked/>
    <w:uiPriority w:val="0"/>
    <w:rPr>
      <w:rFonts w:ascii="Times New Roman" w:hAnsi="Times New Roman" w:eastAsia="宋体"/>
      <w:sz w:val="24"/>
    </w:rPr>
  </w:style>
  <w:style w:type="character" w:customStyle="1" w:styleId="42">
    <w:name w:val="表格 Char"/>
    <w:link w:val="43"/>
    <w:qFormat/>
    <w:locked/>
    <w:uiPriority w:val="0"/>
    <w:rPr>
      <w:rFonts w:ascii="宋体"/>
      <w:sz w:val="21"/>
    </w:rPr>
  </w:style>
  <w:style w:type="paragraph" w:customStyle="1" w:styleId="43">
    <w:name w:val="表格"/>
    <w:basedOn w:val="1"/>
    <w:next w:val="1"/>
    <w:link w:val="42"/>
    <w:qFormat/>
    <w:uiPriority w:val="0"/>
    <w:pPr>
      <w:adjustRightInd w:val="0"/>
      <w:snapToGrid w:val="0"/>
      <w:spacing w:beforeLines="10" w:afterLines="10" w:line="259" w:lineRule="auto"/>
      <w:jc w:val="center"/>
    </w:pPr>
    <w:rPr>
      <w:rFonts w:ascii="宋体"/>
      <w:kern w:val="0"/>
      <w:szCs w:val="20"/>
    </w:rPr>
  </w:style>
  <w:style w:type="character" w:customStyle="1" w:styleId="44">
    <w:name w:val="日期 字符"/>
    <w:semiHidden/>
    <w:qFormat/>
    <w:uiPriority w:val="0"/>
    <w:rPr>
      <w:rFonts w:ascii="Times New Roman" w:hAnsi="Times New Roman" w:eastAsia="宋体"/>
      <w:sz w:val="24"/>
    </w:rPr>
  </w:style>
  <w:style w:type="character" w:customStyle="1" w:styleId="45">
    <w:name w:val="批注框文本 字符"/>
    <w:link w:val="16"/>
    <w:semiHidden/>
    <w:qFormat/>
    <w:locked/>
    <w:uiPriority w:val="0"/>
    <w:rPr>
      <w:rFonts w:ascii="Times New Roman" w:hAnsi="Times New Roman" w:eastAsia="宋体"/>
      <w:sz w:val="18"/>
    </w:rPr>
  </w:style>
  <w:style w:type="character" w:customStyle="1" w:styleId="46">
    <w:name w:val="批注主题 字符"/>
    <w:link w:val="22"/>
    <w:semiHidden/>
    <w:qFormat/>
    <w:locked/>
    <w:uiPriority w:val="99"/>
    <w:rPr>
      <w:rFonts w:ascii="Times New Roman" w:hAnsi="Times New Roman" w:eastAsia="宋体"/>
      <w:b/>
      <w:kern w:val="2"/>
      <w:sz w:val="24"/>
    </w:rPr>
  </w:style>
  <w:style w:type="character" w:customStyle="1" w:styleId="47">
    <w:name w:val="页眉 字符"/>
    <w:link w:val="18"/>
    <w:qFormat/>
    <w:locked/>
    <w:uiPriority w:val="99"/>
    <w:rPr>
      <w:sz w:val="18"/>
    </w:rPr>
  </w:style>
  <w:style w:type="character" w:customStyle="1" w:styleId="48">
    <w:name w:val="批注文字 字符1"/>
    <w:semiHidden/>
    <w:qFormat/>
    <w:uiPriority w:val="0"/>
    <w:rPr>
      <w:rFonts w:ascii="Times New Roman" w:hAnsi="Times New Roman" w:eastAsia="宋体"/>
      <w:sz w:val="24"/>
    </w:rPr>
  </w:style>
  <w:style w:type="character" w:customStyle="1" w:styleId="49">
    <w:name w:val="正文文本缩进 字符"/>
    <w:link w:val="7"/>
    <w:semiHidden/>
    <w:qFormat/>
    <w:locked/>
    <w:uiPriority w:val="0"/>
    <w:rPr>
      <w:rFonts w:ascii="Times New Roman" w:hAnsi="Times New Roman" w:eastAsia="宋体"/>
      <w:sz w:val="24"/>
    </w:rPr>
  </w:style>
  <w:style w:type="paragraph" w:customStyle="1" w:styleId="50">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
    <w:name w:val="普通(网站)2"/>
    <w:basedOn w:val="1"/>
    <w:qFormat/>
    <w:uiPriority w:val="0"/>
    <w:pPr>
      <w:widowControl/>
      <w:spacing w:before="100" w:beforeAutospacing="1" w:after="100" w:afterAutospacing="1"/>
      <w:jc w:val="left"/>
    </w:pPr>
    <w:rPr>
      <w:rFonts w:ascii="宋体" w:hAnsi="宋体"/>
      <w:sz w:val="24"/>
      <w:szCs w:val="20"/>
    </w:rPr>
  </w:style>
  <w:style w:type="character" w:customStyle="1" w:styleId="52">
    <w:name w:val="正文文本首行缩进 2 字符"/>
    <w:link w:val="6"/>
    <w:qFormat/>
    <w:uiPriority w:val="0"/>
    <w:rPr>
      <w:rFonts w:ascii="Times New Roman" w:hAnsi="Times New Roman" w:eastAsia="宋体"/>
      <w:kern w:val="2"/>
      <w:sz w:val="21"/>
      <w:szCs w:val="24"/>
    </w:rPr>
  </w:style>
  <w:style w:type="paragraph" w:customStyle="1" w:styleId="53">
    <w:name w:val="正文(首行缩进)"/>
    <w:basedOn w:val="1"/>
    <w:next w:val="3"/>
    <w:qFormat/>
    <w:uiPriority w:val="0"/>
    <w:pPr>
      <w:spacing w:line="360" w:lineRule="auto"/>
      <w:ind w:firstLine="540" w:firstLineChars="225"/>
    </w:pPr>
    <w:rPr>
      <w:snapToGrid w:val="0"/>
      <w:color w:val="000000"/>
      <w:kern w:val="0"/>
      <w:sz w:val="24"/>
    </w:rPr>
  </w:style>
  <w:style w:type="character" w:customStyle="1" w:styleId="54">
    <w:name w:val="正文文本 2 字符"/>
    <w:link w:val="13"/>
    <w:qFormat/>
    <w:uiPriority w:val="99"/>
    <w:rPr>
      <w:kern w:val="2"/>
      <w:sz w:val="21"/>
      <w:szCs w:val="24"/>
    </w:rPr>
  </w:style>
  <w:style w:type="paragraph" w:customStyle="1" w:styleId="55">
    <w:name w:val="ZB-报告书正文"/>
    <w:basedOn w:val="1"/>
    <w:link w:val="56"/>
    <w:qFormat/>
    <w:uiPriority w:val="0"/>
    <w:pPr>
      <w:widowControl/>
      <w:adjustRightInd w:val="0"/>
      <w:snapToGrid w:val="0"/>
      <w:spacing w:line="360" w:lineRule="auto"/>
      <w:ind w:firstLine="200" w:firstLineChars="200"/>
      <w:jc w:val="left"/>
    </w:pPr>
    <w:rPr>
      <w:kern w:val="0"/>
      <w:sz w:val="24"/>
      <w:lang w:val="zh-CN"/>
    </w:rPr>
  </w:style>
  <w:style w:type="character" w:customStyle="1" w:styleId="56">
    <w:name w:val="ZB-报告书正文 Char"/>
    <w:link w:val="55"/>
    <w:qFormat/>
    <w:uiPriority w:val="0"/>
    <w:rPr>
      <w:sz w:val="24"/>
      <w:szCs w:val="24"/>
      <w:lang w:val="zh-CN" w:eastAsia="zh-CN"/>
    </w:rPr>
  </w:style>
  <w:style w:type="character" w:customStyle="1" w:styleId="57">
    <w:name w:val="fontstyle21"/>
    <w:qFormat/>
    <w:uiPriority w:val="0"/>
    <w:rPr>
      <w:rFonts w:hint="eastAsia" w:ascii="宋体" w:hAnsi="宋体" w:eastAsia="宋体"/>
      <w:color w:val="000000"/>
      <w:sz w:val="24"/>
      <w:szCs w:val="24"/>
    </w:rPr>
  </w:style>
  <w:style w:type="paragraph" w:customStyle="1" w:styleId="58">
    <w:name w:val="Char"/>
    <w:qFormat/>
    <w:uiPriority w:val="0"/>
    <w:pPr>
      <w:widowControl w:val="0"/>
      <w:overflowPunct w:val="0"/>
      <w:snapToGrid w:val="0"/>
      <w:spacing w:line="360" w:lineRule="auto"/>
      <w:ind w:firstLine="480" w:firstLineChars="200"/>
    </w:pPr>
    <w:rPr>
      <w:rFonts w:ascii="仿宋_GB2312" w:hAnsi="宋体" w:eastAsia="仿宋_GB2312" w:cs="Times New Roman"/>
      <w:snapToGrid w:val="0"/>
      <w:sz w:val="24"/>
      <w:szCs w:val="24"/>
      <w:lang w:val="en-US" w:eastAsia="zh-CN" w:bidi="ar-SA"/>
    </w:rPr>
  </w:style>
  <w:style w:type="paragraph" w:customStyle="1" w:styleId="59">
    <w:name w:val="表中的文字"/>
    <w:basedOn w:val="1"/>
    <w:link w:val="60"/>
    <w:qFormat/>
    <w:uiPriority w:val="0"/>
    <w:pPr>
      <w:autoSpaceDE w:val="0"/>
      <w:autoSpaceDN w:val="0"/>
      <w:adjustRightInd w:val="0"/>
      <w:snapToGrid w:val="0"/>
      <w:jc w:val="center"/>
    </w:pPr>
    <w:rPr>
      <w:kern w:val="0"/>
      <w:szCs w:val="21"/>
    </w:rPr>
  </w:style>
  <w:style w:type="character" w:customStyle="1" w:styleId="60">
    <w:name w:val="表中的文字 Char"/>
    <w:link w:val="59"/>
    <w:qFormat/>
    <w:uiPriority w:val="0"/>
    <w:rPr>
      <w:sz w:val="21"/>
      <w:szCs w:val="21"/>
    </w:rPr>
  </w:style>
  <w:style w:type="character" w:customStyle="1" w:styleId="61">
    <w:name w:val="表中内容 字符"/>
    <w:link w:val="62"/>
    <w:qFormat/>
    <w:uiPriority w:val="0"/>
    <w:rPr>
      <w:kern w:val="2"/>
      <w:sz w:val="21"/>
      <w:szCs w:val="24"/>
      <w:shd w:val="clear" w:color="auto" w:fill="FFFFFF"/>
    </w:rPr>
  </w:style>
  <w:style w:type="paragraph" w:customStyle="1" w:styleId="62">
    <w:name w:val="表中内容"/>
    <w:basedOn w:val="1"/>
    <w:link w:val="61"/>
    <w:qFormat/>
    <w:uiPriority w:val="0"/>
    <w:pPr>
      <w:widowControl/>
      <w:shd w:val="clear" w:color="auto" w:fill="FFFFFF"/>
      <w:overflowPunct w:val="0"/>
      <w:autoSpaceDE w:val="0"/>
      <w:autoSpaceDN w:val="0"/>
      <w:adjustRightInd w:val="0"/>
      <w:snapToGrid w:val="0"/>
      <w:jc w:val="center"/>
      <w:textAlignment w:val="baseline"/>
    </w:pPr>
  </w:style>
  <w:style w:type="paragraph" w:customStyle="1" w:styleId="63">
    <w:name w:val="表内文字"/>
    <w:basedOn w:val="1"/>
    <w:qFormat/>
    <w:uiPriority w:val="0"/>
    <w:pPr>
      <w:adjustRightInd w:val="0"/>
      <w:snapToGrid w:val="0"/>
      <w:spacing w:line="360" w:lineRule="auto"/>
      <w:jc w:val="center"/>
    </w:pPr>
    <w:rPr>
      <w:szCs w:val="21"/>
    </w:rPr>
  </w:style>
  <w:style w:type="character" w:customStyle="1" w:styleId="64">
    <w:name w:val="font81"/>
    <w:qFormat/>
    <w:uiPriority w:val="0"/>
    <w:rPr>
      <w:rFonts w:hint="eastAsia" w:ascii="宋体" w:hAnsi="宋体" w:eastAsia="宋体" w:cs="宋体"/>
      <w:color w:val="000000"/>
      <w:sz w:val="24"/>
      <w:szCs w:val="24"/>
      <w:u w:val="none"/>
    </w:rPr>
  </w:style>
  <w:style w:type="character" w:customStyle="1" w:styleId="65">
    <w:name w:val="表格文字 Char Char"/>
    <w:link w:val="66"/>
    <w:qFormat/>
    <w:uiPriority w:val="0"/>
    <w:rPr>
      <w:rFonts w:ascii="宋体"/>
      <w:kern w:val="2"/>
      <w:sz w:val="21"/>
      <w:szCs w:val="24"/>
    </w:rPr>
  </w:style>
  <w:style w:type="paragraph" w:customStyle="1" w:styleId="66">
    <w:name w:val="表格文字"/>
    <w:basedOn w:val="12"/>
    <w:link w:val="65"/>
    <w:qFormat/>
    <w:uiPriority w:val="0"/>
    <w:pPr>
      <w:widowControl w:val="0"/>
      <w:snapToGrid/>
      <w:spacing w:before="0" w:after="0" w:line="320" w:lineRule="exact"/>
      <w:ind w:right="0"/>
      <w:jc w:val="center"/>
    </w:pPr>
    <w:rPr>
      <w:rFonts w:ascii="宋体"/>
      <w:kern w:val="2"/>
      <w:sz w:val="21"/>
      <w:szCs w:val="24"/>
    </w:rPr>
  </w:style>
  <w:style w:type="character" w:customStyle="1" w:styleId="67">
    <w:name w:val="表格内 Char"/>
    <w:link w:val="68"/>
    <w:qFormat/>
    <w:uiPriority w:val="0"/>
    <w:rPr>
      <w:rFonts w:eastAsia="Times New Roman"/>
      <w:snapToGrid w:val="0"/>
      <w:sz w:val="21"/>
      <w:szCs w:val="21"/>
    </w:rPr>
  </w:style>
  <w:style w:type="paragraph" w:customStyle="1" w:styleId="68">
    <w:name w:val="表格内"/>
    <w:basedOn w:val="1"/>
    <w:link w:val="67"/>
    <w:qFormat/>
    <w:uiPriority w:val="0"/>
    <w:pPr>
      <w:adjustRightInd w:val="0"/>
      <w:snapToGrid w:val="0"/>
      <w:spacing w:line="360" w:lineRule="exact"/>
      <w:jc w:val="center"/>
    </w:pPr>
    <w:rPr>
      <w:rFonts w:eastAsia="Times New Roman"/>
      <w:snapToGrid w:val="0"/>
      <w:kern w:val="0"/>
      <w:szCs w:val="21"/>
    </w:rPr>
  </w:style>
  <w:style w:type="character" w:customStyle="1" w:styleId="69">
    <w:name w:val="表 Char"/>
    <w:link w:val="70"/>
    <w:qFormat/>
    <w:uiPriority w:val="0"/>
    <w:rPr>
      <w:spacing w:val="2"/>
      <w:kern w:val="2"/>
      <w:sz w:val="21"/>
    </w:rPr>
  </w:style>
  <w:style w:type="paragraph" w:customStyle="1" w:styleId="70">
    <w:name w:val="表"/>
    <w:basedOn w:val="1"/>
    <w:link w:val="69"/>
    <w:qFormat/>
    <w:uiPriority w:val="0"/>
    <w:pPr>
      <w:snapToGrid w:val="0"/>
      <w:spacing w:line="400" w:lineRule="exact"/>
      <w:jc w:val="center"/>
    </w:pPr>
    <w:rPr>
      <w:spacing w:val="2"/>
      <w:szCs w:val="20"/>
    </w:rPr>
  </w:style>
  <w:style w:type="character" w:customStyle="1" w:styleId="71">
    <w:name w:val="表格内容 Char"/>
    <w:link w:val="72"/>
    <w:qFormat/>
    <w:uiPriority w:val="0"/>
    <w:rPr>
      <w:rFonts w:ascii="宋体" w:hAnsi="宋体"/>
      <w:snapToGrid w:val="0"/>
      <w:kern w:val="2"/>
      <w:sz w:val="18"/>
    </w:rPr>
  </w:style>
  <w:style w:type="paragraph" w:customStyle="1" w:styleId="72">
    <w:name w:val="表格内容"/>
    <w:basedOn w:val="1"/>
    <w:link w:val="71"/>
    <w:qFormat/>
    <w:uiPriority w:val="0"/>
    <w:pPr>
      <w:spacing w:line="280" w:lineRule="exact"/>
      <w:ind w:left="-19" w:leftChars="-9" w:firstLine="20" w:firstLineChars="11"/>
      <w:jc w:val="center"/>
    </w:pPr>
    <w:rPr>
      <w:rFonts w:ascii="宋体" w:hAnsi="宋体"/>
      <w:snapToGrid w:val="0"/>
      <w:sz w:val="18"/>
      <w:szCs w:val="20"/>
    </w:rPr>
  </w:style>
  <w:style w:type="paragraph" w:customStyle="1" w:styleId="73">
    <w:name w:val="Table Paragraph"/>
    <w:basedOn w:val="1"/>
    <w:qFormat/>
    <w:uiPriority w:val="0"/>
    <w:pPr>
      <w:jc w:val="left"/>
    </w:pPr>
    <w:rPr>
      <w:rFonts w:ascii="Calibri" w:hAnsi="Calibri"/>
      <w:kern w:val="0"/>
      <w:sz w:val="22"/>
      <w:szCs w:val="22"/>
      <w:lang w:eastAsia="en-US"/>
    </w:rPr>
  </w:style>
  <w:style w:type="character" w:customStyle="1" w:styleId="74">
    <w:name w:val="样式5 Char"/>
    <w:link w:val="75"/>
    <w:qFormat/>
    <w:uiPriority w:val="0"/>
    <w:rPr>
      <w:b/>
    </w:rPr>
  </w:style>
  <w:style w:type="paragraph" w:customStyle="1" w:styleId="75">
    <w:name w:val="样式5"/>
    <w:basedOn w:val="1"/>
    <w:link w:val="74"/>
    <w:qFormat/>
    <w:uiPriority w:val="0"/>
    <w:pPr>
      <w:jc w:val="center"/>
    </w:pPr>
    <w:rPr>
      <w:b/>
      <w:kern w:val="0"/>
      <w:sz w:val="20"/>
      <w:szCs w:val="20"/>
    </w:rPr>
  </w:style>
  <w:style w:type="paragraph" w:customStyle="1" w:styleId="76">
    <w:name w:val="5-标题"/>
    <w:basedOn w:val="1"/>
    <w:qFormat/>
    <w:uiPriority w:val="99"/>
    <w:pPr>
      <w:jc w:val="center"/>
    </w:pPr>
    <w:rPr>
      <w:rFonts w:cs="黑体"/>
      <w:b/>
    </w:rPr>
  </w:style>
  <w:style w:type="paragraph" w:customStyle="1" w:styleId="77">
    <w:name w:val="样式6"/>
    <w:basedOn w:val="1"/>
    <w:qFormat/>
    <w:uiPriority w:val="0"/>
    <w:pPr>
      <w:jc w:val="center"/>
    </w:pPr>
  </w:style>
  <w:style w:type="paragraph" w:customStyle="1" w:styleId="78">
    <w:name w:val="表格-居中"/>
    <w:basedOn w:val="1"/>
    <w:next w:val="1"/>
    <w:qFormat/>
    <w:uiPriority w:val="0"/>
    <w:pPr>
      <w:jc w:val="center"/>
    </w:pPr>
    <w:rPr>
      <w:rFonts w:ascii="黑体" w:eastAsia="黑体"/>
      <w:szCs w:val="21"/>
    </w:rPr>
  </w:style>
  <w:style w:type="paragraph" w:customStyle="1" w:styleId="79">
    <w:name w:val="Z报表正文"/>
    <w:basedOn w:val="1"/>
    <w:qFormat/>
    <w:uiPriority w:val="0"/>
    <w:pPr>
      <w:spacing w:line="560" w:lineRule="exact"/>
      <w:ind w:firstLine="200" w:firstLineChars="200"/>
      <w:jc w:val="left"/>
    </w:pPr>
    <w:rPr>
      <w:kern w:val="0"/>
      <w:sz w:val="24"/>
      <w:lang w:eastAsia="en-US"/>
    </w:rPr>
  </w:style>
  <w:style w:type="paragraph" w:customStyle="1" w:styleId="80">
    <w:name w:val="Z表头"/>
    <w:basedOn w:val="1"/>
    <w:link w:val="81"/>
    <w:qFormat/>
    <w:uiPriority w:val="0"/>
    <w:pPr>
      <w:spacing w:line="560" w:lineRule="exact"/>
      <w:jc w:val="center"/>
    </w:pPr>
    <w:rPr>
      <w:rFonts w:cstheme="minorBidi"/>
      <w:b/>
      <w:color w:val="000000"/>
      <w:kern w:val="0"/>
      <w:lang w:eastAsia="en-US"/>
    </w:rPr>
  </w:style>
  <w:style w:type="character" w:customStyle="1" w:styleId="81">
    <w:name w:val="Z表头 Char"/>
    <w:basedOn w:val="26"/>
    <w:link w:val="80"/>
    <w:qFormat/>
    <w:uiPriority w:val="0"/>
    <w:rPr>
      <w:rFonts w:cstheme="minorBidi"/>
      <w:b/>
      <w:color w:val="000000"/>
      <w:sz w:val="21"/>
      <w:szCs w:val="24"/>
      <w:lang w:eastAsia="en-US"/>
    </w:rPr>
  </w:style>
  <w:style w:type="character" w:customStyle="1" w:styleId="82">
    <w:name w:val="纯文本 字符"/>
    <w:basedOn w:val="26"/>
    <w:link w:val="14"/>
    <w:qFormat/>
    <w:uiPriority w:val="0"/>
    <w:rPr>
      <w:sz w:val="21"/>
      <w:lang w:eastAsia="en-US"/>
    </w:rPr>
  </w:style>
  <w:style w:type="paragraph" w:customStyle="1" w:styleId="83">
    <w:name w:val="M表格"/>
    <w:basedOn w:val="1"/>
    <w:qFormat/>
    <w:uiPriority w:val="0"/>
    <w:pPr>
      <w:adjustRightInd w:val="0"/>
      <w:snapToGrid w:val="0"/>
      <w:spacing w:line="240" w:lineRule="atLeast"/>
      <w:jc w:val="center"/>
    </w:pPr>
    <w:rPr>
      <w:color w:val="000000"/>
      <w:szCs w:val="21"/>
    </w:rPr>
  </w:style>
  <w:style w:type="character" w:customStyle="1" w:styleId="84">
    <w:name w:val="表头 Char"/>
    <w:link w:val="85"/>
    <w:qFormat/>
    <w:uiPriority w:val="0"/>
    <w:rPr>
      <w:rFonts w:ascii="宋体" w:hAnsi="宋体"/>
      <w:b/>
      <w:bCs/>
      <w:kern w:val="24"/>
      <w:sz w:val="24"/>
      <w:szCs w:val="28"/>
    </w:rPr>
  </w:style>
  <w:style w:type="paragraph" w:customStyle="1" w:styleId="85">
    <w:name w:val="表头"/>
    <w:basedOn w:val="1"/>
    <w:next w:val="1"/>
    <w:link w:val="84"/>
    <w:qFormat/>
    <w:uiPriority w:val="0"/>
    <w:pPr>
      <w:tabs>
        <w:tab w:val="left" w:pos="6840"/>
      </w:tabs>
      <w:topLinePunct/>
      <w:snapToGrid w:val="0"/>
      <w:spacing w:line="529" w:lineRule="exact"/>
      <w:jc w:val="center"/>
    </w:pPr>
    <w:rPr>
      <w:rFonts w:ascii="宋体" w:hAnsi="宋体"/>
      <w:b/>
      <w:bCs/>
      <w:kern w:val="24"/>
      <w:sz w:val="24"/>
      <w:szCs w:val="28"/>
    </w:rPr>
  </w:style>
  <w:style w:type="paragraph" w:customStyle="1" w:styleId="86">
    <w:name w:val="ZB-正文"/>
    <w:basedOn w:val="1"/>
    <w:qFormat/>
    <w:uiPriority w:val="0"/>
    <w:pPr>
      <w:snapToGrid w:val="0"/>
      <w:spacing w:line="360" w:lineRule="auto"/>
      <w:ind w:firstLine="200" w:firstLineChars="200"/>
      <w:jc w:val="left"/>
    </w:pPr>
    <w:rPr>
      <w:sz w:val="24"/>
      <w:szCs w:val="22"/>
    </w:rPr>
  </w:style>
  <w:style w:type="character" w:customStyle="1" w:styleId="87">
    <w:name w:val="CDD正文 Char"/>
    <w:link w:val="88"/>
    <w:qFormat/>
    <w:locked/>
    <w:uiPriority w:val="0"/>
    <w:rPr>
      <w:rFonts w:ascii="宋体" w:hAnsi="楷体_GB2312" w:cs="楷体_GB2312"/>
      <w:kern w:val="2"/>
      <w:sz w:val="24"/>
      <w:szCs w:val="24"/>
    </w:rPr>
  </w:style>
  <w:style w:type="paragraph" w:customStyle="1" w:styleId="88">
    <w:name w:val="CDD正文"/>
    <w:basedOn w:val="1"/>
    <w:link w:val="87"/>
    <w:qFormat/>
    <w:uiPriority w:val="0"/>
    <w:pPr>
      <w:widowControl/>
      <w:suppressLineNumbers/>
      <w:suppressAutoHyphens/>
      <w:snapToGrid w:val="0"/>
      <w:spacing w:line="500" w:lineRule="exact"/>
      <w:ind w:firstLine="480" w:firstLineChars="200"/>
      <w:contextualSpacing/>
      <w:outlineLvl w:val="3"/>
    </w:pPr>
    <w:rPr>
      <w:rFonts w:ascii="宋体" w:hAnsi="楷体_GB2312" w:cs="楷体_GB2312"/>
      <w:sz w:val="24"/>
    </w:rPr>
  </w:style>
  <w:style w:type="character" w:customStyle="1" w:styleId="89">
    <w:name w:val="标题 2 字符"/>
    <w:basedOn w:val="26"/>
    <w:link w:val="3"/>
    <w:semiHidden/>
    <w:qFormat/>
    <w:uiPriority w:val="0"/>
    <w:rPr>
      <w:rFonts w:asciiTheme="majorHAnsi" w:hAnsiTheme="majorHAnsi" w:eastAsiaTheme="majorEastAsia" w:cstheme="majorBidi"/>
      <w:b/>
      <w:bCs/>
      <w:kern w:val="2"/>
      <w:sz w:val="32"/>
      <w:szCs w:val="32"/>
    </w:rPr>
  </w:style>
  <w:style w:type="character" w:customStyle="1" w:styleId="90">
    <w:name w:val="标题 3 字符"/>
    <w:basedOn w:val="26"/>
    <w:link w:val="4"/>
    <w:semiHidden/>
    <w:qFormat/>
    <w:uiPriority w:val="0"/>
    <w:rPr>
      <w:b/>
      <w:bCs/>
      <w:kern w:val="2"/>
      <w:sz w:val="32"/>
      <w:szCs w:val="32"/>
    </w:rPr>
  </w:style>
  <w:style w:type="character" w:customStyle="1" w:styleId="91">
    <w:name w:val="标题 4 字符"/>
    <w:basedOn w:val="26"/>
    <w:link w:val="8"/>
    <w:qFormat/>
    <w:uiPriority w:val="9"/>
    <w:rPr>
      <w:rFonts w:hAnsi="宋体" w:eastAsia="黑体" w:cs="宋体"/>
      <w:bCs/>
      <w:kern w:val="2"/>
      <w:sz w:val="24"/>
      <w:szCs w:val="24"/>
    </w:rPr>
  </w:style>
  <w:style w:type="paragraph" w:customStyle="1" w:styleId="92">
    <w:name w:val="0正文中9.8新"/>
    <w:basedOn w:val="1"/>
    <w:qFormat/>
    <w:uiPriority w:val="30"/>
    <w:pPr>
      <w:spacing w:line="360" w:lineRule="auto"/>
      <w:ind w:firstLine="420" w:firstLineChars="200"/>
    </w:pPr>
    <w:rPr>
      <w:rFonts w:ascii="宋体" w:hAnsi="宋体" w:eastAsia="仿宋_GB2312"/>
      <w:sz w:val="24"/>
    </w:rPr>
  </w:style>
  <w:style w:type="table" w:customStyle="1" w:styleId="93">
    <w:name w:val="Table Normal"/>
    <w:semiHidden/>
    <w:unhideWhenUsed/>
    <w:qFormat/>
    <w:uiPriority w:val="0"/>
    <w:tblPr>
      <w:tblCellMar>
        <w:top w:w="0" w:type="dxa"/>
        <w:left w:w="0" w:type="dxa"/>
        <w:bottom w:w="0" w:type="dxa"/>
        <w:right w:w="0" w:type="dxa"/>
      </w:tblCellMar>
    </w:tblPr>
  </w:style>
  <w:style w:type="paragraph" w:customStyle="1" w:styleId="94">
    <w:name w:val="正文A"/>
    <w:basedOn w:val="1"/>
    <w:qFormat/>
    <w:uiPriority w:val="0"/>
    <w:pPr>
      <w:autoSpaceDE w:val="0"/>
      <w:autoSpaceDN w:val="0"/>
      <w:adjustRightInd w:val="0"/>
      <w:snapToGrid w:val="0"/>
      <w:textAlignment w:val="baseline"/>
    </w:pPr>
    <w:rPr>
      <w:kern w:val="0"/>
      <w:szCs w:val="20"/>
    </w:rPr>
  </w:style>
  <w:style w:type="paragraph" w:customStyle="1" w:styleId="95">
    <w:name w:val="表格标题"/>
    <w:basedOn w:val="1"/>
    <w:qFormat/>
    <w:uiPriority w:val="0"/>
    <w:pPr>
      <w:ind w:firstLine="480"/>
      <w:jc w:val="center"/>
    </w:pPr>
    <w:rPr>
      <w:b/>
      <w:bCs/>
      <w:szCs w:val="21"/>
    </w:rPr>
  </w:style>
  <w:style w:type="paragraph" w:customStyle="1" w:styleId="96">
    <w:name w:val="Other|1"/>
    <w:basedOn w:val="1"/>
    <w:qFormat/>
    <w:uiPriority w:val="0"/>
    <w:pPr>
      <w:spacing w:line="317" w:lineRule="exact"/>
      <w:jc w:val="left"/>
    </w:pPr>
    <w:rPr>
      <w:rFonts w:ascii="宋体" w:hAnsi="宋体" w:cs="宋体"/>
      <w:color w:val="000000"/>
      <w:kern w:val="0"/>
      <w:sz w:val="22"/>
      <w:szCs w:val="22"/>
    </w:rPr>
  </w:style>
  <w:style w:type="paragraph" w:customStyle="1" w:styleId="97">
    <w:name w:val="表格正文"/>
    <w:basedOn w:val="1"/>
    <w:qFormat/>
    <w:uiPriority w:val="0"/>
    <w:pPr>
      <w:wordWrap w:val="0"/>
      <w:jc w:val="center"/>
    </w:pPr>
    <w:rPr>
      <w:bCs/>
      <w:szCs w:val="21"/>
    </w:rPr>
  </w:style>
  <w:style w:type="paragraph" w:customStyle="1" w:styleId="98">
    <w:name w:val="标题 61"/>
    <w:basedOn w:val="1"/>
    <w:qFormat/>
    <w:uiPriority w:val="1"/>
    <w:pPr>
      <w:autoSpaceDE w:val="0"/>
      <w:autoSpaceDN w:val="0"/>
      <w:jc w:val="center"/>
      <w:outlineLvl w:val="6"/>
    </w:pPr>
    <w:rPr>
      <w:rFonts w:ascii="宋体" w:hAnsi="宋体" w:cs="宋体"/>
      <w:b/>
      <w:bCs/>
      <w:kern w:val="0"/>
      <w:sz w:val="24"/>
      <w:lang w:val="zh-CN" w:bidi="zh-CN"/>
    </w:rPr>
  </w:style>
  <w:style w:type="paragraph" w:styleId="99">
    <w:name w:val="List Paragraph"/>
    <w:basedOn w:val="1"/>
    <w:qFormat/>
    <w:uiPriority w:val="99"/>
    <w:pPr>
      <w:autoSpaceDE w:val="0"/>
      <w:autoSpaceDN w:val="0"/>
      <w:ind w:left="1319" w:hanging="602"/>
      <w:jc w:val="left"/>
    </w:pPr>
    <w:rPr>
      <w:rFonts w:ascii="宋体" w:hAnsi="宋体" w:cs="宋体"/>
      <w:kern w:val="0"/>
      <w:sz w:val="22"/>
      <w:szCs w:val="22"/>
      <w:lang w:val="zh-CN" w:bidi="zh-CN"/>
    </w:rPr>
  </w:style>
  <w:style w:type="paragraph" w:customStyle="1" w:styleId="100">
    <w:name w:val="Table Text"/>
    <w:basedOn w:val="1"/>
    <w:semiHidden/>
    <w:qFormat/>
    <w:uiPriority w:val="0"/>
    <w:rPr>
      <w:rFonts w:eastAsia="Times New Roman"/>
      <w:szCs w:val="21"/>
      <w:lang w:eastAsia="en-US"/>
    </w:rPr>
  </w:style>
  <w:style w:type="character" w:customStyle="1" w:styleId="101">
    <w:name w:val="font31"/>
    <w:basedOn w:val="26"/>
    <w:qFormat/>
    <w:uiPriority w:val="0"/>
    <w:rPr>
      <w:rFonts w:hint="default" w:ascii="Times New Roman" w:hAnsi="Times New Roman" w:cs="Times New Roman"/>
      <w:color w:val="000000"/>
      <w:sz w:val="21"/>
      <w:szCs w:val="21"/>
      <w:u w:val="none"/>
    </w:rPr>
  </w:style>
  <w:style w:type="character" w:customStyle="1" w:styleId="102">
    <w:name w:val="font11"/>
    <w:basedOn w:val="26"/>
    <w:qFormat/>
    <w:uiPriority w:val="0"/>
    <w:rPr>
      <w:rFonts w:hint="eastAsia" w:ascii="宋体" w:hAnsi="宋体" w:eastAsia="宋体" w:cs="宋体"/>
      <w:color w:val="000000"/>
      <w:sz w:val="21"/>
      <w:szCs w:val="21"/>
      <w:u w:val="none"/>
    </w:rPr>
  </w:style>
  <w:style w:type="paragraph" w:customStyle="1" w:styleId="103">
    <w:name w:val="正文 楷体"/>
    <w:basedOn w:val="1"/>
    <w:qFormat/>
    <w:uiPriority w:val="0"/>
    <w:pPr>
      <w:widowControl/>
      <w:adjustRightInd w:val="0"/>
      <w:snapToGrid w:val="0"/>
      <w:spacing w:after="200" w:line="500" w:lineRule="exact"/>
      <w:ind w:firstLine="200" w:firstLineChars="200"/>
      <w:jc w:val="left"/>
    </w:pPr>
    <w:rPr>
      <w:rFonts w:ascii="楷体_GB2312" w:hAnsi="楷体_GB2312" w:eastAsia="楷体_GB2312"/>
      <w:kern w:val="0"/>
      <w:sz w:val="24"/>
      <w:lang w:val="zh-CN"/>
    </w:rPr>
  </w:style>
  <w:style w:type="paragraph" w:customStyle="1" w:styleId="104">
    <w:name w:val="表、图名"/>
    <w:qFormat/>
    <w:uiPriority w:val="0"/>
    <w:pPr>
      <w:spacing w:line="520" w:lineRule="exact"/>
      <w:jc w:val="center"/>
    </w:pPr>
    <w:rPr>
      <w:rFonts w:ascii="Times New Roman" w:hAnsi="Times New Roman" w:eastAsia="宋体" w:cs="Times New Roman"/>
      <w:b/>
      <w:kern w:val="2"/>
      <w:sz w:val="21"/>
      <w:szCs w:val="24"/>
      <w:lang w:val="en-US" w:eastAsia="zh-CN" w:bidi="ar-SA"/>
    </w:rPr>
  </w:style>
  <w:style w:type="paragraph" w:customStyle="1" w:styleId="105">
    <w:name w:val="表头及表尾"/>
    <w:qFormat/>
    <w:uiPriority w:val="0"/>
    <w:pPr>
      <w:tabs>
        <w:tab w:val="center" w:pos="4200"/>
        <w:tab w:val="right" w:pos="8400"/>
      </w:tabs>
      <w:adjustRightInd w:val="0"/>
      <w:snapToGrid w:val="0"/>
      <w:spacing w:line="360" w:lineRule="auto"/>
      <w:jc w:val="center"/>
    </w:pPr>
    <w:rPr>
      <w:rFonts w:ascii="Times New Roman" w:hAnsi="Times New Roman" w:eastAsia="宋体" w:cs="Times New Roman"/>
      <w:b/>
      <w:sz w:val="21"/>
      <w:szCs w:val="21"/>
      <w:lang w:val="en-US" w:eastAsia="zh-CN" w:bidi="ar-SA"/>
    </w:rPr>
  </w:style>
  <w:style w:type="character" w:customStyle="1" w:styleId="106">
    <w:name w:val="active"/>
    <w:basedOn w:val="26"/>
    <w:qFormat/>
    <w:uiPriority w:val="0"/>
    <w:rPr>
      <w:color w:val="333333"/>
    </w:rPr>
  </w:style>
  <w:style w:type="paragraph" w:customStyle="1" w:styleId="107">
    <w:name w:val="表中文字"/>
    <w:basedOn w:val="1"/>
    <w:next w:val="1"/>
    <w:qFormat/>
    <w:uiPriority w:val="0"/>
    <w:pPr>
      <w:tabs>
        <w:tab w:val="left" w:pos="2700"/>
      </w:tabs>
      <w:jc w:val="center"/>
      <w:textAlignment w:val="center"/>
    </w:pPr>
    <w:rPr>
      <w:szCs w:val="21"/>
    </w:rPr>
  </w:style>
  <w:style w:type="paragraph" w:styleId="108">
    <w:name w:val="No Spacing"/>
    <w:basedOn w:val="1"/>
    <w:qFormat/>
    <w:uiPriority w:val="0"/>
    <w:rPr>
      <w:szCs w:val="21"/>
    </w:rPr>
  </w:style>
  <w:style w:type="paragraph" w:customStyle="1" w:styleId="109">
    <w:name w:val="样式 正文首行缩进 + 首行缩进:  2 字符1"/>
    <w:basedOn w:val="23"/>
    <w:qFormat/>
    <w:uiPriority w:val="0"/>
    <w:pPr>
      <w:spacing w:before="0" w:after="0" w:line="360" w:lineRule="auto"/>
      <w:ind w:firstLine="480" w:firstLineChars="200"/>
    </w:pPr>
    <w:rPr>
      <w:sz w:val="24"/>
      <w:szCs w:val="24"/>
    </w:rPr>
  </w:style>
  <w:style w:type="paragraph" w:customStyle="1" w:styleId="110">
    <w:name w:val="正文首行缩进  2字符"/>
    <w:basedOn w:val="1"/>
    <w:qFormat/>
    <w:uiPriority w:val="0"/>
    <w:pPr>
      <w:widowControl/>
      <w:ind w:firstLine="480"/>
      <w:jc w:val="left"/>
    </w:pPr>
    <w:rPr>
      <w:szCs w:val="20"/>
    </w:rPr>
  </w:style>
  <w:style w:type="paragraph" w:customStyle="1" w:styleId="111">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92e0a075-fb3d-4b89-a41c-7fe9e9a9e690</errorID>
      <errorWord>：</errorWord>
      <group>L1_Format</group>
      <groupName>格式问题</groupName>
      <ability>L2_HalfPunc_CN</ability>
      <abilityName>全半角问题</abilityName>
      <candidateList>
        <item>:</item>
      </candidateList>
      <explain>文本全半角错误。</explain>
      <paraID>4B40981F</paraID>
      <start>16</start>
      <end>17</end>
      <status>ignored</status>
      <modifiedWord/>
      <trackRevisions>false</trackRevisions>
    </reviewItem>
    <reviewItem>
      <errorID>65a76061-f4a6-4cde-b4af-f72fdc410f34</errorID>
      <errorWord>-</errorWord>
      <group>L1_Format</group>
      <groupName>格式问题</groupName>
      <ability>L2_HalfPunc_CN</ability>
      <abilityName>全半角问题</abilityName>
      <candidateList>
        <item>－</item>
      </candidateList>
      <explain>文本全半角错误。</explain>
      <paraID>4B40981F</paraID>
      <start>19</start>
      <end>20</end>
      <status>ignored</status>
      <modifiedWord/>
      <trackRevisions>false</trackRevisions>
    </reviewItem>
    <reviewItem>
      <errorID>088168d3-e784-4248-bd96-61eb0636e670</errorID>
      <errorWord>制冷剂抽取</errorWord>
      <group>L1_Grammar</group>
      <groupName>语法问题</groupName>
      <ability>L2_Order</ability>
      <abilityName>语序不当</abilityName>
      <candidateList>
        <item>抽取制冷剂</item>
      </candidateList>
      <explain>句子可能没有遵循时空、逻辑顺序，或者介词、关联词等位置不当。</explain>
      <paraID>18442A00</paraID>
      <start>10</start>
      <end>15</end>
      <status>ignored</status>
      <modifiedWord/>
      <trackRevisions>false</trackRevisions>
    </reviewItem>
    <reviewItem>
      <errorID>4b5d16c2-6873-41e2-8a18-d5e1927fea08</errorID>
      <errorWord>车</errorWord>
      <group>L1_Word</group>
      <groupName>字词问题</groupName>
      <ability>L2_Typo</ability>
      <abilityName>字词错误</abilityName>
      <candidateList>
        <item>车辆</item>
      </candidateList>
      <explain>〈名〉各种车的总称。</explain>
      <paraID>6680B1CE</paraID>
      <start>96</start>
      <end>97</end>
      <status>ignored</status>
      <modifiedWord/>
      <trackRevisions>false</trackRevisions>
    </reviewItem>
    <reviewItem>
      <errorID>a572097d-ce6a-45f2-9d37-1230475a185a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72322AC3</paraID>
      <start>0</start>
      <end>2</end>
      <status>unmodified</status>
      <modifiedWord/>
      <trackRevisions>false</trackRevisions>
    </reviewItem>
    <reviewItem>
      <errorID>7e8ab952-7ef4-49c4-8313-7167f0701b4f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44857AA9</paraID>
      <start>0</start>
      <end>2</end>
      <status>unmodified</status>
      <modifiedWord/>
      <trackRevisions>false</trackRevisions>
    </reviewItem>
    <reviewItem>
      <errorID>7a9f1bf6-c34a-4de9-83ec-74f15e5cb93b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50C17ECE</paraID>
      <start>0</start>
      <end>2</end>
      <status>unmodified</status>
      <modifiedWord/>
      <trackRevisions>false</trackRevisions>
    </reviewItem>
    <reviewItem>
      <errorID>a382fa0c-6d2c-4052-811b-eeaaa32b5ab8</errorID>
      <errorWord>和处置</errorWord>
      <group>L1_Grammar</group>
      <groupName>语法问题</groupName>
      <ability>L2_Order</ability>
      <abilityName>语序不当</abilityName>
      <candidateList>
        <item>处置和</item>
      </candidateList>
      <explain>句子可能没有遵循时空、逻辑顺序，或者介词、关联词等位置不当。</explain>
      <paraID>50C17ECE</paraID>
      <start>8</start>
      <end>11</end>
      <status>unmodified</status>
      <modifiedWord/>
      <trackRevisions>false</trackRevisions>
    </reviewItem>
    <reviewItem>
      <errorID>f67416e7-4be9-4770-bdac-d5d768c5458c</errorID>
      <errorWord>其它废弃物</errorWord>
      <group>L1_Word</group>
      <groupName>字词问题</groupName>
      <ability>L2_Alias</ability>
      <abilityName>也作/曾用词</abilityName>
      <candidateList>
        <item>其他废弃物</item>
      </candidateList>
      <explain>词汇[其它废弃物]为不规范表述或旧称，其规范书面表述为[其他废弃物]。</explain>
      <paraID>2A2A845F</paraID>
      <start>35</start>
      <end>40</end>
      <status>modified</status>
      <modifiedWord>其他废弃物</modifiedWord>
      <trackRevisions>false</trackRevisions>
    </reviewItem>
    <reviewItem>
      <errorID>c5d1e2dc-6d48-48c5-97f6-7f6a751ff75f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3C24FAB1</paraID>
      <start>0</start>
      <end>2</end>
      <status>unmodified</status>
      <modifiedWord/>
      <trackRevisions>false</trackRevisions>
    </reviewItem>
    <reviewItem>
      <errorID>399656e9-c622-4cdc-90a5-8967c80bd2e7</errorID>
      <errorWord>程</errorWord>
      <group>L1_Word</group>
      <groupName>字词问题</groupName>
      <ability>L2_Typo</ability>
      <abilityName>字词错误</abilityName>
      <candidateList>
        <item>程中</item>
      </candidateList>
      <explain/>
      <paraID>20AC240E</paraID>
      <start>42</start>
      <end>43</end>
      <status>unmodified</status>
      <modifiedWord/>
      <trackRevisions>false</trackRevisions>
    </reviewItem>
    <reviewItem>
      <errorID>61bc45ce-9dc2-4d81-9c42-b2155153c2a6</errorID>
      <errorWord>占用或穿越</errorWord>
      <group>L1_Grammar</group>
      <groupName>语法问题</groupName>
      <ability>L2_Order</ability>
      <abilityName>语序不当</abilityName>
      <candidateList>
        <item>穿越或占用</item>
      </candidateList>
      <explain>句子可能没有遵循时空、逻辑顺序，或者介词、关联词等位置不当。</explain>
      <paraID>20AC240E</paraID>
      <start>54</start>
      <end>59</end>
      <status>unmodified</status>
      <modifiedWord/>
      <trackRevisions>false</trackRevisions>
    </reviewItem>
    <reviewItem>
      <errorID>2df54387-27d6-49b0-a6b7-7971599e962d</errorID>
      <errorWord>主体工程的</errorWord>
      <group>L1_Word</group>
      <groupName>字词问题</groupName>
      <ability>L2_Typo</ability>
      <abilityName>字词错误</abilityName>
      <candidateList>
        <item>主体工程</item>
      </candidateList>
      <explain/>
      <paraID>40AB61C2</paraID>
      <start>86</start>
      <end>90</end>
      <status>modified</status>
      <modifiedWord>主体工程</modifiedWord>
      <trackRevisions>false</trackRevisions>
    </reviewItem>
    <reviewItem>
      <errorID>b431a5d9-df90-4e68-9e28-efca2d6cacff</errorID>
      <errorWord>即</errorWord>
      <group>L1_Word</group>
      <groupName>字词问题</groupName>
      <ability>L2_Typo</ability>
      <abilityName>字词错误</abilityName>
      <candidateList>
        <item>及</item>
      </candidateList>
      <explain>存在发音相同字词的误用。</explain>
      <paraID>24129BC6</paraID>
      <start>20</start>
      <end>21</end>
      <status>modified</status>
      <modifiedWord>及</modifiedWord>
      <trackRevisions>false</trackRevisions>
    </reviewItem>
    <reviewItem>
      <errorID>e64fbf70-ddb1-41c9-8088-9807e9d4b66a</errorID>
      <errorWord>程</errorWord>
      <group>L1_Word</group>
      <groupName>字词问题</groupName>
      <ability>L2_Typo</ability>
      <abilityName>字词错误</abilityName>
      <candidateList>
        <item>程中</item>
      </candidateList>
      <explain/>
      <paraID>3D103D12</paraID>
      <start>6</start>
      <end>8</end>
      <status>modified</status>
      <modifiedWord>程中</modifiedWord>
      <trackRevisions>false</trackRevisions>
    </reviewItem>
    <reviewItem>
      <errorID>bfd0ed7c-f8a1-43a4-b62a-5d4df0330af3</errorID>
      <errorWord>的的</errorWord>
      <group>L1_Word</group>
      <groupName>字词问题</groupName>
      <ability>L2_Typo</ability>
      <abilityName>字词错误</abilityName>
      <candidateList>
        <item>的</item>
      </candidateList>
      <explain>“的”常用于连接修饰语与名词性中心语，表示属性、所属或描述。</explain>
      <paraID>3D103D12</paraID>
      <start>10</start>
      <end>11</end>
      <status>modified</status>
      <modifiedWord>的</modifiedWord>
      <trackRevisions>false</trackRevisions>
    </reviewItem>
    <reviewItem>
      <errorID>58fc6729-5dde-4c2f-bbb7-7b7227ac688f</errorID>
      <errorWord>)</errorWord>
      <group>L1_Format</group>
      <groupName>格式问题</groupName>
      <ability>L2_HalfPunc_CN</ability>
      <abilityName>全半角问题</abilityName>
      <candidateList>
        <item>）</item>
      </candidateList>
      <explain>文本全半角错误。</explain>
      <paraID>1EA2CD39</paraID>
      <start>9</start>
      <end>10</end>
      <status>modified</status>
      <modifiedWord>）</modifiedWord>
      <trackRevisions>false</trackRevisions>
    </reviewItem>
    <reviewItem>
      <errorID>1699d674-fd37-4213-83dc-6d398c1f4345</errorID>
      <errorWord>、</errorWord>
      <group>L1_Word</group>
      <groupName>字词问题</groupName>
      <ability>L2_Typo</ability>
      <abilityName>字词错误</abilityName>
      <candidateList>
        <item>、以</item>
      </candidateList>
      <explain/>
      <paraID>7AA4DEF3</paraID>
      <start>8</start>
      <end>10</end>
      <status>modified</status>
      <modifiedWord>、以</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644168-65c6-4d51-9b9b-29ceba80a316}">
  <ds:schemaRefs/>
</ds:datastoreItem>
</file>

<file path=customXml/itemProps3.xml><?xml version="1.0" encoding="utf-8"?>
<ds:datastoreItem xmlns:ds="http://schemas.openxmlformats.org/officeDocument/2006/customXml" ds:itemID="{068C94BB-62CB-4B45-9C76-ABB0E35E2C34}">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12</Pages>
  <Words>7718</Words>
  <Characters>8528</Characters>
  <Lines>470</Lines>
  <Paragraphs>132</Paragraphs>
  <TotalTime>0</TotalTime>
  <ScaleCrop>false</ScaleCrop>
  <LinksUpToDate>false</LinksUpToDate>
  <CharactersWithSpaces>8607</CharactersWithSpaces>
  <Application>WPS Office_11.8.2.12316_F1E327BC-269C-435d-A152-05C5408002CA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2023-10-12T02:56:00Z</dcterms:created>
  <dc:creator>lhj</dc:creator>
  <cp:lastModifiedBy>Administrator</cp:lastModifiedBy>
  <cp:lastPrinted>2023-12-29T10:11:00Z</cp:lastPrinted>
  <dcterms:modified xsi:type="dcterms:W3CDTF">2026-06-08T10:49:18Z</dcterms:modified>
  <dc:title>附件2</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2052-11.8.2.12316</vt:lpwstr>
  </property>
  <property fmtid="{D5CDD505-2E9C-101B-9397-08002B2CF9AE}" pid="3" name="ICV">
    <vt:lpwstr>CEDBE257E04E466DB2A866BCB810A258_13</vt:lpwstr>
  </property>
  <property fmtid="{D5CDD505-2E9C-101B-9397-08002B2CF9AE}" pid="4" name="KSOTemplateDocerSaveRecord">
    <vt:lpwstr>eyJoZGlkIjoiMDE5MzY4NTVmNWNkM2FiOTE3MzcxMWViN2E1MTkyMzYiLCJ1c2VySWQiOiI1MDc3ODA1MzIifQ==</vt:lpwstr>
  </property>
</Properties>
</file>