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9E43BC">
      <w:pPr>
        <w:pStyle w:val="24"/>
        <w:adjustRightInd w:val="0"/>
        <w:snapToGrid w:val="0"/>
        <w:spacing w:before="0" w:beforeAutospacing="0" w:after="0" w:afterAutospacing="0" w:line="360" w:lineRule="auto"/>
        <w:jc w:val="center"/>
        <w:outlineLvl w:val="0"/>
        <w:rPr>
          <w:rFonts w:hint="eastAsia" w:ascii="黑体" w:hAnsi="黑体" w:eastAsia="黑体"/>
          <w:snapToGrid w:val="0"/>
          <w:color w:val="000000" w:themeColor="text1"/>
          <w:sz w:val="30"/>
          <w:szCs w:val="30"/>
          <w14:textFill>
            <w14:solidFill>
              <w14:schemeClr w14:val="tx1"/>
            </w14:solidFill>
          </w14:textFill>
        </w:rPr>
      </w:pPr>
      <w:r>
        <w:rPr>
          <w:rFonts w:hint="eastAsia" w:ascii="黑体" w:hAnsi="黑体" w:eastAsia="黑体"/>
          <w:snapToGrid w:val="0"/>
          <w:color w:val="000000" w:themeColor="text1"/>
          <w:sz w:val="30"/>
          <w:szCs w:val="30"/>
          <w14:textFill>
            <w14:solidFill>
              <w14:schemeClr w14:val="tx1"/>
            </w14:solidFill>
          </w14:textFill>
        </w:rPr>
        <w:t>一、建设项目基本情况</w:t>
      </w:r>
    </w:p>
    <w:tbl>
      <w:tblPr>
        <w:tblStyle w:val="29"/>
        <w:tblW w:w="4918"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817"/>
        <w:gridCol w:w="2245"/>
        <w:gridCol w:w="2010"/>
        <w:gridCol w:w="2623"/>
      </w:tblGrid>
      <w:tr w14:paraId="1AC4FF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5" w:hRule="atLeast"/>
          <w:jc w:val="center"/>
        </w:trPr>
        <w:tc>
          <w:tcPr>
            <w:tcW w:w="1045" w:type="pct"/>
            <w:tcBorders>
              <w:tl2br w:val="nil"/>
              <w:tr2bl w:val="nil"/>
            </w:tcBorders>
            <w:tcMar>
              <w:top w:w="16" w:type="dxa"/>
              <w:left w:w="16" w:type="dxa"/>
              <w:right w:w="16" w:type="dxa"/>
            </w:tcMar>
            <w:vAlign w:val="center"/>
          </w:tcPr>
          <w:p w14:paraId="49995D96">
            <w:pPr>
              <w:adjustRightInd w:val="0"/>
              <w:snapToGrid w:val="0"/>
              <w:jc w:val="center"/>
              <w:rPr>
                <w:snapToGrid w:val="0"/>
                <w:color w:val="000000" w:themeColor="text1"/>
                <w:kern w:val="0"/>
                <w:sz w:val="24"/>
                <w14:textFill>
                  <w14:solidFill>
                    <w14:schemeClr w14:val="tx1"/>
                  </w14:solidFill>
                </w14:textFill>
              </w:rPr>
            </w:pPr>
            <w:r>
              <w:rPr>
                <w:snapToGrid w:val="0"/>
                <w:color w:val="000000" w:themeColor="text1"/>
                <w:kern w:val="0"/>
                <w:sz w:val="24"/>
                <w14:textFill>
                  <w14:solidFill>
                    <w14:schemeClr w14:val="tx1"/>
                  </w14:solidFill>
                </w14:textFill>
              </w:rPr>
              <w:t>建设项目名称</w:t>
            </w:r>
          </w:p>
        </w:tc>
        <w:tc>
          <w:tcPr>
            <w:tcW w:w="3954" w:type="pct"/>
            <w:gridSpan w:val="3"/>
            <w:tcBorders>
              <w:tl2br w:val="nil"/>
              <w:tr2bl w:val="nil"/>
            </w:tcBorders>
            <w:vAlign w:val="center"/>
          </w:tcPr>
          <w:p w14:paraId="1BA8189D">
            <w:pPr>
              <w:adjustRightInd w:val="0"/>
              <w:snapToGrid w:val="0"/>
              <w:jc w:val="center"/>
              <w:rPr>
                <w:snapToGrid w:val="0"/>
                <w:color w:val="000000" w:themeColor="text1"/>
                <w:kern w:val="0"/>
                <w:sz w:val="24"/>
                <w14:textFill>
                  <w14:solidFill>
                    <w14:schemeClr w14:val="tx1"/>
                  </w14:solidFill>
                </w14:textFill>
              </w:rPr>
            </w:pPr>
            <w:r>
              <w:rPr>
                <w:rFonts w:hint="eastAsia"/>
                <w:snapToGrid w:val="0"/>
                <w:color w:val="000000" w:themeColor="text1"/>
                <w:kern w:val="0"/>
                <w:sz w:val="24"/>
                <w14:textFill>
                  <w14:solidFill>
                    <w14:schemeClr w14:val="tx1"/>
                  </w14:solidFill>
                </w14:textFill>
              </w:rPr>
              <w:t>巴州宏程能源建设工程（集团）有限公司移动式生物质锅炉建设项目</w:t>
            </w:r>
          </w:p>
        </w:tc>
      </w:tr>
      <w:tr w14:paraId="6E25C4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92" w:hRule="atLeast"/>
          <w:jc w:val="center"/>
        </w:trPr>
        <w:tc>
          <w:tcPr>
            <w:tcW w:w="1045" w:type="pct"/>
            <w:tcBorders>
              <w:tl2br w:val="nil"/>
              <w:tr2bl w:val="nil"/>
            </w:tcBorders>
            <w:tcMar>
              <w:top w:w="16" w:type="dxa"/>
              <w:left w:w="16" w:type="dxa"/>
              <w:right w:w="16" w:type="dxa"/>
            </w:tcMar>
            <w:vAlign w:val="center"/>
          </w:tcPr>
          <w:p w14:paraId="5D885E87">
            <w:pPr>
              <w:adjustRightInd w:val="0"/>
              <w:snapToGrid w:val="0"/>
              <w:spacing w:line="360" w:lineRule="auto"/>
              <w:jc w:val="center"/>
              <w:rPr>
                <w:snapToGrid w:val="0"/>
                <w:color w:val="000000" w:themeColor="text1"/>
                <w:kern w:val="0"/>
                <w:sz w:val="24"/>
                <w14:textFill>
                  <w14:solidFill>
                    <w14:schemeClr w14:val="tx1"/>
                  </w14:solidFill>
                </w14:textFill>
              </w:rPr>
            </w:pPr>
            <w:r>
              <w:rPr>
                <w:snapToGrid w:val="0"/>
                <w:color w:val="000000" w:themeColor="text1"/>
                <w:kern w:val="0"/>
                <w:sz w:val="24"/>
                <w14:textFill>
                  <w14:solidFill>
                    <w14:schemeClr w14:val="tx1"/>
                  </w14:solidFill>
                </w14:textFill>
              </w:rPr>
              <w:t>国民经济</w:t>
            </w:r>
          </w:p>
          <w:p w14:paraId="539F454C">
            <w:pPr>
              <w:adjustRightInd w:val="0"/>
              <w:snapToGrid w:val="0"/>
              <w:spacing w:line="360" w:lineRule="auto"/>
              <w:jc w:val="center"/>
              <w:rPr>
                <w:snapToGrid w:val="0"/>
                <w:color w:val="000000" w:themeColor="text1"/>
                <w:kern w:val="0"/>
                <w:sz w:val="24"/>
                <w14:textFill>
                  <w14:solidFill>
                    <w14:schemeClr w14:val="tx1"/>
                  </w14:solidFill>
                </w14:textFill>
              </w:rPr>
            </w:pPr>
            <w:r>
              <w:rPr>
                <w:snapToGrid w:val="0"/>
                <w:color w:val="000000" w:themeColor="text1"/>
                <w:kern w:val="0"/>
                <w:sz w:val="24"/>
                <w14:textFill>
                  <w14:solidFill>
                    <w14:schemeClr w14:val="tx1"/>
                  </w14:solidFill>
                </w14:textFill>
              </w:rPr>
              <w:t>行业类别</w:t>
            </w:r>
          </w:p>
        </w:tc>
        <w:tc>
          <w:tcPr>
            <w:tcW w:w="1290" w:type="pct"/>
            <w:tcBorders>
              <w:tl2br w:val="nil"/>
              <w:tr2bl w:val="nil"/>
            </w:tcBorders>
            <w:vAlign w:val="center"/>
          </w:tcPr>
          <w:p w14:paraId="20324FCD">
            <w:pPr>
              <w:adjustRightInd w:val="0"/>
              <w:snapToGrid w:val="0"/>
              <w:rPr>
                <w:snapToGrid w:val="0"/>
                <w:color w:val="000000" w:themeColor="text1"/>
                <w:kern w:val="0"/>
                <w:sz w:val="24"/>
                <w14:textFill>
                  <w14:solidFill>
                    <w14:schemeClr w14:val="tx1"/>
                  </w14:solidFill>
                </w14:textFill>
              </w:rPr>
            </w:pPr>
            <w:r>
              <w:rPr>
                <w:rFonts w:hint="eastAsia"/>
                <w:snapToGrid w:val="0"/>
                <w:color w:val="000000" w:themeColor="text1"/>
                <w:kern w:val="0"/>
                <w:sz w:val="24"/>
                <w14:textFill>
                  <w14:solidFill>
                    <w14:schemeClr w14:val="tx1"/>
                  </w14:solidFill>
                </w14:textFill>
              </w:rPr>
              <w:t>D4430热力生产和供应</w:t>
            </w:r>
          </w:p>
        </w:tc>
        <w:tc>
          <w:tcPr>
            <w:tcW w:w="1155" w:type="pct"/>
            <w:tcBorders>
              <w:tl2br w:val="nil"/>
              <w:tr2bl w:val="nil"/>
            </w:tcBorders>
            <w:vAlign w:val="center"/>
          </w:tcPr>
          <w:p w14:paraId="452C211F">
            <w:pPr>
              <w:adjustRightInd w:val="0"/>
              <w:snapToGrid w:val="0"/>
              <w:spacing w:line="360" w:lineRule="auto"/>
              <w:jc w:val="center"/>
              <w:rPr>
                <w:snapToGrid w:val="0"/>
                <w:color w:val="000000" w:themeColor="text1"/>
                <w:kern w:val="0"/>
                <w:sz w:val="24"/>
                <w14:textFill>
                  <w14:solidFill>
                    <w14:schemeClr w14:val="tx1"/>
                  </w14:solidFill>
                </w14:textFill>
              </w:rPr>
            </w:pPr>
            <w:bookmarkStart w:id="0" w:name="_Hlk49843745"/>
            <w:r>
              <w:rPr>
                <w:snapToGrid w:val="0"/>
                <w:color w:val="000000" w:themeColor="text1"/>
                <w:kern w:val="0"/>
                <w:sz w:val="24"/>
                <w14:textFill>
                  <w14:solidFill>
                    <w14:schemeClr w14:val="tx1"/>
                  </w14:solidFill>
                </w14:textFill>
              </w:rPr>
              <w:t>建设项目</w:t>
            </w:r>
          </w:p>
          <w:p w14:paraId="48FF7E33">
            <w:pPr>
              <w:adjustRightInd w:val="0"/>
              <w:snapToGrid w:val="0"/>
              <w:spacing w:line="360" w:lineRule="auto"/>
              <w:jc w:val="center"/>
              <w:rPr>
                <w:snapToGrid w:val="0"/>
                <w:color w:val="000000" w:themeColor="text1"/>
                <w:kern w:val="0"/>
                <w:sz w:val="24"/>
                <w14:textFill>
                  <w14:solidFill>
                    <w14:schemeClr w14:val="tx1"/>
                  </w14:solidFill>
                </w14:textFill>
              </w:rPr>
            </w:pPr>
            <w:r>
              <w:rPr>
                <w:snapToGrid w:val="0"/>
                <w:color w:val="000000" w:themeColor="text1"/>
                <w:kern w:val="0"/>
                <w:sz w:val="24"/>
                <w14:textFill>
                  <w14:solidFill>
                    <w14:schemeClr w14:val="tx1"/>
                  </w14:solidFill>
                </w14:textFill>
              </w:rPr>
              <w:t>行业类别</w:t>
            </w:r>
            <w:bookmarkEnd w:id="0"/>
          </w:p>
        </w:tc>
        <w:tc>
          <w:tcPr>
            <w:tcW w:w="1508" w:type="pct"/>
            <w:tcBorders>
              <w:tl2br w:val="nil"/>
              <w:tr2bl w:val="nil"/>
            </w:tcBorders>
            <w:vAlign w:val="center"/>
          </w:tcPr>
          <w:p w14:paraId="0C993F80">
            <w:pPr>
              <w:widowControl/>
              <w:jc w:val="left"/>
              <w:rPr>
                <w:snapToGrid w:val="0"/>
                <w:color w:val="000000" w:themeColor="text1"/>
                <w:kern w:val="0"/>
                <w:sz w:val="24"/>
                <w14:textFill>
                  <w14:solidFill>
                    <w14:schemeClr w14:val="tx1"/>
                  </w14:solidFill>
                </w14:textFill>
              </w:rPr>
            </w:pPr>
            <w:r>
              <w:rPr>
                <w:rFonts w:hint="eastAsia"/>
                <w:snapToGrid w:val="0"/>
                <w:color w:val="000000" w:themeColor="text1"/>
                <w:kern w:val="0"/>
                <w:sz w:val="24"/>
                <w14:textFill>
                  <w14:solidFill>
                    <w14:schemeClr w14:val="tx1"/>
                  </w14:solidFill>
                </w14:textFill>
              </w:rPr>
              <w:t>四十一、</w:t>
            </w:r>
            <w:r>
              <w:rPr>
                <w:color w:val="000000" w:themeColor="text1"/>
                <w:kern w:val="0"/>
                <w:sz w:val="24"/>
                <w:lang w:bidi="ar"/>
                <w14:textFill>
                  <w14:solidFill>
                    <w14:schemeClr w14:val="tx1"/>
                  </w14:solidFill>
                </w14:textFill>
              </w:rPr>
              <w:t>电力、热力生产和供应业</w:t>
            </w:r>
            <w:r>
              <w:rPr>
                <w:snapToGrid w:val="0"/>
                <w:color w:val="000000" w:themeColor="text1"/>
                <w:kern w:val="0"/>
                <w:sz w:val="24"/>
                <w14:textFill>
                  <w14:solidFill>
                    <w14:schemeClr w14:val="tx1"/>
                  </w14:solidFill>
                </w14:textFill>
              </w:rPr>
              <w:t>91</w:t>
            </w:r>
            <w:r>
              <w:rPr>
                <w:color w:val="000000" w:themeColor="text1"/>
                <w:kern w:val="0"/>
                <w:sz w:val="24"/>
                <w:lang w:bidi="ar"/>
                <w14:textFill>
                  <w14:solidFill>
                    <w14:schemeClr w14:val="tx1"/>
                  </w14:solidFill>
                </w14:textFill>
              </w:rPr>
              <w:t>热力生产和供应工程</w:t>
            </w:r>
          </w:p>
        </w:tc>
      </w:tr>
      <w:tr w14:paraId="7D024F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 w:hRule="atLeast"/>
          <w:jc w:val="center"/>
        </w:trPr>
        <w:tc>
          <w:tcPr>
            <w:tcW w:w="1045" w:type="pct"/>
            <w:tcBorders>
              <w:tl2br w:val="nil"/>
              <w:tr2bl w:val="nil"/>
            </w:tcBorders>
            <w:tcMar>
              <w:top w:w="16" w:type="dxa"/>
              <w:left w:w="16" w:type="dxa"/>
              <w:right w:w="16" w:type="dxa"/>
            </w:tcMar>
            <w:vAlign w:val="center"/>
          </w:tcPr>
          <w:p w14:paraId="39E5BDC9">
            <w:pPr>
              <w:adjustRightInd w:val="0"/>
              <w:snapToGrid w:val="0"/>
              <w:jc w:val="center"/>
              <w:rPr>
                <w:snapToGrid w:val="0"/>
                <w:color w:val="000000" w:themeColor="text1"/>
                <w:kern w:val="0"/>
                <w:sz w:val="24"/>
                <w14:textFill>
                  <w14:solidFill>
                    <w14:schemeClr w14:val="tx1"/>
                  </w14:solidFill>
                </w14:textFill>
              </w:rPr>
            </w:pPr>
            <w:r>
              <w:rPr>
                <w:snapToGrid w:val="0"/>
                <w:color w:val="000000" w:themeColor="text1"/>
                <w:kern w:val="0"/>
                <w:sz w:val="24"/>
                <w14:textFill>
                  <w14:solidFill>
                    <w14:schemeClr w14:val="tx1"/>
                  </w14:solidFill>
                </w14:textFill>
              </w:rPr>
              <w:t>建设性质</w:t>
            </w:r>
          </w:p>
        </w:tc>
        <w:tc>
          <w:tcPr>
            <w:tcW w:w="1290" w:type="pct"/>
            <w:tcBorders>
              <w:tl2br w:val="nil"/>
              <w:tr2bl w:val="nil"/>
            </w:tcBorders>
            <w:vAlign w:val="center"/>
          </w:tcPr>
          <w:p w14:paraId="3DAEA442">
            <w:pPr>
              <w:adjustRightInd w:val="0"/>
              <w:snapToGrid w:val="0"/>
              <w:rPr>
                <w:snapToGrid w:val="0"/>
                <w:color w:val="000000" w:themeColor="text1"/>
                <w:kern w:val="0"/>
                <w:sz w:val="24"/>
                <w14:textFill>
                  <w14:solidFill>
                    <w14:schemeClr w14:val="tx1"/>
                  </w14:solidFill>
                </w14:textFill>
              </w:rPr>
            </w:pPr>
            <w:r>
              <w:rPr>
                <w:snapToGrid w:val="0"/>
                <w:color w:val="000000" w:themeColor="text1"/>
                <w:kern w:val="0"/>
                <w:sz w:val="24"/>
                <w14:textFill>
                  <w14:solidFill>
                    <w14:schemeClr w14:val="tx1"/>
                  </w14:solidFill>
                </w14:textFill>
              </w:rPr>
              <w:sym w:font="Wingdings" w:char="00FE"/>
            </w:r>
            <w:r>
              <w:rPr>
                <w:snapToGrid w:val="0"/>
                <w:color w:val="000000" w:themeColor="text1"/>
                <w:kern w:val="0"/>
                <w:sz w:val="24"/>
                <w14:textFill>
                  <w14:solidFill>
                    <w14:schemeClr w14:val="tx1"/>
                  </w14:solidFill>
                </w14:textFill>
              </w:rPr>
              <w:t>新建（迁建）</w:t>
            </w:r>
          </w:p>
          <w:p w14:paraId="6FE04274">
            <w:pPr>
              <w:adjustRightInd w:val="0"/>
              <w:snapToGrid w:val="0"/>
              <w:rPr>
                <w:snapToGrid w:val="0"/>
                <w:color w:val="000000" w:themeColor="text1"/>
                <w:kern w:val="0"/>
                <w:sz w:val="24"/>
                <w14:textFill>
                  <w14:solidFill>
                    <w14:schemeClr w14:val="tx1"/>
                  </w14:solidFill>
                </w14:textFill>
              </w:rPr>
            </w:pPr>
            <w:r>
              <w:rPr>
                <w:snapToGrid w:val="0"/>
                <w:color w:val="000000" w:themeColor="text1"/>
                <w:kern w:val="0"/>
                <w:sz w:val="24"/>
                <w14:textFill>
                  <w14:solidFill>
                    <w14:schemeClr w14:val="tx1"/>
                  </w14:solidFill>
                </w14:textFill>
              </w:rPr>
              <w:sym w:font="Wingdings" w:char="00A8"/>
            </w:r>
            <w:r>
              <w:rPr>
                <w:snapToGrid w:val="0"/>
                <w:color w:val="000000" w:themeColor="text1"/>
                <w:kern w:val="0"/>
                <w:sz w:val="24"/>
                <w14:textFill>
                  <w14:solidFill>
                    <w14:schemeClr w14:val="tx1"/>
                  </w14:solidFill>
                </w14:textFill>
              </w:rPr>
              <w:t>改建</w:t>
            </w:r>
          </w:p>
          <w:p w14:paraId="09624B1D">
            <w:pPr>
              <w:adjustRightInd w:val="0"/>
              <w:snapToGrid w:val="0"/>
              <w:rPr>
                <w:snapToGrid w:val="0"/>
                <w:color w:val="000000" w:themeColor="text1"/>
                <w:kern w:val="0"/>
                <w:sz w:val="24"/>
                <w14:textFill>
                  <w14:solidFill>
                    <w14:schemeClr w14:val="tx1"/>
                  </w14:solidFill>
                </w14:textFill>
              </w:rPr>
            </w:pPr>
            <w:r>
              <w:rPr>
                <w:snapToGrid w:val="0"/>
                <w:color w:val="000000" w:themeColor="text1"/>
                <w:kern w:val="0"/>
                <w:sz w:val="24"/>
                <w14:textFill>
                  <w14:solidFill>
                    <w14:schemeClr w14:val="tx1"/>
                  </w14:solidFill>
                </w14:textFill>
              </w:rPr>
              <w:sym w:font="Wingdings" w:char="00A8"/>
            </w:r>
            <w:r>
              <w:rPr>
                <w:snapToGrid w:val="0"/>
                <w:color w:val="000000" w:themeColor="text1"/>
                <w:kern w:val="0"/>
                <w:sz w:val="24"/>
                <w14:textFill>
                  <w14:solidFill>
                    <w14:schemeClr w14:val="tx1"/>
                  </w14:solidFill>
                </w14:textFill>
              </w:rPr>
              <w:t>扩建</w:t>
            </w:r>
          </w:p>
          <w:p w14:paraId="1AE84B77">
            <w:pPr>
              <w:adjustRightInd w:val="0"/>
              <w:snapToGrid w:val="0"/>
              <w:rPr>
                <w:snapToGrid w:val="0"/>
                <w:color w:val="000000" w:themeColor="text1"/>
                <w:kern w:val="0"/>
                <w:sz w:val="24"/>
                <w14:textFill>
                  <w14:solidFill>
                    <w14:schemeClr w14:val="tx1"/>
                  </w14:solidFill>
                </w14:textFill>
              </w:rPr>
            </w:pPr>
            <w:r>
              <w:rPr>
                <w:snapToGrid w:val="0"/>
                <w:color w:val="000000" w:themeColor="text1"/>
                <w:kern w:val="0"/>
                <w:sz w:val="24"/>
                <w14:textFill>
                  <w14:solidFill>
                    <w14:schemeClr w14:val="tx1"/>
                  </w14:solidFill>
                </w14:textFill>
              </w:rPr>
              <w:sym w:font="Wingdings" w:char="00A8"/>
            </w:r>
            <w:r>
              <w:rPr>
                <w:snapToGrid w:val="0"/>
                <w:color w:val="000000" w:themeColor="text1"/>
                <w:kern w:val="0"/>
                <w:sz w:val="24"/>
                <w14:textFill>
                  <w14:solidFill>
                    <w14:schemeClr w14:val="tx1"/>
                  </w14:solidFill>
                </w14:textFill>
              </w:rPr>
              <w:t>技术改造</w:t>
            </w:r>
          </w:p>
        </w:tc>
        <w:tc>
          <w:tcPr>
            <w:tcW w:w="1155" w:type="pct"/>
            <w:tcBorders>
              <w:tl2br w:val="nil"/>
              <w:tr2bl w:val="nil"/>
            </w:tcBorders>
            <w:vAlign w:val="center"/>
          </w:tcPr>
          <w:p w14:paraId="5CA3C2FC">
            <w:pPr>
              <w:adjustRightInd w:val="0"/>
              <w:snapToGrid w:val="0"/>
              <w:jc w:val="center"/>
              <w:rPr>
                <w:snapToGrid w:val="0"/>
                <w:color w:val="000000" w:themeColor="text1"/>
                <w:kern w:val="0"/>
                <w:sz w:val="24"/>
                <w14:textFill>
                  <w14:solidFill>
                    <w14:schemeClr w14:val="tx1"/>
                  </w14:solidFill>
                </w14:textFill>
              </w:rPr>
            </w:pPr>
            <w:r>
              <w:rPr>
                <w:snapToGrid w:val="0"/>
                <w:color w:val="000000" w:themeColor="text1"/>
                <w:kern w:val="0"/>
                <w:sz w:val="24"/>
                <w14:textFill>
                  <w14:solidFill>
                    <w14:schemeClr w14:val="tx1"/>
                  </w14:solidFill>
                </w14:textFill>
              </w:rPr>
              <w:t>建设项目</w:t>
            </w:r>
          </w:p>
          <w:p w14:paraId="117C2494">
            <w:pPr>
              <w:adjustRightInd w:val="0"/>
              <w:snapToGrid w:val="0"/>
              <w:jc w:val="center"/>
              <w:rPr>
                <w:snapToGrid w:val="0"/>
                <w:color w:val="000000" w:themeColor="text1"/>
                <w:kern w:val="0"/>
                <w:sz w:val="24"/>
                <w14:textFill>
                  <w14:solidFill>
                    <w14:schemeClr w14:val="tx1"/>
                  </w14:solidFill>
                </w14:textFill>
              </w:rPr>
            </w:pPr>
            <w:r>
              <w:rPr>
                <w:snapToGrid w:val="0"/>
                <w:color w:val="000000" w:themeColor="text1"/>
                <w:kern w:val="0"/>
                <w:sz w:val="24"/>
                <w14:textFill>
                  <w14:solidFill>
                    <w14:schemeClr w14:val="tx1"/>
                  </w14:solidFill>
                </w14:textFill>
              </w:rPr>
              <w:t>申报情形</w:t>
            </w:r>
          </w:p>
        </w:tc>
        <w:tc>
          <w:tcPr>
            <w:tcW w:w="1508" w:type="pct"/>
            <w:tcBorders>
              <w:tl2br w:val="nil"/>
              <w:tr2bl w:val="nil"/>
            </w:tcBorders>
            <w:vAlign w:val="center"/>
          </w:tcPr>
          <w:p w14:paraId="6293EBE0">
            <w:pPr>
              <w:adjustRightInd w:val="0"/>
              <w:snapToGrid w:val="0"/>
              <w:rPr>
                <w:snapToGrid w:val="0"/>
                <w:color w:val="000000" w:themeColor="text1"/>
                <w:kern w:val="0"/>
                <w:sz w:val="24"/>
                <w14:textFill>
                  <w14:solidFill>
                    <w14:schemeClr w14:val="tx1"/>
                  </w14:solidFill>
                </w14:textFill>
              </w:rPr>
            </w:pPr>
            <w:r>
              <w:rPr>
                <w:snapToGrid w:val="0"/>
                <w:color w:val="000000" w:themeColor="text1"/>
                <w:kern w:val="0"/>
                <w:sz w:val="24"/>
                <w14:textFill>
                  <w14:solidFill>
                    <w14:schemeClr w14:val="tx1"/>
                  </w14:solidFill>
                </w14:textFill>
              </w:rPr>
              <w:sym w:font="Wingdings" w:char="00FE"/>
            </w:r>
            <w:r>
              <w:rPr>
                <w:snapToGrid w:val="0"/>
                <w:color w:val="000000" w:themeColor="text1"/>
                <w:kern w:val="0"/>
                <w:sz w:val="24"/>
                <w14:textFill>
                  <w14:solidFill>
                    <w14:schemeClr w14:val="tx1"/>
                  </w14:solidFill>
                </w14:textFill>
              </w:rPr>
              <w:t>首次申报项目</w:t>
            </w:r>
          </w:p>
          <w:p w14:paraId="5FCCCD5C">
            <w:pPr>
              <w:adjustRightInd w:val="0"/>
              <w:snapToGrid w:val="0"/>
              <w:rPr>
                <w:snapToGrid w:val="0"/>
                <w:color w:val="000000" w:themeColor="text1"/>
                <w:spacing w:val="-20"/>
                <w:kern w:val="0"/>
                <w:sz w:val="24"/>
                <w14:textFill>
                  <w14:solidFill>
                    <w14:schemeClr w14:val="tx1"/>
                  </w14:solidFill>
                </w14:textFill>
              </w:rPr>
            </w:pPr>
            <w:r>
              <w:rPr>
                <w:snapToGrid w:val="0"/>
                <w:color w:val="000000" w:themeColor="text1"/>
                <w:spacing w:val="-20"/>
                <w:kern w:val="0"/>
                <w:sz w:val="24"/>
                <w14:textFill>
                  <w14:solidFill>
                    <w14:schemeClr w14:val="tx1"/>
                  </w14:solidFill>
                </w14:textFill>
              </w:rPr>
              <w:sym w:font="Wingdings" w:char="00A8"/>
            </w:r>
            <w:r>
              <w:rPr>
                <w:snapToGrid w:val="0"/>
                <w:color w:val="000000" w:themeColor="text1"/>
                <w:spacing w:val="-20"/>
                <w:kern w:val="0"/>
                <w:sz w:val="24"/>
                <w14:textFill>
                  <w14:solidFill>
                    <w14:schemeClr w14:val="tx1"/>
                  </w14:solidFill>
                </w14:textFill>
              </w:rPr>
              <w:t>不予批准后再次申报项目</w:t>
            </w:r>
          </w:p>
          <w:p w14:paraId="4EEF2C38">
            <w:pPr>
              <w:adjustRightInd w:val="0"/>
              <w:snapToGrid w:val="0"/>
              <w:rPr>
                <w:snapToGrid w:val="0"/>
                <w:color w:val="000000" w:themeColor="text1"/>
                <w:kern w:val="0"/>
                <w:sz w:val="24"/>
                <w14:textFill>
                  <w14:solidFill>
                    <w14:schemeClr w14:val="tx1"/>
                  </w14:solidFill>
                </w14:textFill>
              </w:rPr>
            </w:pPr>
            <w:r>
              <w:rPr>
                <w:snapToGrid w:val="0"/>
                <w:color w:val="000000" w:themeColor="text1"/>
                <w:kern w:val="0"/>
                <w:sz w:val="24"/>
                <w14:textFill>
                  <w14:solidFill>
                    <w14:schemeClr w14:val="tx1"/>
                  </w14:solidFill>
                </w14:textFill>
              </w:rPr>
              <w:sym w:font="Wingdings" w:char="00A8"/>
            </w:r>
            <w:r>
              <w:rPr>
                <w:snapToGrid w:val="0"/>
                <w:color w:val="000000" w:themeColor="text1"/>
                <w:kern w:val="0"/>
                <w:sz w:val="24"/>
                <w14:textFill>
                  <w14:solidFill>
                    <w14:schemeClr w14:val="tx1"/>
                  </w14:solidFill>
                </w14:textFill>
              </w:rPr>
              <w:t>超五年重新审核项目</w:t>
            </w:r>
          </w:p>
          <w:p w14:paraId="48804C77">
            <w:pPr>
              <w:adjustRightInd w:val="0"/>
              <w:snapToGrid w:val="0"/>
              <w:jc w:val="center"/>
              <w:rPr>
                <w:snapToGrid w:val="0"/>
                <w:color w:val="000000" w:themeColor="text1"/>
                <w:kern w:val="0"/>
                <w:sz w:val="24"/>
                <w14:textFill>
                  <w14:solidFill>
                    <w14:schemeClr w14:val="tx1"/>
                  </w14:solidFill>
                </w14:textFill>
              </w:rPr>
            </w:pPr>
            <w:r>
              <w:rPr>
                <w:snapToGrid w:val="0"/>
                <w:color w:val="000000" w:themeColor="text1"/>
                <w:kern w:val="0"/>
                <w:sz w:val="24"/>
                <w14:textFill>
                  <w14:solidFill>
                    <w14:schemeClr w14:val="tx1"/>
                  </w14:solidFill>
                </w14:textFill>
              </w:rPr>
              <w:sym w:font="Wingdings" w:char="00A8"/>
            </w:r>
            <w:r>
              <w:rPr>
                <w:snapToGrid w:val="0"/>
                <w:color w:val="000000" w:themeColor="text1"/>
                <w:kern w:val="0"/>
                <w:sz w:val="24"/>
                <w14:textFill>
                  <w14:solidFill>
                    <w14:schemeClr w14:val="tx1"/>
                  </w14:solidFill>
                </w14:textFill>
              </w:rPr>
              <w:t>重大变动重新报批项目</w:t>
            </w:r>
          </w:p>
        </w:tc>
      </w:tr>
      <w:tr w14:paraId="33C517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4" w:hRule="atLeast"/>
          <w:jc w:val="center"/>
        </w:trPr>
        <w:tc>
          <w:tcPr>
            <w:tcW w:w="1045" w:type="pct"/>
            <w:tcBorders>
              <w:tl2br w:val="nil"/>
              <w:tr2bl w:val="nil"/>
            </w:tcBorders>
            <w:vAlign w:val="center"/>
          </w:tcPr>
          <w:p w14:paraId="3AEEFFA2">
            <w:pPr>
              <w:adjustRightInd w:val="0"/>
              <w:snapToGrid w:val="0"/>
              <w:jc w:val="center"/>
              <w:rPr>
                <w:rFonts w:hint="eastAsia"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专项评价</w:t>
            </w:r>
          </w:p>
          <w:p w14:paraId="7DD1CEC7">
            <w:pPr>
              <w:adjustRightInd w:val="0"/>
              <w:snapToGrid w:val="0"/>
              <w:jc w:val="center"/>
              <w:rPr>
                <w:rFonts w:hint="eastAsia"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设置情况</w:t>
            </w:r>
          </w:p>
        </w:tc>
        <w:tc>
          <w:tcPr>
            <w:tcW w:w="3954" w:type="pct"/>
            <w:gridSpan w:val="3"/>
            <w:tcBorders>
              <w:tl2br w:val="nil"/>
              <w:tr2bl w:val="nil"/>
            </w:tcBorders>
            <w:vAlign w:val="center"/>
          </w:tcPr>
          <w:p w14:paraId="74F69BD4">
            <w:pPr>
              <w:adjustRightInd w:val="0"/>
              <w:snapToGrid w:val="0"/>
              <w:spacing w:line="360" w:lineRule="auto"/>
              <w:ind w:firstLine="480" w:firstLineChars="200"/>
              <w:jc w:val="center"/>
              <w:rPr>
                <w:rFonts w:hint="eastAsia"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无</w:t>
            </w:r>
          </w:p>
        </w:tc>
      </w:tr>
      <w:tr w14:paraId="53D10A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8" w:hRule="atLeast"/>
          <w:jc w:val="center"/>
        </w:trPr>
        <w:tc>
          <w:tcPr>
            <w:tcW w:w="1045" w:type="pct"/>
            <w:tcBorders>
              <w:tl2br w:val="nil"/>
              <w:tr2bl w:val="nil"/>
            </w:tcBorders>
            <w:vAlign w:val="center"/>
          </w:tcPr>
          <w:p w14:paraId="2B2F73E2">
            <w:pPr>
              <w:adjustRightInd w:val="0"/>
              <w:snapToGrid w:val="0"/>
              <w:jc w:val="center"/>
              <w:rPr>
                <w:rFonts w:hint="eastAsia"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规划情况</w:t>
            </w:r>
          </w:p>
        </w:tc>
        <w:tc>
          <w:tcPr>
            <w:tcW w:w="3954" w:type="pct"/>
            <w:gridSpan w:val="3"/>
            <w:tcBorders>
              <w:tl2br w:val="nil"/>
              <w:tr2bl w:val="nil"/>
            </w:tcBorders>
            <w:vAlign w:val="center"/>
          </w:tcPr>
          <w:p w14:paraId="278FD452">
            <w:pPr>
              <w:widowControl/>
              <w:adjustRightInd w:val="0"/>
              <w:snapToGrid w:val="0"/>
              <w:spacing w:line="360" w:lineRule="auto"/>
              <w:rPr>
                <w:rFonts w:hint="eastAsia" w:ascii="宋体" w:hAnsi="宋体" w:cs="宋体"/>
                <w:snapToGrid w:val="0"/>
                <w:color w:val="000000" w:themeColor="text1"/>
                <w:kern w:val="0"/>
                <w:sz w:val="24"/>
                <w14:textFill>
                  <w14:solidFill>
                    <w14:schemeClr w14:val="tx1"/>
                  </w14:solidFill>
                </w14:textFill>
              </w:rPr>
            </w:pPr>
            <w:r>
              <w:rPr>
                <w:rFonts w:hint="eastAsia"/>
                <w:kern w:val="0"/>
                <w:sz w:val="24"/>
              </w:rPr>
              <w:t>/</w:t>
            </w:r>
          </w:p>
        </w:tc>
      </w:tr>
      <w:tr w14:paraId="31663A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50" w:hRule="atLeast"/>
          <w:jc w:val="center"/>
        </w:trPr>
        <w:tc>
          <w:tcPr>
            <w:tcW w:w="1045" w:type="pct"/>
            <w:tcBorders>
              <w:tl2br w:val="nil"/>
              <w:tr2bl w:val="nil"/>
            </w:tcBorders>
            <w:vAlign w:val="center"/>
          </w:tcPr>
          <w:p w14:paraId="15862FBB">
            <w:pPr>
              <w:adjustRightInd w:val="0"/>
              <w:snapToGrid w:val="0"/>
              <w:jc w:val="center"/>
              <w:rPr>
                <w:rFonts w:hint="eastAsia"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规划环境影响</w:t>
            </w:r>
          </w:p>
          <w:p w14:paraId="57E1CC09">
            <w:pPr>
              <w:adjustRightInd w:val="0"/>
              <w:snapToGrid w:val="0"/>
              <w:jc w:val="center"/>
              <w:rPr>
                <w:rFonts w:hint="eastAsia"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评价情况</w:t>
            </w:r>
          </w:p>
        </w:tc>
        <w:tc>
          <w:tcPr>
            <w:tcW w:w="3954" w:type="pct"/>
            <w:gridSpan w:val="3"/>
            <w:tcBorders>
              <w:tl2br w:val="nil"/>
              <w:tr2bl w:val="nil"/>
            </w:tcBorders>
            <w:vAlign w:val="center"/>
          </w:tcPr>
          <w:p w14:paraId="4B55B0A3">
            <w:pPr>
              <w:spacing w:line="400" w:lineRule="atLeast"/>
              <w:rPr>
                <w:rFonts w:hint="eastAsia"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w:t>
            </w:r>
          </w:p>
        </w:tc>
      </w:tr>
      <w:tr w14:paraId="4F0CA5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4" w:hRule="atLeast"/>
          <w:jc w:val="center"/>
        </w:trPr>
        <w:tc>
          <w:tcPr>
            <w:tcW w:w="1045" w:type="pct"/>
            <w:tcBorders>
              <w:tl2br w:val="nil"/>
              <w:tr2bl w:val="nil"/>
            </w:tcBorders>
            <w:vAlign w:val="center"/>
          </w:tcPr>
          <w:p w14:paraId="39E4DF8D">
            <w:pPr>
              <w:adjustRightInd w:val="0"/>
              <w:snapToGrid w:val="0"/>
              <w:jc w:val="center"/>
              <w:rPr>
                <w:rFonts w:hint="eastAsia"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规划及规划环境影响评价符合性分析</w:t>
            </w:r>
          </w:p>
        </w:tc>
        <w:tc>
          <w:tcPr>
            <w:tcW w:w="3954" w:type="pct"/>
            <w:gridSpan w:val="3"/>
            <w:tcBorders>
              <w:tl2br w:val="nil"/>
              <w:tr2bl w:val="nil"/>
            </w:tcBorders>
            <w:vAlign w:val="center"/>
          </w:tcPr>
          <w:p w14:paraId="11CF0C04">
            <w:pPr>
              <w:adjustRightInd w:val="0"/>
              <w:snapToGrid w:val="0"/>
              <w:spacing w:line="360" w:lineRule="auto"/>
              <w:jc w:val="left"/>
              <w:rPr>
                <w:rFonts w:hint="eastAsia"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w:t>
            </w:r>
          </w:p>
        </w:tc>
      </w:tr>
    </w:tbl>
    <w:p w14:paraId="035B878F">
      <w:pPr>
        <w:pageBreakBefore/>
        <w:adjustRightInd w:val="0"/>
        <w:snapToGrid w:val="0"/>
        <w:spacing w:line="360" w:lineRule="auto"/>
        <w:jc w:val="center"/>
        <w:outlineLvl w:val="0"/>
        <w:rPr>
          <w:rFonts w:hint="eastAsia" w:ascii="黑体" w:hAnsi="黑体" w:eastAsia="黑体"/>
          <w:snapToGrid w:val="0"/>
          <w:color w:val="000000" w:themeColor="text1"/>
          <w:sz w:val="30"/>
          <w:szCs w:val="30"/>
          <w14:textFill>
            <w14:solidFill>
              <w14:schemeClr w14:val="tx1"/>
            </w14:solidFill>
          </w14:textFill>
        </w:rPr>
      </w:pPr>
      <w:r>
        <w:rPr>
          <w:rFonts w:hint="eastAsia" w:ascii="黑体" w:hAnsi="黑体" w:eastAsia="黑体"/>
          <w:snapToGrid w:val="0"/>
          <w:color w:val="000000" w:themeColor="text1"/>
          <w:sz w:val="30"/>
          <w:szCs w:val="30"/>
          <w14:textFill>
            <w14:solidFill>
              <w14:schemeClr w14:val="tx1"/>
            </w14:solidFill>
          </w14:textFill>
        </w:rPr>
        <w:t>二、建设项目工程分析</w:t>
      </w:r>
    </w:p>
    <w:tbl>
      <w:tblPr>
        <w:tblStyle w:val="2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7836"/>
      </w:tblGrid>
      <w:tr w14:paraId="69FACB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78" w:type="dxa"/>
            <w:tcBorders>
              <w:tl2br w:val="nil"/>
              <w:tr2bl w:val="nil"/>
            </w:tcBorders>
            <w:vAlign w:val="center"/>
          </w:tcPr>
          <w:p w14:paraId="696C1E56">
            <w:pPr>
              <w:pStyle w:val="24"/>
              <w:adjustRightInd w:val="0"/>
              <w:snapToGrid w:val="0"/>
              <w:spacing w:before="0" w:beforeAutospacing="0" w:after="0" w:afterAutospacing="0" w:line="360" w:lineRule="auto"/>
              <w:jc w:val="center"/>
              <w:outlineLvl w:val="0"/>
              <w:rPr>
                <w:rFonts w:ascii="Times New Roman" w:hAnsi="Times New Roman"/>
                <w:color w:val="000000" w:themeColor="text1"/>
                <w:szCs w:val="24"/>
                <w14:textFill>
                  <w14:solidFill>
                    <w14:schemeClr w14:val="tx1"/>
                  </w14:solidFill>
                </w14:textFill>
              </w:rPr>
            </w:pPr>
            <w:r>
              <w:rPr>
                <w:rFonts w:ascii="Times New Roman" w:hAnsi="Times New Roman"/>
                <w:b/>
                <w:bCs/>
                <w:color w:val="000000" w:themeColor="text1"/>
                <w:szCs w:val="24"/>
                <w14:textFill>
                  <w14:solidFill>
                    <w14:schemeClr w14:val="tx1"/>
                  </w14:solidFill>
                </w14:textFill>
              </w:rPr>
              <w:t>建设内容</w:t>
            </w:r>
          </w:p>
        </w:tc>
        <w:tc>
          <w:tcPr>
            <w:tcW w:w="7836" w:type="dxa"/>
            <w:tcBorders>
              <w:tl2br w:val="nil"/>
              <w:tr2bl w:val="nil"/>
            </w:tcBorders>
          </w:tcPr>
          <w:p w14:paraId="5589252F">
            <w:pPr>
              <w:adjustRightInd w:val="0"/>
              <w:snapToGrid w:val="0"/>
              <w:spacing w:line="360" w:lineRule="auto"/>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建设内容</w:t>
            </w:r>
          </w:p>
          <w:p w14:paraId="09646966">
            <w:pPr>
              <w:widowControl/>
              <w:wordWrap w:val="0"/>
              <w:adjustRightInd w:val="0"/>
              <w:snapToGrid w:val="0"/>
              <w:spacing w:line="360" w:lineRule="auto"/>
              <w:ind w:firstLine="480" w:firstLineChars="200"/>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本项目新购置2台2.5t/h的生物质锅炉，主要为鄯善县吐哈油田火车站镇作业区范围内钻井过程对井口、泥浆罐、水罐、钻井平台通过管线进行保温。</w:t>
            </w:r>
          </w:p>
          <w:p w14:paraId="6C2C220D">
            <w:pPr>
              <w:pStyle w:val="93"/>
              <w:rPr>
                <w:rFonts w:hint="eastAsia"/>
              </w:rPr>
            </w:pPr>
            <w:r>
              <w:t>表</w:t>
            </w:r>
            <w:r>
              <w:rPr>
                <w:rFonts w:hint="eastAsia"/>
              </w:rPr>
              <w:t>2-1</w:t>
            </w:r>
            <w:r>
              <w:t xml:space="preserve">     主要工程建设内容</w:t>
            </w:r>
          </w:p>
          <w:tbl>
            <w:tblPr>
              <w:tblStyle w:val="30"/>
              <w:tblW w:w="0" w:type="auto"/>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92"/>
              <w:gridCol w:w="976"/>
              <w:gridCol w:w="6047"/>
            </w:tblGrid>
            <w:tr w14:paraId="076D34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99" w:type="dxa"/>
                  <w:vMerge w:val="restart"/>
                  <w:tcBorders>
                    <w:tl2br w:val="nil"/>
                    <w:tr2bl w:val="nil"/>
                  </w:tcBorders>
                  <w:vAlign w:val="center"/>
                </w:tcPr>
                <w:p w14:paraId="74234F2C">
                  <w:pPr>
                    <w:pStyle w:val="37"/>
                    <w:ind w:left="-63" w:right="-63"/>
                  </w:pPr>
                  <w:r>
                    <w:rPr>
                      <w:rFonts w:hint="eastAsia"/>
                    </w:rPr>
                    <w:t>项目组成</w:t>
                  </w:r>
                </w:p>
              </w:tc>
              <w:tc>
                <w:tcPr>
                  <w:tcW w:w="7160" w:type="dxa"/>
                  <w:gridSpan w:val="2"/>
                  <w:tcBorders>
                    <w:tl2br w:val="nil"/>
                    <w:tr2bl w:val="nil"/>
                  </w:tcBorders>
                  <w:vAlign w:val="center"/>
                </w:tcPr>
                <w:p w14:paraId="09A12DF8">
                  <w:pPr>
                    <w:pStyle w:val="37"/>
                    <w:ind w:left="-63" w:right="-63"/>
                  </w:pPr>
                  <w:r>
                    <w:rPr>
                      <w:rFonts w:hint="eastAsia"/>
                    </w:rPr>
                    <w:t>规模</w:t>
                  </w:r>
                </w:p>
              </w:tc>
            </w:tr>
            <w:tr w14:paraId="405CBA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99" w:type="dxa"/>
                  <w:vMerge w:val="continue"/>
                  <w:tcBorders>
                    <w:tl2br w:val="nil"/>
                    <w:tr2bl w:val="nil"/>
                  </w:tcBorders>
                  <w:vAlign w:val="center"/>
                </w:tcPr>
                <w:p w14:paraId="03889414">
                  <w:pPr>
                    <w:pStyle w:val="37"/>
                    <w:ind w:left="-63" w:right="-63"/>
                  </w:pPr>
                </w:p>
              </w:tc>
              <w:tc>
                <w:tcPr>
                  <w:tcW w:w="992" w:type="dxa"/>
                  <w:tcBorders>
                    <w:tl2br w:val="nil"/>
                    <w:tr2bl w:val="nil"/>
                  </w:tcBorders>
                  <w:vAlign w:val="center"/>
                </w:tcPr>
                <w:p w14:paraId="29A56E5A">
                  <w:pPr>
                    <w:pStyle w:val="37"/>
                    <w:ind w:left="-63" w:right="-63"/>
                  </w:pPr>
                  <w:r>
                    <w:rPr>
                      <w:rFonts w:hint="eastAsia"/>
                    </w:rPr>
                    <w:t>项目</w:t>
                  </w:r>
                </w:p>
              </w:tc>
              <w:tc>
                <w:tcPr>
                  <w:tcW w:w="6168" w:type="dxa"/>
                  <w:tcBorders>
                    <w:tl2br w:val="nil"/>
                    <w:tr2bl w:val="nil"/>
                  </w:tcBorders>
                  <w:vAlign w:val="center"/>
                </w:tcPr>
                <w:p w14:paraId="4A87372E">
                  <w:pPr>
                    <w:pStyle w:val="37"/>
                    <w:ind w:left="-63" w:right="-63"/>
                  </w:pPr>
                  <w:r>
                    <w:rPr>
                      <w:rFonts w:hint="eastAsia"/>
                    </w:rPr>
                    <w:t>规模/功能</w:t>
                  </w:r>
                </w:p>
              </w:tc>
            </w:tr>
            <w:tr w14:paraId="6D17EF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9" w:type="dxa"/>
                  <w:tcBorders>
                    <w:tl2br w:val="nil"/>
                    <w:tr2bl w:val="nil"/>
                  </w:tcBorders>
                  <w:vAlign w:val="center"/>
                </w:tcPr>
                <w:p w14:paraId="4063E69A">
                  <w:pPr>
                    <w:pStyle w:val="37"/>
                    <w:ind w:left="-63" w:right="-63"/>
                  </w:pPr>
                  <w:r>
                    <w:rPr>
                      <w:rFonts w:hint="eastAsia"/>
                    </w:rPr>
                    <w:t>主体工程</w:t>
                  </w:r>
                </w:p>
              </w:tc>
              <w:tc>
                <w:tcPr>
                  <w:tcW w:w="992" w:type="dxa"/>
                  <w:tcBorders>
                    <w:tl2br w:val="nil"/>
                    <w:tr2bl w:val="nil"/>
                  </w:tcBorders>
                  <w:vAlign w:val="center"/>
                </w:tcPr>
                <w:p w14:paraId="5392787D">
                  <w:pPr>
                    <w:pStyle w:val="37"/>
                    <w:ind w:left="-63" w:right="-63"/>
                  </w:pPr>
                  <w:r>
                    <w:rPr>
                      <w:rFonts w:hint="eastAsia"/>
                    </w:rPr>
                    <w:t>移动锅炉</w:t>
                  </w:r>
                </w:p>
              </w:tc>
              <w:tc>
                <w:tcPr>
                  <w:tcW w:w="6168" w:type="dxa"/>
                  <w:tcBorders>
                    <w:tl2br w:val="nil"/>
                    <w:tr2bl w:val="nil"/>
                  </w:tcBorders>
                  <w:vAlign w:val="center"/>
                </w:tcPr>
                <w:p w14:paraId="35252562">
                  <w:pPr>
                    <w:pStyle w:val="37"/>
                    <w:ind w:left="-63" w:right="-63"/>
                  </w:pPr>
                  <w:r>
                    <w:t>新购置</w:t>
                  </w:r>
                  <w:r>
                    <w:rPr>
                      <w:rFonts w:hint="eastAsia"/>
                    </w:rPr>
                    <w:t>2台</w:t>
                  </w:r>
                  <w:r>
                    <w:t>2</w:t>
                  </w:r>
                  <w:r>
                    <w:rPr>
                      <w:rFonts w:hint="eastAsia"/>
                    </w:rPr>
                    <w:t>.5</w:t>
                  </w:r>
                  <w:r>
                    <w:t>t/h的生物质</w:t>
                  </w:r>
                  <w:r>
                    <w:rPr>
                      <w:rFonts w:hint="eastAsia"/>
                    </w:rPr>
                    <w:t>蒸汽</w:t>
                  </w:r>
                  <w:r>
                    <w:t>锅炉</w:t>
                  </w:r>
                  <w:r>
                    <w:rPr>
                      <w:rFonts w:hint="eastAsia"/>
                    </w:rPr>
                    <w:t>，以生物质成型颗粒为燃料</w:t>
                  </w:r>
                </w:p>
              </w:tc>
            </w:tr>
            <w:tr w14:paraId="2D9068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99" w:type="dxa"/>
                  <w:tcBorders>
                    <w:tl2br w:val="nil"/>
                    <w:tr2bl w:val="nil"/>
                  </w:tcBorders>
                  <w:vAlign w:val="center"/>
                </w:tcPr>
                <w:p w14:paraId="4A4BE59B">
                  <w:pPr>
                    <w:pStyle w:val="37"/>
                    <w:ind w:left="-63" w:right="-63"/>
                  </w:pPr>
                  <w:r>
                    <w:rPr>
                      <w:rFonts w:hint="eastAsia"/>
                    </w:rPr>
                    <w:t>依托工程</w:t>
                  </w:r>
                </w:p>
              </w:tc>
              <w:tc>
                <w:tcPr>
                  <w:tcW w:w="992" w:type="dxa"/>
                  <w:tcBorders>
                    <w:tl2br w:val="nil"/>
                    <w:tr2bl w:val="nil"/>
                  </w:tcBorders>
                  <w:vAlign w:val="center"/>
                </w:tcPr>
                <w:p w14:paraId="5CB4388F">
                  <w:pPr>
                    <w:pStyle w:val="37"/>
                    <w:ind w:left="-63" w:right="-63"/>
                  </w:pPr>
                  <w:r>
                    <w:rPr>
                      <w:rFonts w:hint="eastAsia"/>
                    </w:rPr>
                    <w:t>生活区</w:t>
                  </w:r>
                </w:p>
              </w:tc>
              <w:tc>
                <w:tcPr>
                  <w:tcW w:w="6168" w:type="dxa"/>
                  <w:tcBorders>
                    <w:tl2br w:val="nil"/>
                    <w:tr2bl w:val="nil"/>
                  </w:tcBorders>
                  <w:vAlign w:val="center"/>
                </w:tcPr>
                <w:p w14:paraId="08EAAA35">
                  <w:pPr>
                    <w:pStyle w:val="37"/>
                    <w:ind w:left="-63" w:right="-63"/>
                  </w:pPr>
                  <w:r>
                    <w:rPr>
                      <w:rFonts w:hint="eastAsia"/>
                    </w:rPr>
                    <w:t>作业期项目主要为项目服务的井号钻井过程井口、泥浆罐、水罐、钻井平台通过管线进行保温，不新建生活区，员工住宿依托钻井队现有生活设施；</w:t>
                  </w:r>
                </w:p>
              </w:tc>
            </w:tr>
            <w:tr w14:paraId="20BC8F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9" w:type="dxa"/>
                  <w:vMerge w:val="restart"/>
                  <w:tcBorders>
                    <w:tl2br w:val="nil"/>
                    <w:tr2bl w:val="nil"/>
                  </w:tcBorders>
                  <w:vAlign w:val="center"/>
                </w:tcPr>
                <w:p w14:paraId="17F5A348">
                  <w:pPr>
                    <w:pStyle w:val="37"/>
                    <w:ind w:left="-63" w:right="-63"/>
                  </w:pPr>
                  <w:r>
                    <w:rPr>
                      <w:rFonts w:hint="eastAsia"/>
                    </w:rPr>
                    <w:t>储运工程</w:t>
                  </w:r>
                </w:p>
              </w:tc>
              <w:tc>
                <w:tcPr>
                  <w:tcW w:w="992" w:type="dxa"/>
                  <w:tcBorders>
                    <w:tl2br w:val="nil"/>
                    <w:tr2bl w:val="nil"/>
                  </w:tcBorders>
                  <w:vAlign w:val="center"/>
                </w:tcPr>
                <w:p w14:paraId="4585B6BB">
                  <w:pPr>
                    <w:pStyle w:val="37"/>
                    <w:ind w:left="-63" w:right="-63"/>
                  </w:pPr>
                  <w:r>
                    <w:rPr>
                      <w:rFonts w:hint="eastAsia"/>
                    </w:rPr>
                    <w:t>水箱</w:t>
                  </w:r>
                </w:p>
              </w:tc>
              <w:tc>
                <w:tcPr>
                  <w:tcW w:w="6168" w:type="dxa"/>
                  <w:tcBorders>
                    <w:tl2br w:val="nil"/>
                    <w:tr2bl w:val="nil"/>
                  </w:tcBorders>
                  <w:vAlign w:val="center"/>
                </w:tcPr>
                <w:p w14:paraId="35BFF8E7">
                  <w:pPr>
                    <w:pStyle w:val="37"/>
                    <w:ind w:left="-63" w:right="-63"/>
                  </w:pPr>
                  <w:r>
                    <w:rPr>
                      <w:rFonts w:hint="eastAsia"/>
                    </w:rPr>
                    <w:t>新购置2台移动锅炉，每台移动锅炉内安装一个水罐，容积为5m</w:t>
                  </w:r>
                  <w:r>
                    <w:rPr>
                      <w:rFonts w:hint="eastAsia"/>
                      <w:vertAlign w:val="superscript"/>
                    </w:rPr>
                    <w:t>3</w:t>
                  </w:r>
                </w:p>
              </w:tc>
            </w:tr>
            <w:tr w14:paraId="7F1730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9" w:type="dxa"/>
                  <w:vMerge w:val="continue"/>
                  <w:tcBorders>
                    <w:tl2br w:val="nil"/>
                    <w:tr2bl w:val="nil"/>
                  </w:tcBorders>
                  <w:vAlign w:val="center"/>
                </w:tcPr>
                <w:p w14:paraId="7CC71870">
                  <w:pPr>
                    <w:pStyle w:val="37"/>
                    <w:ind w:left="-63" w:right="-63"/>
                  </w:pPr>
                </w:p>
              </w:tc>
              <w:tc>
                <w:tcPr>
                  <w:tcW w:w="992" w:type="dxa"/>
                  <w:tcBorders>
                    <w:tl2br w:val="nil"/>
                    <w:tr2bl w:val="nil"/>
                  </w:tcBorders>
                  <w:vAlign w:val="center"/>
                </w:tcPr>
                <w:p w14:paraId="7D018349">
                  <w:pPr>
                    <w:pStyle w:val="37"/>
                    <w:ind w:left="-63" w:right="-63"/>
                  </w:pPr>
                  <w:r>
                    <w:rPr>
                      <w:rFonts w:hint="eastAsia"/>
                    </w:rPr>
                    <w:t>锅炉贮存区</w:t>
                  </w:r>
                </w:p>
              </w:tc>
              <w:tc>
                <w:tcPr>
                  <w:tcW w:w="6168" w:type="dxa"/>
                  <w:tcBorders>
                    <w:tl2br w:val="nil"/>
                    <w:tr2bl w:val="nil"/>
                  </w:tcBorders>
                  <w:vAlign w:val="center"/>
                </w:tcPr>
                <w:p w14:paraId="3E167870">
                  <w:pPr>
                    <w:pStyle w:val="37"/>
                    <w:ind w:left="-63" w:right="-63"/>
                  </w:pPr>
                  <w:r>
                    <w:rPr>
                      <w:rFonts w:hint="eastAsia"/>
                    </w:rPr>
                    <w:t>项目非作业期间将移动锅炉托运至巴州宏程能源建设工程（集团）有限公司现有在鄯善县的生活区贮存；</w:t>
                  </w:r>
                </w:p>
              </w:tc>
            </w:tr>
            <w:tr w14:paraId="4E51D1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99" w:type="dxa"/>
                  <w:vMerge w:val="continue"/>
                  <w:tcBorders>
                    <w:tl2br w:val="nil"/>
                    <w:tr2bl w:val="nil"/>
                  </w:tcBorders>
                  <w:vAlign w:val="center"/>
                </w:tcPr>
                <w:p w14:paraId="37A6304E">
                  <w:pPr>
                    <w:pStyle w:val="37"/>
                    <w:ind w:left="-63" w:right="-63"/>
                  </w:pPr>
                </w:p>
              </w:tc>
              <w:tc>
                <w:tcPr>
                  <w:tcW w:w="992" w:type="dxa"/>
                  <w:tcBorders>
                    <w:tl2br w:val="nil"/>
                    <w:tr2bl w:val="nil"/>
                  </w:tcBorders>
                  <w:vAlign w:val="center"/>
                </w:tcPr>
                <w:p w14:paraId="7D97EAE3">
                  <w:pPr>
                    <w:pStyle w:val="37"/>
                    <w:ind w:left="-63" w:right="-63"/>
                  </w:pPr>
                  <w:r>
                    <w:rPr>
                      <w:rFonts w:hint="eastAsia"/>
                    </w:rPr>
                    <w:t>燃料贮存区</w:t>
                  </w:r>
                </w:p>
              </w:tc>
              <w:tc>
                <w:tcPr>
                  <w:tcW w:w="6168" w:type="dxa"/>
                  <w:tcBorders>
                    <w:tl2br w:val="nil"/>
                    <w:tr2bl w:val="nil"/>
                  </w:tcBorders>
                  <w:vAlign w:val="center"/>
                </w:tcPr>
                <w:p w14:paraId="481AFC67">
                  <w:pPr>
                    <w:pStyle w:val="37"/>
                    <w:ind w:left="-63" w:right="-63"/>
                  </w:pPr>
                  <w:r>
                    <w:rPr>
                      <w:rFonts w:hint="eastAsia"/>
                    </w:rPr>
                    <w:t>项目作业期间在每台锅炉附近设置20m</w:t>
                  </w:r>
                  <w:r>
                    <w:rPr>
                      <w:rFonts w:hint="eastAsia"/>
                      <w:vertAlign w:val="superscript"/>
                    </w:rPr>
                    <w:t>2</w:t>
                  </w:r>
                  <w:r>
                    <w:rPr>
                      <w:rFonts w:hint="eastAsia"/>
                    </w:rPr>
                    <w:t>的燃料贮存区（合计40m</w:t>
                  </w:r>
                  <w:r>
                    <w:rPr>
                      <w:rFonts w:hint="eastAsia"/>
                      <w:vertAlign w:val="superscript"/>
                    </w:rPr>
                    <w:t>2</w:t>
                  </w:r>
                  <w:r>
                    <w:rPr>
                      <w:rFonts w:hint="eastAsia"/>
                    </w:rPr>
                    <w:t>），</w:t>
                  </w:r>
                  <w:r>
                    <w:rPr>
                      <w:rStyle w:val="36"/>
                      <w:rFonts w:hint="eastAsia"/>
                      <w:szCs w:val="20"/>
                    </w:rPr>
                    <w:t>生物质</w:t>
                  </w:r>
                  <w:r>
                    <w:rPr>
                      <w:rFonts w:hint="eastAsia"/>
                    </w:rPr>
                    <w:t>燃料为袋装，采用帆布遮盖。</w:t>
                  </w:r>
                </w:p>
              </w:tc>
            </w:tr>
            <w:tr w14:paraId="390895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99" w:type="dxa"/>
                  <w:vMerge w:val="continue"/>
                  <w:tcBorders>
                    <w:tl2br w:val="nil"/>
                    <w:tr2bl w:val="nil"/>
                  </w:tcBorders>
                  <w:vAlign w:val="center"/>
                </w:tcPr>
                <w:p w14:paraId="33E51CDB">
                  <w:pPr>
                    <w:pStyle w:val="37"/>
                    <w:ind w:left="-63" w:right="-63"/>
                  </w:pPr>
                </w:p>
              </w:tc>
              <w:tc>
                <w:tcPr>
                  <w:tcW w:w="992" w:type="dxa"/>
                  <w:tcBorders>
                    <w:tl2br w:val="nil"/>
                    <w:tr2bl w:val="nil"/>
                  </w:tcBorders>
                  <w:vAlign w:val="center"/>
                </w:tcPr>
                <w:p w14:paraId="7790DCF0">
                  <w:pPr>
                    <w:pStyle w:val="37"/>
                    <w:ind w:left="-63" w:right="-63"/>
                  </w:pPr>
                  <w:r>
                    <w:rPr>
                      <w:rFonts w:hint="eastAsia"/>
                    </w:rPr>
                    <w:t>废包装贮存区</w:t>
                  </w:r>
                </w:p>
              </w:tc>
              <w:tc>
                <w:tcPr>
                  <w:tcW w:w="6168" w:type="dxa"/>
                  <w:tcBorders>
                    <w:tl2br w:val="nil"/>
                    <w:tr2bl w:val="nil"/>
                  </w:tcBorders>
                  <w:vAlign w:val="center"/>
                </w:tcPr>
                <w:p w14:paraId="0B78EC29">
                  <w:pPr>
                    <w:pStyle w:val="37"/>
                    <w:ind w:left="-63" w:right="-63"/>
                  </w:pPr>
                  <w:r>
                    <w:rPr>
                      <w:rFonts w:hint="eastAsia"/>
                    </w:rPr>
                    <w:t>运营期产生的废包装袋集中贮存于钻井队指定的贮存区域，定期外售综合利用。</w:t>
                  </w:r>
                </w:p>
              </w:tc>
            </w:tr>
            <w:tr w14:paraId="4BF87C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99" w:type="dxa"/>
                  <w:vMerge w:val="continue"/>
                  <w:tcBorders>
                    <w:tl2br w:val="nil"/>
                    <w:tr2bl w:val="nil"/>
                  </w:tcBorders>
                  <w:vAlign w:val="center"/>
                </w:tcPr>
                <w:p w14:paraId="196A4F9A">
                  <w:pPr>
                    <w:pStyle w:val="37"/>
                    <w:ind w:left="-63" w:right="-63"/>
                  </w:pPr>
                </w:p>
              </w:tc>
              <w:tc>
                <w:tcPr>
                  <w:tcW w:w="992" w:type="dxa"/>
                  <w:tcBorders>
                    <w:tl2br w:val="nil"/>
                    <w:tr2bl w:val="nil"/>
                  </w:tcBorders>
                  <w:vAlign w:val="center"/>
                </w:tcPr>
                <w:p w14:paraId="1E7C7448">
                  <w:pPr>
                    <w:pStyle w:val="37"/>
                    <w:ind w:left="-63" w:right="-63"/>
                  </w:pPr>
                  <w:r>
                    <w:rPr>
                      <w:rFonts w:hint="eastAsia"/>
                    </w:rPr>
                    <w:t>水车</w:t>
                  </w:r>
                </w:p>
              </w:tc>
              <w:tc>
                <w:tcPr>
                  <w:tcW w:w="6168" w:type="dxa"/>
                  <w:tcBorders>
                    <w:tl2br w:val="nil"/>
                    <w:tr2bl w:val="nil"/>
                  </w:tcBorders>
                  <w:vAlign w:val="center"/>
                </w:tcPr>
                <w:p w14:paraId="27859D83">
                  <w:pPr>
                    <w:pStyle w:val="37"/>
                    <w:ind w:left="-63" w:right="-63"/>
                  </w:pPr>
                  <w:r>
                    <w:rPr>
                      <w:rFonts w:hint="eastAsia"/>
                    </w:rPr>
                    <w:t>新购置水车1台，水箱容积为15m</w:t>
                  </w:r>
                  <w:r>
                    <w:rPr>
                      <w:rFonts w:hint="eastAsia"/>
                      <w:vertAlign w:val="superscript"/>
                    </w:rPr>
                    <w:t>3</w:t>
                  </w:r>
                  <w:r>
                    <w:rPr>
                      <w:rFonts w:hint="eastAsia"/>
                    </w:rPr>
                    <w:t>，配套软化水制备系统</w:t>
                  </w:r>
                </w:p>
              </w:tc>
            </w:tr>
            <w:tr w14:paraId="06E930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99" w:type="dxa"/>
                  <w:vMerge w:val="restart"/>
                  <w:tcBorders>
                    <w:tl2br w:val="nil"/>
                    <w:tr2bl w:val="nil"/>
                  </w:tcBorders>
                  <w:vAlign w:val="center"/>
                </w:tcPr>
                <w:p w14:paraId="16D24F16">
                  <w:pPr>
                    <w:pStyle w:val="37"/>
                    <w:ind w:left="-63" w:right="-63"/>
                  </w:pPr>
                  <w:r>
                    <w:rPr>
                      <w:rFonts w:hint="eastAsia"/>
                    </w:rPr>
                    <w:t>公用工程</w:t>
                  </w:r>
                </w:p>
              </w:tc>
              <w:tc>
                <w:tcPr>
                  <w:tcW w:w="992" w:type="dxa"/>
                  <w:tcBorders>
                    <w:tl2br w:val="nil"/>
                    <w:tr2bl w:val="nil"/>
                  </w:tcBorders>
                  <w:vAlign w:val="center"/>
                </w:tcPr>
                <w:p w14:paraId="1D30B89D">
                  <w:pPr>
                    <w:pStyle w:val="37"/>
                    <w:ind w:left="-63" w:right="-63"/>
                  </w:pPr>
                  <w:r>
                    <w:rPr>
                      <w:rFonts w:hint="eastAsia"/>
                    </w:rPr>
                    <w:t>给水</w:t>
                  </w:r>
                </w:p>
              </w:tc>
              <w:tc>
                <w:tcPr>
                  <w:tcW w:w="6168" w:type="dxa"/>
                  <w:tcBorders>
                    <w:tl2br w:val="nil"/>
                    <w:tr2bl w:val="nil"/>
                  </w:tcBorders>
                  <w:vAlign w:val="center"/>
                </w:tcPr>
                <w:p w14:paraId="71272CA8">
                  <w:pPr>
                    <w:pStyle w:val="37"/>
                    <w:ind w:left="-63" w:right="-63"/>
                  </w:pPr>
                  <w:r>
                    <w:rPr>
                      <w:rFonts w:hint="eastAsia"/>
                    </w:rPr>
                    <w:t>作业期：生活设施依托钻井队生活区现有设施；生活用水及锅炉用水由钻井队生活区供水设施供给；非作业期：职工不在吐哈油田内食宿。</w:t>
                  </w:r>
                </w:p>
              </w:tc>
            </w:tr>
            <w:tr w14:paraId="5EDFD2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99" w:type="dxa"/>
                  <w:vMerge w:val="continue"/>
                  <w:tcBorders>
                    <w:tl2br w:val="nil"/>
                    <w:tr2bl w:val="nil"/>
                  </w:tcBorders>
                  <w:vAlign w:val="center"/>
                </w:tcPr>
                <w:p w14:paraId="3AE828A5">
                  <w:pPr>
                    <w:pStyle w:val="37"/>
                    <w:ind w:left="-63" w:right="-63"/>
                  </w:pPr>
                </w:p>
              </w:tc>
              <w:tc>
                <w:tcPr>
                  <w:tcW w:w="992" w:type="dxa"/>
                  <w:tcBorders>
                    <w:tl2br w:val="nil"/>
                    <w:tr2bl w:val="nil"/>
                  </w:tcBorders>
                  <w:vAlign w:val="center"/>
                </w:tcPr>
                <w:p w14:paraId="776C26CB">
                  <w:pPr>
                    <w:pStyle w:val="37"/>
                    <w:ind w:left="-63" w:right="-63"/>
                  </w:pPr>
                  <w:r>
                    <w:rPr>
                      <w:rFonts w:hint="eastAsia"/>
                    </w:rPr>
                    <w:t>排水</w:t>
                  </w:r>
                </w:p>
              </w:tc>
              <w:tc>
                <w:tcPr>
                  <w:tcW w:w="6168" w:type="dxa"/>
                  <w:tcBorders>
                    <w:tl2br w:val="nil"/>
                    <w:tr2bl w:val="nil"/>
                  </w:tcBorders>
                  <w:vAlign w:val="center"/>
                </w:tcPr>
                <w:p w14:paraId="0B192652">
                  <w:pPr>
                    <w:pStyle w:val="37"/>
                    <w:ind w:left="-63" w:right="-63"/>
                    <w:rPr>
                      <w:color w:val="FF0000"/>
                    </w:rPr>
                  </w:pPr>
                  <w:r>
                    <w:rPr>
                      <w:rFonts w:hint="eastAsia"/>
                    </w:rPr>
                    <w:t>生活设施依托钻井队生活区现有设施，生活污水排入生活区现有防渗化粪池，由钻井队委托吸污车定期抽运至鄯善县污水处理厂处理；</w:t>
                  </w:r>
                  <w:r>
                    <w:rPr>
                      <w:rFonts w:hint="eastAsia" w:cs="宋体"/>
                    </w:rPr>
                    <w:t>软化处理废水，</w:t>
                  </w:r>
                  <w:r>
                    <w:rPr>
                      <w:rFonts w:hint="eastAsia"/>
                    </w:rPr>
                    <w:t>用于作业区道路抑尘</w:t>
                  </w:r>
                  <w:r>
                    <w:rPr>
                      <w:rFonts w:hint="eastAsia" w:cs="宋体"/>
                    </w:rPr>
                    <w:t>；</w:t>
                  </w:r>
                </w:p>
              </w:tc>
            </w:tr>
            <w:tr w14:paraId="2E676D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99" w:type="dxa"/>
                  <w:vMerge w:val="continue"/>
                  <w:tcBorders>
                    <w:tl2br w:val="nil"/>
                    <w:tr2bl w:val="nil"/>
                  </w:tcBorders>
                  <w:vAlign w:val="center"/>
                </w:tcPr>
                <w:p w14:paraId="4BAAF42F">
                  <w:pPr>
                    <w:pStyle w:val="37"/>
                    <w:ind w:left="-63" w:right="-63"/>
                  </w:pPr>
                </w:p>
              </w:tc>
              <w:tc>
                <w:tcPr>
                  <w:tcW w:w="992" w:type="dxa"/>
                  <w:tcBorders>
                    <w:tl2br w:val="nil"/>
                    <w:tr2bl w:val="nil"/>
                  </w:tcBorders>
                  <w:vAlign w:val="center"/>
                </w:tcPr>
                <w:p w14:paraId="78668A1C">
                  <w:pPr>
                    <w:pStyle w:val="37"/>
                    <w:ind w:left="-63" w:right="-63"/>
                  </w:pPr>
                  <w:r>
                    <w:rPr>
                      <w:rFonts w:hint="eastAsia"/>
                    </w:rPr>
                    <w:t>供电</w:t>
                  </w:r>
                </w:p>
              </w:tc>
              <w:tc>
                <w:tcPr>
                  <w:tcW w:w="6168" w:type="dxa"/>
                  <w:tcBorders>
                    <w:tl2br w:val="nil"/>
                    <w:tr2bl w:val="nil"/>
                  </w:tcBorders>
                  <w:vAlign w:val="center"/>
                </w:tcPr>
                <w:p w14:paraId="10CD489D">
                  <w:pPr>
                    <w:pStyle w:val="37"/>
                    <w:ind w:left="-63" w:right="-63"/>
                  </w:pPr>
                  <w:r>
                    <w:rPr>
                      <w:rFonts w:hint="eastAsia"/>
                    </w:rPr>
                    <w:t>依托钻井队现有供电设施</w:t>
                  </w:r>
                </w:p>
              </w:tc>
            </w:tr>
            <w:tr w14:paraId="153438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99" w:type="dxa"/>
                  <w:vMerge w:val="continue"/>
                  <w:tcBorders>
                    <w:tl2br w:val="nil"/>
                    <w:tr2bl w:val="nil"/>
                  </w:tcBorders>
                  <w:vAlign w:val="center"/>
                </w:tcPr>
                <w:p w14:paraId="50CD7B28">
                  <w:pPr>
                    <w:pStyle w:val="37"/>
                    <w:ind w:left="-63" w:right="-63"/>
                  </w:pPr>
                </w:p>
              </w:tc>
              <w:tc>
                <w:tcPr>
                  <w:tcW w:w="992" w:type="dxa"/>
                  <w:tcBorders>
                    <w:tl2br w:val="nil"/>
                    <w:tr2bl w:val="nil"/>
                  </w:tcBorders>
                  <w:vAlign w:val="center"/>
                </w:tcPr>
                <w:p w14:paraId="75FA856B">
                  <w:pPr>
                    <w:pStyle w:val="37"/>
                    <w:ind w:left="-63" w:right="-63"/>
                  </w:pPr>
                  <w:r>
                    <w:rPr>
                      <w:rFonts w:hint="eastAsia"/>
                    </w:rPr>
                    <w:t>供热</w:t>
                  </w:r>
                </w:p>
              </w:tc>
              <w:tc>
                <w:tcPr>
                  <w:tcW w:w="6168" w:type="dxa"/>
                  <w:tcBorders>
                    <w:tl2br w:val="nil"/>
                    <w:tr2bl w:val="nil"/>
                  </w:tcBorders>
                  <w:vAlign w:val="center"/>
                </w:tcPr>
                <w:p w14:paraId="26DD5C8C">
                  <w:pPr>
                    <w:pStyle w:val="37"/>
                    <w:ind w:left="-63" w:right="-63"/>
                  </w:pPr>
                  <w:r>
                    <w:rPr>
                      <w:rFonts w:hint="eastAsia"/>
                    </w:rPr>
                    <w:t>钻井队生活区冬季采用电采暖</w:t>
                  </w:r>
                </w:p>
              </w:tc>
            </w:tr>
            <w:tr w14:paraId="4786EC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99" w:type="dxa"/>
                  <w:vMerge w:val="restart"/>
                  <w:tcBorders>
                    <w:tl2br w:val="nil"/>
                    <w:tr2bl w:val="nil"/>
                  </w:tcBorders>
                  <w:vAlign w:val="center"/>
                </w:tcPr>
                <w:p w14:paraId="0F60F330">
                  <w:pPr>
                    <w:pStyle w:val="37"/>
                    <w:ind w:left="-63" w:right="-63"/>
                  </w:pPr>
                  <w:r>
                    <w:rPr>
                      <w:rFonts w:hint="eastAsia"/>
                    </w:rPr>
                    <w:t>环保工程</w:t>
                  </w:r>
                </w:p>
              </w:tc>
              <w:tc>
                <w:tcPr>
                  <w:tcW w:w="992" w:type="dxa"/>
                  <w:tcBorders>
                    <w:tl2br w:val="nil"/>
                    <w:tr2bl w:val="nil"/>
                  </w:tcBorders>
                  <w:vAlign w:val="center"/>
                </w:tcPr>
                <w:p w14:paraId="155E2CAA">
                  <w:pPr>
                    <w:pStyle w:val="37"/>
                    <w:ind w:left="-63" w:right="-63"/>
                  </w:pPr>
                  <w:r>
                    <w:rPr>
                      <w:rFonts w:hint="eastAsia"/>
                    </w:rPr>
                    <w:t>废气治理</w:t>
                  </w:r>
                </w:p>
              </w:tc>
              <w:tc>
                <w:tcPr>
                  <w:tcW w:w="6168" w:type="dxa"/>
                  <w:tcBorders>
                    <w:tl2br w:val="nil"/>
                    <w:tr2bl w:val="nil"/>
                  </w:tcBorders>
                  <w:vAlign w:val="center"/>
                </w:tcPr>
                <w:p w14:paraId="58E44063">
                  <w:pPr>
                    <w:pStyle w:val="37"/>
                    <w:ind w:left="-63" w:right="-63"/>
                  </w:pPr>
                  <w:r>
                    <w:rPr>
                      <w:rFonts w:hint="eastAsia"/>
                    </w:rPr>
                    <w:t>项目采用生物质成型燃料为燃料，废气经“布袋除尘器”处理后分别通过2根30m排气筒（可拆卸）排放。</w:t>
                  </w:r>
                </w:p>
              </w:tc>
            </w:tr>
            <w:tr w14:paraId="5D14F3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99" w:type="dxa"/>
                  <w:vMerge w:val="continue"/>
                  <w:tcBorders>
                    <w:tl2br w:val="nil"/>
                    <w:tr2bl w:val="nil"/>
                  </w:tcBorders>
                  <w:vAlign w:val="center"/>
                </w:tcPr>
                <w:p w14:paraId="1E2C0933">
                  <w:pPr>
                    <w:pStyle w:val="37"/>
                    <w:ind w:left="-63" w:right="-63"/>
                  </w:pPr>
                </w:p>
              </w:tc>
              <w:tc>
                <w:tcPr>
                  <w:tcW w:w="992" w:type="dxa"/>
                  <w:tcBorders>
                    <w:tl2br w:val="nil"/>
                    <w:tr2bl w:val="nil"/>
                  </w:tcBorders>
                  <w:vAlign w:val="center"/>
                </w:tcPr>
                <w:p w14:paraId="1A69B86E">
                  <w:pPr>
                    <w:pStyle w:val="37"/>
                    <w:ind w:left="-63" w:right="-63"/>
                  </w:pPr>
                  <w:r>
                    <w:rPr>
                      <w:rFonts w:hint="eastAsia"/>
                    </w:rPr>
                    <w:t>废水治理</w:t>
                  </w:r>
                </w:p>
              </w:tc>
              <w:tc>
                <w:tcPr>
                  <w:tcW w:w="6168" w:type="dxa"/>
                  <w:tcBorders>
                    <w:tl2br w:val="nil"/>
                    <w:tr2bl w:val="nil"/>
                  </w:tcBorders>
                  <w:vAlign w:val="center"/>
                </w:tcPr>
                <w:p w14:paraId="64D511B3">
                  <w:pPr>
                    <w:pStyle w:val="37"/>
                    <w:ind w:left="-63" w:right="-63"/>
                  </w:pPr>
                  <w:r>
                    <w:rPr>
                      <w:rFonts w:hint="eastAsia"/>
                    </w:rPr>
                    <w:t>生活污水依托钻井队生活区现有防渗化粪池，由钻井队定期委托吸污车抽运至鄯善县污水处理厂处理。</w:t>
                  </w:r>
                  <w:r>
                    <w:rPr>
                      <w:rFonts w:hint="eastAsia" w:cs="宋体"/>
                    </w:rPr>
                    <w:t>锅炉排污水和软化处理废水，</w:t>
                  </w:r>
                  <w:r>
                    <w:rPr>
                      <w:rFonts w:hint="eastAsia"/>
                    </w:rPr>
                    <w:t>用于作业区道路抑尘</w:t>
                  </w:r>
                  <w:r>
                    <w:rPr>
                      <w:rFonts w:hint="eastAsia" w:cs="宋体"/>
                    </w:rPr>
                    <w:t>；</w:t>
                  </w:r>
                </w:p>
              </w:tc>
            </w:tr>
            <w:tr w14:paraId="64E3E5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99" w:type="dxa"/>
                  <w:vMerge w:val="continue"/>
                  <w:tcBorders>
                    <w:tl2br w:val="nil"/>
                    <w:tr2bl w:val="nil"/>
                  </w:tcBorders>
                  <w:vAlign w:val="center"/>
                </w:tcPr>
                <w:p w14:paraId="07D3BED6">
                  <w:pPr>
                    <w:pStyle w:val="37"/>
                    <w:ind w:left="-63" w:right="-63"/>
                  </w:pPr>
                </w:p>
              </w:tc>
              <w:tc>
                <w:tcPr>
                  <w:tcW w:w="992" w:type="dxa"/>
                  <w:tcBorders>
                    <w:tl2br w:val="nil"/>
                    <w:tr2bl w:val="nil"/>
                  </w:tcBorders>
                  <w:vAlign w:val="center"/>
                </w:tcPr>
                <w:p w14:paraId="614CCC91">
                  <w:pPr>
                    <w:pStyle w:val="37"/>
                    <w:ind w:left="-63" w:right="-63"/>
                  </w:pPr>
                  <w:r>
                    <w:rPr>
                      <w:rFonts w:hint="eastAsia"/>
                    </w:rPr>
                    <w:t>噪声治理</w:t>
                  </w:r>
                </w:p>
              </w:tc>
              <w:tc>
                <w:tcPr>
                  <w:tcW w:w="6168" w:type="dxa"/>
                  <w:tcBorders>
                    <w:tl2br w:val="nil"/>
                    <w:tr2bl w:val="nil"/>
                  </w:tcBorders>
                  <w:vAlign w:val="center"/>
                </w:tcPr>
                <w:p w14:paraId="5A50B2B0">
                  <w:pPr>
                    <w:pStyle w:val="37"/>
                    <w:ind w:left="-63" w:right="-63"/>
                  </w:pPr>
                  <w:r>
                    <w:rPr>
                      <w:rFonts w:hint="eastAsia"/>
                    </w:rPr>
                    <w:t>设备基础减振、</w:t>
                  </w:r>
                  <w:r>
                    <w:t>隔声处理。</w:t>
                  </w:r>
                </w:p>
              </w:tc>
            </w:tr>
            <w:tr w14:paraId="6CFDE3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99" w:type="dxa"/>
                  <w:vMerge w:val="continue"/>
                  <w:tcBorders>
                    <w:tl2br w:val="nil"/>
                    <w:tr2bl w:val="nil"/>
                  </w:tcBorders>
                  <w:vAlign w:val="center"/>
                </w:tcPr>
                <w:p w14:paraId="15F69759">
                  <w:pPr>
                    <w:pStyle w:val="37"/>
                    <w:ind w:left="-63" w:right="-63"/>
                  </w:pPr>
                </w:p>
              </w:tc>
              <w:tc>
                <w:tcPr>
                  <w:tcW w:w="992" w:type="dxa"/>
                  <w:tcBorders>
                    <w:tl2br w:val="nil"/>
                    <w:tr2bl w:val="nil"/>
                  </w:tcBorders>
                  <w:vAlign w:val="center"/>
                </w:tcPr>
                <w:p w14:paraId="3018E40F">
                  <w:pPr>
                    <w:pStyle w:val="37"/>
                    <w:ind w:left="-63" w:right="-63"/>
                  </w:pPr>
                  <w:r>
                    <w:rPr>
                      <w:rFonts w:hint="eastAsia"/>
                    </w:rPr>
                    <w:t>固废治理</w:t>
                  </w:r>
                </w:p>
              </w:tc>
              <w:tc>
                <w:tcPr>
                  <w:tcW w:w="6168" w:type="dxa"/>
                  <w:tcBorders>
                    <w:tl2br w:val="nil"/>
                    <w:tr2bl w:val="nil"/>
                  </w:tcBorders>
                  <w:vAlign w:val="center"/>
                </w:tcPr>
                <w:p w14:paraId="45F1EC2A">
                  <w:pPr>
                    <w:pStyle w:val="37"/>
                    <w:ind w:left="-63" w:right="-63"/>
                  </w:pPr>
                  <w:r>
                    <w:rPr>
                      <w:rFonts w:hint="eastAsia"/>
                    </w:rPr>
                    <w:t>生活垃圾集中收集至垃圾箱，</w:t>
                  </w:r>
                  <w:r>
                    <w:rPr>
                      <w:rFonts w:hint="eastAsia" w:cs="宋体"/>
                    </w:rPr>
                    <w:t>锅炉灰渣、布袋收集粉尘</w:t>
                  </w:r>
                  <w:r>
                    <w:rPr>
                      <w:rFonts w:hint="eastAsia"/>
                    </w:rPr>
                    <w:t>集中收集于吨袋中，暂存于钻井队指定地点，定期清运至合规的工业固废填埋场处理；废包装集中收集，外售综合利用；</w:t>
                  </w:r>
                </w:p>
              </w:tc>
            </w:tr>
          </w:tbl>
          <w:p w14:paraId="0FCDFB28">
            <w:pPr>
              <w:autoSpaceDE w:val="0"/>
              <w:autoSpaceDN w:val="0"/>
              <w:adjustRightInd w:val="0"/>
              <w:snapToGrid w:val="0"/>
              <w:spacing w:line="360" w:lineRule="auto"/>
              <w:ind w:firstLine="480" w:firstLineChars="200"/>
              <w:rPr>
                <w:color w:val="000000" w:themeColor="text1"/>
                <w:sz w:val="24"/>
                <w14:textFill>
                  <w14:solidFill>
                    <w14:schemeClr w14:val="tx1"/>
                  </w14:solidFill>
                </w14:textFill>
              </w:rPr>
            </w:pPr>
          </w:p>
          <w:p w14:paraId="0EABA58D">
            <w:pPr>
              <w:adjustRightInd w:val="0"/>
              <w:snapToGrid w:val="0"/>
              <w:spacing w:line="360" w:lineRule="auto"/>
              <w:ind w:left="480"/>
              <w:rPr>
                <w:color w:val="000000" w:themeColor="text1"/>
                <w14:textFill>
                  <w14:solidFill>
                    <w14:schemeClr w14:val="tx1"/>
                  </w14:solidFill>
                </w14:textFill>
              </w:rPr>
            </w:pPr>
          </w:p>
        </w:tc>
      </w:tr>
    </w:tbl>
    <w:p w14:paraId="5C5ABC28">
      <w:pPr>
        <w:spacing w:line="360" w:lineRule="auto"/>
        <w:outlineLvl w:val="0"/>
        <w:rPr>
          <w:rFonts w:eastAsia="黑体"/>
          <w:color w:val="000000" w:themeColor="text1"/>
          <w:sz w:val="30"/>
          <w14:textFill>
            <w14:solidFill>
              <w14:schemeClr w14:val="tx1"/>
            </w14:solidFill>
          </w14:textFill>
        </w:rPr>
        <w:sectPr>
          <w:headerReference r:id="rId3" w:type="default"/>
          <w:footerReference r:id="rId4" w:type="default"/>
          <w:pgSz w:w="11906" w:h="16838"/>
          <w:pgMar w:top="1701" w:right="1531" w:bottom="1701" w:left="1531" w:header="851" w:footer="1077" w:gutter="0"/>
          <w:pgNumType w:start="1"/>
          <w:cols w:space="720" w:num="1"/>
          <w:docGrid w:linePitch="312" w:charSpace="0"/>
        </w:sectPr>
      </w:pPr>
    </w:p>
    <w:p w14:paraId="1FF128B8">
      <w:pPr>
        <w:pStyle w:val="24"/>
        <w:adjustRightInd w:val="0"/>
        <w:snapToGrid w:val="0"/>
        <w:spacing w:before="0" w:beforeAutospacing="0" w:after="0" w:afterAutospacing="0" w:line="360" w:lineRule="auto"/>
        <w:jc w:val="center"/>
        <w:outlineLvl w:val="0"/>
        <w:rPr>
          <w:rFonts w:hint="eastAsia" w:ascii="黑体" w:hAnsi="黑体" w:eastAsia="黑体"/>
          <w:snapToGrid w:val="0"/>
          <w:color w:val="000000" w:themeColor="text1"/>
          <w:sz w:val="30"/>
          <w:szCs w:val="30"/>
          <w14:textFill>
            <w14:solidFill>
              <w14:schemeClr w14:val="tx1"/>
            </w14:solidFill>
          </w14:textFill>
        </w:rPr>
      </w:pPr>
      <w:r>
        <w:rPr>
          <w:rFonts w:hint="eastAsia" w:ascii="黑体" w:hAnsi="黑体" w:eastAsia="黑体"/>
          <w:snapToGrid w:val="0"/>
          <w:color w:val="000000" w:themeColor="text1"/>
          <w:sz w:val="30"/>
          <w:szCs w:val="30"/>
          <w14:textFill>
            <w14:solidFill>
              <w14:schemeClr w14:val="tx1"/>
            </w14:solidFill>
          </w14:textFill>
        </w:rPr>
        <w:t>三、区域环境质量现状、环境保护目标及评价标准</w:t>
      </w:r>
    </w:p>
    <w:tbl>
      <w:tblPr>
        <w:tblStyle w:val="2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02"/>
        <w:gridCol w:w="8013"/>
      </w:tblGrid>
      <w:tr w14:paraId="78DA18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802" w:type="dxa"/>
            <w:tcBorders>
              <w:tl2br w:val="nil"/>
              <w:tr2bl w:val="nil"/>
            </w:tcBorders>
            <w:vAlign w:val="center"/>
          </w:tcPr>
          <w:p w14:paraId="5FB76064">
            <w:pPr>
              <w:adjustRightInd w:val="0"/>
              <w:snapToGrid w:val="0"/>
              <w:spacing w:line="360" w:lineRule="auto"/>
              <w:jc w:val="center"/>
              <w:rPr>
                <w:b/>
                <w:bCs/>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w:t>环境</w:t>
            </w:r>
          </w:p>
          <w:p w14:paraId="18F9C8FA">
            <w:pPr>
              <w:adjustRightInd w:val="0"/>
              <w:snapToGrid w:val="0"/>
              <w:spacing w:line="360" w:lineRule="auto"/>
              <w:jc w:val="center"/>
              <w:rPr>
                <w:b/>
                <w:bCs/>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w:t>保护</w:t>
            </w:r>
          </w:p>
          <w:p w14:paraId="419FE0D5">
            <w:pPr>
              <w:adjustRightInd w:val="0"/>
              <w:snapToGrid w:val="0"/>
              <w:spacing w:line="360" w:lineRule="auto"/>
              <w:jc w:val="center"/>
              <w:rPr>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w:t>目标</w:t>
            </w:r>
          </w:p>
        </w:tc>
        <w:tc>
          <w:tcPr>
            <w:tcW w:w="8013" w:type="dxa"/>
            <w:tcBorders>
              <w:tl2br w:val="nil"/>
              <w:tr2bl w:val="nil"/>
            </w:tcBorders>
            <w:vAlign w:val="center"/>
          </w:tcPr>
          <w:p w14:paraId="2D812632">
            <w:pPr>
              <w:spacing w:line="520" w:lineRule="exact"/>
              <w:rPr>
                <w:b/>
                <w:bCs/>
                <w:kern w:val="0"/>
                <w:sz w:val="24"/>
              </w:rPr>
            </w:pPr>
            <w:bookmarkStart w:id="1" w:name="_Ref369164422"/>
            <w:r>
              <w:rPr>
                <w:rFonts w:hint="eastAsia"/>
                <w:b/>
                <w:bCs/>
                <w:kern w:val="0"/>
                <w:sz w:val="24"/>
              </w:rPr>
              <w:t>1.</w:t>
            </w:r>
            <w:r>
              <w:rPr>
                <w:b/>
                <w:bCs/>
                <w:kern w:val="0"/>
                <w:sz w:val="24"/>
              </w:rPr>
              <w:t>大气</w:t>
            </w:r>
            <w:r>
              <w:rPr>
                <w:rFonts w:hint="eastAsia"/>
                <w:b/>
                <w:bCs/>
                <w:kern w:val="0"/>
                <w:sz w:val="24"/>
              </w:rPr>
              <w:t>环境</w:t>
            </w:r>
          </w:p>
          <w:p w14:paraId="4EA30555">
            <w:pPr>
              <w:spacing w:line="520" w:lineRule="exact"/>
              <w:ind w:firstLine="480" w:firstLineChars="200"/>
              <w:rPr>
                <w:sz w:val="24"/>
              </w:rPr>
            </w:pPr>
            <w:r>
              <w:rPr>
                <w:rFonts w:hint="eastAsia"/>
                <w:kern w:val="0"/>
                <w:sz w:val="24"/>
              </w:rPr>
              <w:t>本项目厂界外500m范围内无自然保护区、风景名胜区、居住区、文化区和农村地区中人群较集中的区域等保护目标。</w:t>
            </w:r>
          </w:p>
          <w:p w14:paraId="5F107E6B">
            <w:pPr>
              <w:spacing w:line="520" w:lineRule="exact"/>
              <w:rPr>
                <w:b/>
                <w:bCs/>
                <w:kern w:val="0"/>
                <w:sz w:val="24"/>
              </w:rPr>
            </w:pPr>
            <w:r>
              <w:rPr>
                <w:rFonts w:hint="eastAsia"/>
                <w:b/>
                <w:bCs/>
                <w:kern w:val="0"/>
                <w:sz w:val="24"/>
              </w:rPr>
              <w:t>2.</w:t>
            </w:r>
            <w:r>
              <w:rPr>
                <w:b/>
                <w:bCs/>
                <w:kern w:val="0"/>
                <w:sz w:val="24"/>
              </w:rPr>
              <w:t>声环境</w:t>
            </w:r>
          </w:p>
          <w:p w14:paraId="16CEC855">
            <w:pPr>
              <w:spacing w:line="520" w:lineRule="exact"/>
              <w:ind w:firstLine="480" w:firstLineChars="200"/>
              <w:rPr>
                <w:kern w:val="0"/>
                <w:sz w:val="24"/>
              </w:rPr>
            </w:pPr>
            <w:r>
              <w:rPr>
                <w:kern w:val="0"/>
                <w:sz w:val="24"/>
              </w:rPr>
              <w:t>本项目</w:t>
            </w:r>
            <w:r>
              <w:rPr>
                <w:sz w:val="24"/>
              </w:rPr>
              <w:t>周边50m范围内无声环境保护目标。</w:t>
            </w:r>
          </w:p>
          <w:p w14:paraId="15E82937">
            <w:pPr>
              <w:spacing w:line="520" w:lineRule="exact"/>
              <w:rPr>
                <w:b/>
                <w:bCs/>
                <w:kern w:val="0"/>
                <w:sz w:val="24"/>
              </w:rPr>
            </w:pPr>
            <w:r>
              <w:rPr>
                <w:rFonts w:hint="eastAsia"/>
                <w:b/>
                <w:bCs/>
                <w:kern w:val="0"/>
                <w:sz w:val="24"/>
              </w:rPr>
              <w:t>3.</w:t>
            </w:r>
            <w:r>
              <w:rPr>
                <w:b/>
                <w:bCs/>
                <w:kern w:val="0"/>
                <w:sz w:val="24"/>
              </w:rPr>
              <w:t>地下水环境</w:t>
            </w:r>
          </w:p>
          <w:p w14:paraId="0681EFA3">
            <w:pPr>
              <w:spacing w:line="520" w:lineRule="exact"/>
              <w:ind w:firstLine="480" w:firstLineChars="200"/>
              <w:rPr>
                <w:kern w:val="0"/>
                <w:sz w:val="24"/>
              </w:rPr>
            </w:pPr>
            <w:r>
              <w:rPr>
                <w:kern w:val="0"/>
                <w:sz w:val="24"/>
              </w:rPr>
              <w:t>本项目周边500m范围内无地下水集中式饮用水水源和热水、矿泉水、温泉等特殊地下水资源。</w:t>
            </w:r>
          </w:p>
          <w:p w14:paraId="41D2ECB9">
            <w:pPr>
              <w:spacing w:line="520" w:lineRule="exact"/>
              <w:rPr>
                <w:b/>
                <w:bCs/>
                <w:kern w:val="0"/>
                <w:sz w:val="24"/>
              </w:rPr>
            </w:pPr>
            <w:r>
              <w:rPr>
                <w:rFonts w:hint="eastAsia"/>
                <w:b/>
                <w:bCs/>
                <w:kern w:val="0"/>
                <w:sz w:val="24"/>
              </w:rPr>
              <w:t>4.</w:t>
            </w:r>
            <w:r>
              <w:rPr>
                <w:b/>
                <w:bCs/>
                <w:kern w:val="0"/>
                <w:sz w:val="24"/>
              </w:rPr>
              <w:t>生态环境</w:t>
            </w:r>
          </w:p>
          <w:p w14:paraId="53D04B00">
            <w:pPr>
              <w:pStyle w:val="7"/>
              <w:adjustRightInd w:val="0"/>
              <w:snapToGrid w:val="0"/>
              <w:spacing w:line="360" w:lineRule="auto"/>
              <w:ind w:firstLine="480" w:firstLineChars="200"/>
              <w:rPr>
                <w:color w:val="000000" w:themeColor="text1"/>
                <w14:textFill>
                  <w14:solidFill>
                    <w14:schemeClr w14:val="tx1"/>
                  </w14:solidFill>
                </w14:textFill>
              </w:rPr>
            </w:pPr>
            <w:r>
              <w:rPr>
                <w:szCs w:val="24"/>
              </w:rPr>
              <w:t>本项目位于</w:t>
            </w:r>
            <w:r>
              <w:rPr>
                <w:rFonts w:hint="eastAsia"/>
                <w:color w:val="000000" w:themeColor="text1"/>
                <w:szCs w:val="24"/>
                <w14:textFill>
                  <w14:solidFill>
                    <w14:schemeClr w14:val="tx1"/>
                  </w14:solidFill>
                </w14:textFill>
              </w:rPr>
              <w:t>吐哈油田作业区</w:t>
            </w:r>
            <w:r>
              <w:rPr>
                <w:szCs w:val="24"/>
              </w:rPr>
              <w:t>，</w:t>
            </w:r>
            <w:r>
              <w:t>用地范围内没有生态环境保护目标，因此不开展生态现状调查。</w:t>
            </w:r>
            <w:bookmarkEnd w:id="1"/>
          </w:p>
        </w:tc>
      </w:tr>
      <w:tr w14:paraId="55A273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802" w:type="dxa"/>
            <w:tcBorders>
              <w:tl2br w:val="nil"/>
              <w:tr2bl w:val="nil"/>
            </w:tcBorders>
            <w:tcMar>
              <w:left w:w="28" w:type="dxa"/>
              <w:right w:w="28" w:type="dxa"/>
            </w:tcMar>
            <w:vAlign w:val="center"/>
          </w:tcPr>
          <w:p w14:paraId="61D82333">
            <w:pPr>
              <w:adjustRightInd w:val="0"/>
              <w:snapToGrid w:val="0"/>
              <w:spacing w:line="360" w:lineRule="auto"/>
              <w:jc w:val="center"/>
              <w:rPr>
                <w:b/>
                <w:bCs/>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w:t>污染</w:t>
            </w:r>
          </w:p>
          <w:p w14:paraId="3BCB3BF6">
            <w:pPr>
              <w:adjustRightInd w:val="0"/>
              <w:snapToGrid w:val="0"/>
              <w:spacing w:line="360" w:lineRule="auto"/>
              <w:jc w:val="center"/>
              <w:rPr>
                <w:b/>
                <w:bCs/>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w:t>物排</w:t>
            </w:r>
          </w:p>
          <w:p w14:paraId="7EC81D70">
            <w:pPr>
              <w:adjustRightInd w:val="0"/>
              <w:snapToGrid w:val="0"/>
              <w:spacing w:line="360" w:lineRule="auto"/>
              <w:jc w:val="center"/>
              <w:rPr>
                <w:b/>
                <w:bCs/>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w:t>放控</w:t>
            </w:r>
          </w:p>
          <w:p w14:paraId="5E1E400E">
            <w:pPr>
              <w:adjustRightInd w:val="0"/>
              <w:snapToGrid w:val="0"/>
              <w:spacing w:line="360" w:lineRule="auto"/>
              <w:jc w:val="center"/>
              <w:rPr>
                <w:b/>
                <w:bCs/>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w:t>制标</w:t>
            </w:r>
          </w:p>
          <w:p w14:paraId="498C485B">
            <w:pPr>
              <w:adjustRightInd w:val="0"/>
              <w:snapToGrid w:val="0"/>
              <w:spacing w:line="360" w:lineRule="auto"/>
              <w:jc w:val="center"/>
              <w:rPr>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w:t>准</w:t>
            </w:r>
          </w:p>
        </w:tc>
        <w:tc>
          <w:tcPr>
            <w:tcW w:w="8013" w:type="dxa"/>
            <w:tcBorders>
              <w:tl2br w:val="nil"/>
              <w:tr2bl w:val="nil"/>
            </w:tcBorders>
            <w:vAlign w:val="center"/>
          </w:tcPr>
          <w:p w14:paraId="25C09AC9">
            <w:pPr>
              <w:adjustRightInd w:val="0"/>
              <w:snapToGrid w:val="0"/>
              <w:spacing w:line="360" w:lineRule="auto"/>
              <w:jc w:val="left"/>
              <w:rPr>
                <w:b/>
                <w:bCs/>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w:t>1.大气污染物排放标准</w:t>
            </w:r>
          </w:p>
          <w:p w14:paraId="68FECEAF">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生物质锅炉产生的废气中</w:t>
            </w:r>
            <w:r>
              <w:rPr>
                <w:color w:val="000000" w:themeColor="text1"/>
                <w:kern w:val="0"/>
                <w:sz w:val="24"/>
                <w14:textFill>
                  <w14:solidFill>
                    <w14:schemeClr w14:val="tx1"/>
                  </w14:solidFill>
                </w14:textFill>
              </w:rPr>
              <w:t>颗粒物</w:t>
            </w:r>
            <w:r>
              <w:rPr>
                <w:rFonts w:hint="eastAsia"/>
                <w:color w:val="000000" w:themeColor="text1"/>
                <w:kern w:val="0"/>
                <w:sz w:val="24"/>
                <w14:textFill>
                  <w14:solidFill>
                    <w14:schemeClr w14:val="tx1"/>
                  </w14:solidFill>
                </w14:textFill>
              </w:rPr>
              <w:t>、</w:t>
            </w:r>
            <w:r>
              <w:rPr>
                <w:color w:val="000000" w:themeColor="text1"/>
                <w:kern w:val="0"/>
                <w:sz w:val="24"/>
                <w14:textFill>
                  <w14:solidFill>
                    <w14:schemeClr w14:val="tx1"/>
                  </w14:solidFill>
                </w14:textFill>
              </w:rPr>
              <w:t>二氧化硫</w:t>
            </w:r>
            <w:r>
              <w:rPr>
                <w:rFonts w:hint="eastAsia"/>
                <w:color w:val="000000" w:themeColor="text1"/>
                <w:kern w:val="0"/>
                <w:sz w:val="24"/>
                <w14:textFill>
                  <w14:solidFill>
                    <w14:schemeClr w14:val="tx1"/>
                  </w14:solidFill>
                </w14:textFill>
              </w:rPr>
              <w:t>执行《锅炉大气污染物排放标准》（GB13271-2014）表2大气污染物排放限值。</w:t>
            </w:r>
          </w:p>
          <w:p w14:paraId="6B1C529F">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无组织颗粒物执行</w:t>
            </w:r>
            <w:r>
              <w:rPr>
                <w:color w:val="000000" w:themeColor="text1"/>
                <w:kern w:val="0"/>
                <w:sz w:val="24"/>
                <w14:textFill>
                  <w14:solidFill>
                    <w14:schemeClr w14:val="tx1"/>
                  </w14:solidFill>
                </w14:textFill>
              </w:rPr>
              <w:t>《大气污染物综合排放标准》</w:t>
            </w:r>
            <w:r>
              <w:rPr>
                <w:rFonts w:hint="eastAsia"/>
                <w:color w:val="000000" w:themeColor="text1"/>
                <w:kern w:val="0"/>
                <w:sz w:val="24"/>
                <w14:textFill>
                  <w14:solidFill>
                    <w14:schemeClr w14:val="tx1"/>
                  </w14:solidFill>
                </w14:textFill>
              </w:rPr>
              <w:t>（</w:t>
            </w:r>
            <w:r>
              <w:rPr>
                <w:color w:val="000000" w:themeColor="text1"/>
                <w:kern w:val="0"/>
                <w:sz w:val="24"/>
                <w14:textFill>
                  <w14:solidFill>
                    <w14:schemeClr w14:val="tx1"/>
                  </w14:solidFill>
                </w14:textFill>
              </w:rPr>
              <w:t>GB16297-1996</w:t>
            </w:r>
            <w:r>
              <w:rPr>
                <w:rFonts w:hint="eastAsia"/>
                <w:color w:val="000000" w:themeColor="text1"/>
                <w:kern w:val="0"/>
                <w:sz w:val="24"/>
                <w14:textFill>
                  <w14:solidFill>
                    <w14:schemeClr w14:val="tx1"/>
                  </w14:solidFill>
                </w14:textFill>
              </w:rPr>
              <w:t>）</w:t>
            </w:r>
            <w:r>
              <w:rPr>
                <w:color w:val="000000" w:themeColor="text1"/>
                <w:kern w:val="0"/>
                <w:sz w:val="24"/>
                <w14:textFill>
                  <w14:solidFill>
                    <w14:schemeClr w14:val="tx1"/>
                  </w14:solidFill>
                </w14:textFill>
              </w:rPr>
              <w:t>表2</w:t>
            </w:r>
            <w:r>
              <w:rPr>
                <w:rFonts w:hint="eastAsia"/>
                <w:color w:val="000000" w:themeColor="text1"/>
                <w:kern w:val="0"/>
                <w:sz w:val="24"/>
                <w14:textFill>
                  <w14:solidFill>
                    <w14:schemeClr w14:val="tx1"/>
                  </w14:solidFill>
                </w14:textFill>
              </w:rPr>
              <w:t>中无组织排放监控浓度限值要求。</w:t>
            </w:r>
          </w:p>
          <w:p w14:paraId="389A84CA">
            <w:pPr>
              <w:adjustRightInd w:val="0"/>
              <w:snapToGrid w:val="0"/>
              <w:spacing w:line="360" w:lineRule="auto"/>
              <w:jc w:val="left"/>
              <w:rPr>
                <w:b/>
                <w:bCs/>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w:t>2.噪声排放标准</w:t>
            </w:r>
          </w:p>
          <w:p w14:paraId="1AE509EF">
            <w:pPr>
              <w:adjustRightInd w:val="0"/>
              <w:snapToGrid w:val="0"/>
              <w:spacing w:line="360" w:lineRule="auto"/>
              <w:ind w:firstLine="480" w:firstLineChars="200"/>
              <w:rPr>
                <w:b/>
                <w:bCs/>
                <w:color w:val="000000" w:themeColor="text1"/>
                <w:kern w:val="0"/>
                <w:szCs w:val="21"/>
                <w14:textFill>
                  <w14:solidFill>
                    <w14:schemeClr w14:val="tx1"/>
                  </w14:solidFill>
                </w14:textFill>
              </w:rPr>
            </w:pPr>
            <w:r>
              <w:rPr>
                <w:color w:val="000000" w:themeColor="text1"/>
                <w:kern w:val="0"/>
                <w:sz w:val="24"/>
                <w14:textFill>
                  <w14:solidFill>
                    <w14:schemeClr w14:val="tx1"/>
                  </w14:solidFill>
                </w14:textFill>
              </w:rPr>
              <w:t>运营期</w:t>
            </w:r>
            <w:r>
              <w:rPr>
                <w:rFonts w:hint="eastAsia"/>
                <w:color w:val="000000" w:themeColor="text1"/>
                <w:kern w:val="0"/>
                <w:sz w:val="24"/>
                <w14:textFill>
                  <w14:solidFill>
                    <w14:schemeClr w14:val="tx1"/>
                  </w14:solidFill>
                </w14:textFill>
              </w:rPr>
              <w:t>本项目运行区域及周边</w:t>
            </w:r>
            <w:r>
              <w:rPr>
                <w:color w:val="000000" w:themeColor="text1"/>
                <w:kern w:val="0"/>
                <w:sz w:val="24"/>
                <w14:textFill>
                  <w14:solidFill>
                    <w14:schemeClr w14:val="tx1"/>
                  </w14:solidFill>
                </w14:textFill>
              </w:rPr>
              <w:t>噪声执行《工业企业厂界环境噪声排放标准》（GB</w:t>
            </w:r>
            <w:r>
              <w:rPr>
                <w:rFonts w:hint="eastAsia"/>
                <w:color w:val="000000" w:themeColor="text1"/>
                <w:kern w:val="0"/>
                <w:sz w:val="24"/>
                <w14:textFill>
                  <w14:solidFill>
                    <w14:schemeClr w14:val="tx1"/>
                  </w14:solidFill>
                </w14:textFill>
              </w:rPr>
              <w:t xml:space="preserve"> </w:t>
            </w:r>
            <w:r>
              <w:rPr>
                <w:color w:val="000000" w:themeColor="text1"/>
                <w:kern w:val="0"/>
                <w:sz w:val="24"/>
                <w14:textFill>
                  <w14:solidFill>
                    <w14:schemeClr w14:val="tx1"/>
                  </w14:solidFill>
                </w14:textFill>
              </w:rPr>
              <w:t>12348-2008）中</w:t>
            </w:r>
            <w:r>
              <w:rPr>
                <w:rFonts w:hint="eastAsia"/>
                <w:color w:val="000000" w:themeColor="text1"/>
                <w:kern w:val="0"/>
                <w:sz w:val="24"/>
                <w14:textFill>
                  <w14:solidFill>
                    <w14:schemeClr w14:val="tx1"/>
                  </w14:solidFill>
                </w14:textFill>
              </w:rPr>
              <w:t>2</w:t>
            </w:r>
            <w:r>
              <w:rPr>
                <w:color w:val="000000" w:themeColor="text1"/>
                <w:kern w:val="0"/>
                <w:sz w:val="24"/>
                <w14:textFill>
                  <w14:solidFill>
                    <w14:schemeClr w14:val="tx1"/>
                  </w14:solidFill>
                </w14:textFill>
              </w:rPr>
              <w:t>类标准限值。</w:t>
            </w:r>
          </w:p>
          <w:p w14:paraId="798AAA7E">
            <w:pPr>
              <w:adjustRightInd w:val="0"/>
              <w:snapToGrid w:val="0"/>
              <w:spacing w:line="360" w:lineRule="auto"/>
              <w:jc w:val="left"/>
              <w:rPr>
                <w:b/>
                <w:bCs/>
                <w:color w:val="000000" w:themeColor="text1"/>
                <w:kern w:val="0"/>
                <w:sz w:val="24"/>
                <w14:textFill>
                  <w14:solidFill>
                    <w14:schemeClr w14:val="tx1"/>
                  </w14:solidFill>
                </w14:textFill>
              </w:rPr>
            </w:pPr>
            <w:r>
              <w:rPr>
                <w:b/>
                <w:bCs/>
                <w:color w:val="000000" w:themeColor="text1"/>
                <w:sz w:val="24"/>
                <w14:textFill>
                  <w14:solidFill>
                    <w14:schemeClr w14:val="tx1"/>
                  </w14:solidFill>
                </w14:textFill>
              </w:rPr>
              <w:t>3</w:t>
            </w:r>
            <w:r>
              <w:rPr>
                <w:b/>
                <w:bCs/>
                <w:color w:val="000000" w:themeColor="text1"/>
                <w:kern w:val="0"/>
                <w:sz w:val="24"/>
                <w14:textFill>
                  <w14:solidFill>
                    <w14:schemeClr w14:val="tx1"/>
                  </w14:solidFill>
                </w14:textFill>
              </w:rPr>
              <w:t>.固体废物</w:t>
            </w:r>
          </w:p>
          <w:p w14:paraId="57BBAB2B">
            <w:pPr>
              <w:pStyle w:val="8"/>
              <w:adjustRightInd w:val="0"/>
              <w:spacing w:before="0" w:after="0" w:line="360" w:lineRule="auto"/>
              <w:ind w:right="0" w:firstLine="480" w:firstLineChars="200"/>
              <w:rPr>
                <w:color w:val="000000" w:themeColor="text1"/>
                <w14:textFill>
                  <w14:solidFill>
                    <w14:schemeClr w14:val="tx1"/>
                  </w14:solidFill>
                </w14:textFill>
              </w:rPr>
            </w:pPr>
            <w:r>
              <w:rPr>
                <w:color w:val="000000" w:themeColor="text1"/>
                <w:sz w:val="24"/>
                <w14:textFill>
                  <w14:solidFill>
                    <w14:schemeClr w14:val="tx1"/>
                  </w14:solidFill>
                </w14:textFill>
              </w:rPr>
              <w:t>一般固体废物执行《一般工业固体废物贮存和填埋污染控制标准》（GB</w:t>
            </w:r>
            <w:r>
              <w:rPr>
                <w:rFonts w:hint="eastAsia"/>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t>18599-2020）</w:t>
            </w:r>
            <w:r>
              <w:rPr>
                <w:rFonts w:hint="eastAsia"/>
                <w:color w:val="000000" w:themeColor="text1"/>
                <w:sz w:val="24"/>
                <w14:textFill>
                  <w14:solidFill>
                    <w14:schemeClr w14:val="tx1"/>
                  </w14:solidFill>
                </w14:textFill>
              </w:rPr>
              <w:t>。</w:t>
            </w:r>
          </w:p>
        </w:tc>
      </w:tr>
      <w:tr w14:paraId="1BE45F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0" w:hRule="atLeast"/>
          <w:jc w:val="center"/>
        </w:trPr>
        <w:tc>
          <w:tcPr>
            <w:tcW w:w="802" w:type="dxa"/>
            <w:tcBorders>
              <w:tl2br w:val="nil"/>
              <w:tr2bl w:val="nil"/>
            </w:tcBorders>
            <w:vAlign w:val="center"/>
          </w:tcPr>
          <w:p w14:paraId="54287389">
            <w:pPr>
              <w:adjustRightInd w:val="0"/>
              <w:snapToGrid w:val="0"/>
              <w:spacing w:line="360" w:lineRule="auto"/>
              <w:jc w:val="center"/>
              <w:rPr>
                <w:b/>
                <w:bCs/>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w:t>总量</w:t>
            </w:r>
          </w:p>
          <w:p w14:paraId="2EE53CD7">
            <w:pPr>
              <w:adjustRightInd w:val="0"/>
              <w:snapToGrid w:val="0"/>
              <w:spacing w:line="360" w:lineRule="auto"/>
              <w:jc w:val="center"/>
              <w:rPr>
                <w:b/>
                <w:bCs/>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w:t>控制</w:t>
            </w:r>
          </w:p>
          <w:p w14:paraId="2B5BD76D">
            <w:pPr>
              <w:adjustRightInd w:val="0"/>
              <w:snapToGrid w:val="0"/>
              <w:spacing w:line="360" w:lineRule="auto"/>
              <w:jc w:val="center"/>
              <w:rPr>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w:t>指标</w:t>
            </w:r>
          </w:p>
        </w:tc>
        <w:tc>
          <w:tcPr>
            <w:tcW w:w="8013" w:type="dxa"/>
            <w:tcBorders>
              <w:tl2br w:val="nil"/>
              <w:tr2bl w:val="nil"/>
            </w:tcBorders>
            <w:vAlign w:val="center"/>
          </w:tcPr>
          <w:p w14:paraId="7D6449D5">
            <w:pPr>
              <w:widowControl/>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根据《“十五五”污染减排工作方案编制技术指南》，大气污染物减排因子为NOX、VOCS，水污染物减排因子为COD和总磷。</w:t>
            </w:r>
            <w:r>
              <w:rPr>
                <w:rFonts w:hint="eastAsia" w:hAnsi="宋体"/>
                <w:color w:val="000000" w:themeColor="text1"/>
                <w:sz w:val="24"/>
                <w14:textFill>
                  <w14:solidFill>
                    <w14:schemeClr w14:val="tx1"/>
                  </w14:solidFill>
                </w14:textFill>
              </w:rPr>
              <w:t>依据本项目污染物排放特点，项目涉及大气污染物总量控制因子为</w:t>
            </w:r>
            <w:r>
              <w:rPr>
                <w:color w:val="000000" w:themeColor="text1"/>
                <w:sz w:val="24"/>
                <w14:textFill>
                  <w14:solidFill>
                    <w14:schemeClr w14:val="tx1"/>
                  </w14:solidFill>
                </w14:textFill>
              </w:rPr>
              <w:t>NO</w:t>
            </w:r>
            <w:r>
              <w:rPr>
                <w:color w:val="000000" w:themeColor="text1"/>
                <w:sz w:val="24"/>
                <w:vertAlign w:val="subscript"/>
                <w14:textFill>
                  <w14:solidFill>
                    <w14:schemeClr w14:val="tx1"/>
                  </w14:solidFill>
                </w14:textFill>
              </w:rPr>
              <w:t>x</w:t>
            </w:r>
            <w:r>
              <w:rPr>
                <w:rFonts w:hint="eastAsia" w:hAnsi="宋体"/>
                <w:color w:val="000000" w:themeColor="text1"/>
                <w:sz w:val="24"/>
                <w14:textFill>
                  <w14:solidFill>
                    <w14:schemeClr w14:val="tx1"/>
                  </w14:solidFill>
                </w14:textFill>
              </w:rPr>
              <w:t>。</w:t>
            </w:r>
          </w:p>
          <w:p w14:paraId="0B717D66">
            <w:pPr>
              <w:widowControl/>
              <w:adjustRightInd w:val="0"/>
              <w:snapToGrid w:val="0"/>
              <w:spacing w:line="360" w:lineRule="auto"/>
              <w:ind w:firstLine="480" w:firstLineChars="200"/>
              <w:rPr>
                <w:color w:val="000000" w:themeColor="text1"/>
                <w:kern w:val="0"/>
                <w:sz w:val="24"/>
                <w14:textFill>
                  <w14:solidFill>
                    <w14:schemeClr w14:val="tx1"/>
                  </w14:solidFill>
                </w14:textFill>
              </w:rPr>
            </w:pPr>
            <w:r>
              <w:rPr>
                <w:color w:val="000000" w:themeColor="text1"/>
                <w:sz w:val="24"/>
                <w14:textFill>
                  <w14:solidFill>
                    <w14:schemeClr w14:val="tx1"/>
                  </w14:solidFill>
                </w14:textFill>
              </w:rPr>
              <w:t>本项目</w:t>
            </w:r>
            <w:r>
              <w:rPr>
                <w:rFonts w:hint="eastAsia"/>
                <w:color w:val="000000" w:themeColor="text1"/>
                <w:sz w:val="24"/>
                <w14:textFill>
                  <w14:solidFill>
                    <w14:schemeClr w14:val="tx1"/>
                  </w14:solidFill>
                </w14:textFill>
              </w:rPr>
              <w:t>污染物</w:t>
            </w:r>
            <w:r>
              <w:rPr>
                <w:color w:val="000000" w:themeColor="text1"/>
                <w:sz w:val="24"/>
                <w14:textFill>
                  <w14:solidFill>
                    <w14:schemeClr w14:val="tx1"/>
                  </w14:solidFill>
                </w14:textFill>
              </w:rPr>
              <w:t>总量</w:t>
            </w:r>
            <w:r>
              <w:rPr>
                <w:rFonts w:hint="eastAsia"/>
                <w:color w:val="000000" w:themeColor="text1"/>
                <w:sz w:val="24"/>
                <w14:textFill>
                  <w14:solidFill>
                    <w14:schemeClr w14:val="tx1"/>
                  </w14:solidFill>
                </w14:textFill>
              </w:rPr>
              <w:t>控制</w:t>
            </w:r>
            <w:r>
              <w:rPr>
                <w:color w:val="000000" w:themeColor="text1"/>
                <w:sz w:val="24"/>
                <w14:textFill>
                  <w14:solidFill>
                    <w14:schemeClr w14:val="tx1"/>
                  </w14:solidFill>
                </w14:textFill>
              </w:rPr>
              <w:t>指标为：NO</w:t>
            </w:r>
            <w:r>
              <w:rPr>
                <w:color w:val="000000" w:themeColor="text1"/>
                <w:sz w:val="24"/>
                <w:vertAlign w:val="subscript"/>
                <w14:textFill>
                  <w14:solidFill>
                    <w14:schemeClr w14:val="tx1"/>
                  </w14:solidFill>
                </w14:textFill>
              </w:rPr>
              <w:t>x</w:t>
            </w:r>
            <w:r>
              <w:rPr>
                <w:rFonts w:hint="eastAsia"/>
                <w:color w:val="000000" w:themeColor="text1"/>
                <w:sz w:val="24"/>
                <w14:textFill>
                  <w14:solidFill>
                    <w14:schemeClr w14:val="tx1"/>
                  </w14:solidFill>
                </w14:textFill>
              </w:rPr>
              <w:t>：1.836</w:t>
            </w:r>
            <w:r>
              <w:rPr>
                <w:color w:val="000000" w:themeColor="text1"/>
                <w:sz w:val="24"/>
                <w14:textFill>
                  <w14:solidFill>
                    <w14:schemeClr w14:val="tx1"/>
                  </w14:solidFill>
                </w14:textFill>
              </w:rPr>
              <w:t>t/a</w:t>
            </w:r>
            <w:r>
              <w:rPr>
                <w:rFonts w:hint="eastAsia"/>
                <w:color w:val="000000" w:themeColor="text1"/>
                <w:sz w:val="24"/>
                <w14:textFill>
                  <w14:solidFill>
                    <w14:schemeClr w14:val="tx1"/>
                  </w14:solidFill>
                </w14:textFill>
              </w:rPr>
              <w:t>。</w:t>
            </w:r>
          </w:p>
        </w:tc>
      </w:tr>
    </w:tbl>
    <w:p w14:paraId="233D6DE9">
      <w:pPr>
        <w:pStyle w:val="24"/>
        <w:adjustRightInd w:val="0"/>
        <w:snapToGrid w:val="0"/>
        <w:spacing w:before="0" w:beforeAutospacing="0" w:after="0" w:afterAutospacing="0" w:line="360" w:lineRule="auto"/>
        <w:jc w:val="center"/>
        <w:outlineLvl w:val="0"/>
        <w:rPr>
          <w:rFonts w:hint="eastAsia" w:ascii="黑体" w:hAnsi="黑体" w:eastAsia="黑体"/>
          <w:snapToGrid w:val="0"/>
          <w:color w:val="000000" w:themeColor="text1"/>
          <w:sz w:val="30"/>
          <w:szCs w:val="30"/>
          <w14:textFill>
            <w14:solidFill>
              <w14:schemeClr w14:val="tx1"/>
            </w14:solidFill>
          </w14:textFill>
        </w:rPr>
      </w:pPr>
      <w:r>
        <w:rPr>
          <w:rFonts w:ascii="黑体" w:hAnsi="黑体" w:eastAsia="黑体"/>
          <w:snapToGrid w:val="0"/>
          <w:color w:val="000000" w:themeColor="text1"/>
          <w:sz w:val="36"/>
          <w:szCs w:val="36"/>
          <w14:textFill>
            <w14:solidFill>
              <w14:schemeClr w14:val="tx1"/>
            </w14:solidFill>
          </w14:textFill>
        </w:rPr>
        <w:br w:type="page"/>
      </w:r>
      <w:r>
        <w:rPr>
          <w:rFonts w:hint="eastAsia" w:ascii="黑体" w:hAnsi="黑体" w:eastAsia="黑体"/>
          <w:snapToGrid w:val="0"/>
          <w:color w:val="000000" w:themeColor="text1"/>
          <w:sz w:val="30"/>
          <w:szCs w:val="30"/>
          <w14:textFill>
            <w14:solidFill>
              <w14:schemeClr w14:val="tx1"/>
            </w14:solidFill>
          </w14:textFill>
        </w:rPr>
        <w:t>四、主要环境影响和保护措施</w:t>
      </w:r>
    </w:p>
    <w:tbl>
      <w:tblPr>
        <w:tblStyle w:val="29"/>
        <w:tblW w:w="890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14:paraId="15E374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dxa"/>
            <w:tcBorders>
              <w:tl2br w:val="nil"/>
              <w:tr2bl w:val="nil"/>
            </w:tcBorders>
            <w:tcMar>
              <w:left w:w="28" w:type="dxa"/>
              <w:right w:w="28" w:type="dxa"/>
            </w:tcMar>
            <w:vAlign w:val="center"/>
          </w:tcPr>
          <w:p w14:paraId="06AE3CF8">
            <w:pPr>
              <w:pStyle w:val="24"/>
              <w:adjustRightInd w:val="0"/>
              <w:snapToGrid w:val="0"/>
              <w:spacing w:before="0" w:beforeAutospacing="0" w:after="0" w:afterAutospacing="0" w:line="360" w:lineRule="auto"/>
              <w:jc w:val="center"/>
              <w:rPr>
                <w:rFonts w:ascii="Times New Roman" w:hAnsi="Times New Roman"/>
                <w:b/>
                <w:bCs/>
                <w:color w:val="000000" w:themeColor="text1"/>
                <w:kern w:val="2"/>
                <w:szCs w:val="24"/>
                <w14:textFill>
                  <w14:solidFill>
                    <w14:schemeClr w14:val="tx1"/>
                  </w14:solidFill>
                </w14:textFill>
              </w:rPr>
            </w:pPr>
            <w:r>
              <w:rPr>
                <w:rFonts w:ascii="Times New Roman" w:hAnsi="Times New Roman"/>
                <w:b/>
                <w:bCs/>
                <w:color w:val="000000" w:themeColor="text1"/>
                <w:kern w:val="2"/>
                <w:szCs w:val="24"/>
                <w14:textFill>
                  <w14:solidFill>
                    <w14:schemeClr w14:val="tx1"/>
                  </w14:solidFill>
                </w14:textFill>
              </w:rPr>
              <w:t>施工</w:t>
            </w:r>
          </w:p>
          <w:p w14:paraId="6565A7D8">
            <w:pPr>
              <w:pStyle w:val="24"/>
              <w:adjustRightInd w:val="0"/>
              <w:snapToGrid w:val="0"/>
              <w:spacing w:before="0" w:beforeAutospacing="0" w:after="0" w:afterAutospacing="0" w:line="360" w:lineRule="auto"/>
              <w:jc w:val="center"/>
              <w:rPr>
                <w:rFonts w:ascii="Times New Roman" w:hAnsi="Times New Roman"/>
                <w:b/>
                <w:bCs/>
                <w:color w:val="000000" w:themeColor="text1"/>
                <w:kern w:val="2"/>
                <w:szCs w:val="24"/>
                <w14:textFill>
                  <w14:solidFill>
                    <w14:schemeClr w14:val="tx1"/>
                  </w14:solidFill>
                </w14:textFill>
              </w:rPr>
            </w:pPr>
            <w:r>
              <w:rPr>
                <w:rFonts w:ascii="Times New Roman" w:hAnsi="Times New Roman"/>
                <w:b/>
                <w:bCs/>
                <w:color w:val="000000" w:themeColor="text1"/>
                <w:kern w:val="2"/>
                <w:szCs w:val="24"/>
                <w14:textFill>
                  <w14:solidFill>
                    <w14:schemeClr w14:val="tx1"/>
                  </w14:solidFill>
                </w14:textFill>
              </w:rPr>
              <w:t>期环</w:t>
            </w:r>
          </w:p>
          <w:p w14:paraId="07E4FAB0">
            <w:pPr>
              <w:pStyle w:val="24"/>
              <w:adjustRightInd w:val="0"/>
              <w:snapToGrid w:val="0"/>
              <w:spacing w:before="0" w:beforeAutospacing="0" w:after="0" w:afterAutospacing="0" w:line="360" w:lineRule="auto"/>
              <w:jc w:val="center"/>
              <w:rPr>
                <w:rFonts w:ascii="Times New Roman" w:hAnsi="Times New Roman"/>
                <w:b/>
                <w:bCs/>
                <w:color w:val="000000" w:themeColor="text1"/>
                <w:kern w:val="2"/>
                <w:szCs w:val="24"/>
                <w14:textFill>
                  <w14:solidFill>
                    <w14:schemeClr w14:val="tx1"/>
                  </w14:solidFill>
                </w14:textFill>
              </w:rPr>
            </w:pPr>
            <w:r>
              <w:rPr>
                <w:rFonts w:ascii="Times New Roman" w:hAnsi="Times New Roman"/>
                <w:b/>
                <w:bCs/>
                <w:color w:val="000000" w:themeColor="text1"/>
                <w:kern w:val="2"/>
                <w:szCs w:val="24"/>
                <w14:textFill>
                  <w14:solidFill>
                    <w14:schemeClr w14:val="tx1"/>
                  </w14:solidFill>
                </w14:textFill>
              </w:rPr>
              <w:t>境保</w:t>
            </w:r>
          </w:p>
          <w:p w14:paraId="7671F705">
            <w:pPr>
              <w:pStyle w:val="24"/>
              <w:adjustRightInd w:val="0"/>
              <w:snapToGrid w:val="0"/>
              <w:spacing w:before="0" w:beforeAutospacing="0" w:after="0" w:afterAutospacing="0" w:line="360" w:lineRule="auto"/>
              <w:jc w:val="center"/>
              <w:rPr>
                <w:rFonts w:ascii="Times New Roman" w:hAnsi="Times New Roman"/>
                <w:b/>
                <w:bCs/>
                <w:color w:val="000000" w:themeColor="text1"/>
                <w:kern w:val="2"/>
                <w:szCs w:val="24"/>
                <w14:textFill>
                  <w14:solidFill>
                    <w14:schemeClr w14:val="tx1"/>
                  </w14:solidFill>
                </w14:textFill>
              </w:rPr>
            </w:pPr>
            <w:r>
              <w:rPr>
                <w:rFonts w:ascii="Times New Roman" w:hAnsi="Times New Roman"/>
                <w:b/>
                <w:bCs/>
                <w:color w:val="000000" w:themeColor="text1"/>
                <w:kern w:val="2"/>
                <w:szCs w:val="24"/>
                <w14:textFill>
                  <w14:solidFill>
                    <w14:schemeClr w14:val="tx1"/>
                  </w14:solidFill>
                </w14:textFill>
              </w:rPr>
              <w:t>护措</w:t>
            </w:r>
          </w:p>
          <w:p w14:paraId="0D1E66CB">
            <w:pPr>
              <w:pStyle w:val="24"/>
              <w:adjustRightInd w:val="0"/>
              <w:snapToGrid w:val="0"/>
              <w:spacing w:before="0" w:beforeAutospacing="0" w:after="0" w:afterAutospacing="0" w:line="360" w:lineRule="auto"/>
              <w:jc w:val="center"/>
              <w:rPr>
                <w:rFonts w:ascii="Times New Roman" w:hAnsi="Times New Roman"/>
                <w:bCs/>
                <w:color w:val="000000" w:themeColor="text1"/>
                <w:kern w:val="2"/>
                <w:szCs w:val="24"/>
                <w14:textFill>
                  <w14:solidFill>
                    <w14:schemeClr w14:val="tx1"/>
                  </w14:solidFill>
                </w14:textFill>
              </w:rPr>
            </w:pPr>
            <w:r>
              <w:rPr>
                <w:rFonts w:ascii="Times New Roman" w:hAnsi="Times New Roman"/>
                <w:b/>
                <w:bCs/>
                <w:color w:val="000000" w:themeColor="text1"/>
                <w:kern w:val="2"/>
                <w:szCs w:val="24"/>
                <w14:textFill>
                  <w14:solidFill>
                    <w14:schemeClr w14:val="tx1"/>
                  </w14:solidFill>
                </w14:textFill>
              </w:rPr>
              <w:t>施</w:t>
            </w:r>
          </w:p>
        </w:tc>
        <w:tc>
          <w:tcPr>
            <w:tcW w:w="8162" w:type="dxa"/>
            <w:tcBorders>
              <w:tl2br w:val="nil"/>
              <w:tr2bl w:val="nil"/>
            </w:tcBorders>
            <w:vAlign w:val="center"/>
          </w:tcPr>
          <w:p w14:paraId="625A237B">
            <w:pPr>
              <w:widowControl/>
              <w:spacing w:line="360" w:lineRule="auto"/>
              <w:ind w:firstLine="480" w:firstLineChars="200"/>
              <w:jc w:val="left"/>
              <w:rPr>
                <w:color w:val="000000" w:themeColor="text1"/>
                <w:kern w:val="0"/>
                <w:sz w:val="24"/>
                <w:lang w:bidi="ar"/>
                <w14:textFill>
                  <w14:solidFill>
                    <w14:schemeClr w14:val="tx1"/>
                  </w14:solidFill>
                </w14:textFill>
              </w:rPr>
            </w:pPr>
            <w:r>
              <w:rPr>
                <w:rFonts w:hint="eastAsia"/>
                <w:color w:val="000000" w:themeColor="text1"/>
                <w:kern w:val="0"/>
                <w:sz w:val="24"/>
                <w:lang w:bidi="ar"/>
                <w14:textFill>
                  <w14:solidFill>
                    <w14:schemeClr w14:val="tx1"/>
                  </w14:solidFill>
                </w14:textFill>
              </w:rPr>
              <w:t>本项目施工期约2天，无土建工程施工，施工内容主要为将一体化移动锅炉及配套设施运至作业区</w:t>
            </w:r>
            <w:r>
              <w:rPr>
                <w:rFonts w:hint="eastAsia"/>
                <w:color w:val="000000" w:themeColor="text1"/>
                <w:sz w:val="24"/>
                <w14:textFill>
                  <w14:solidFill>
                    <w14:schemeClr w14:val="tx1"/>
                  </w14:solidFill>
                </w14:textFill>
              </w:rPr>
              <w:t>钻井队指定钻井位置，施工期主要为锅炉</w:t>
            </w:r>
            <w:r>
              <w:rPr>
                <w:rFonts w:hint="eastAsia"/>
                <w:color w:val="000000" w:themeColor="text1"/>
                <w:kern w:val="0"/>
                <w:sz w:val="24"/>
                <w:lang w:bidi="ar"/>
                <w14:textFill>
                  <w14:solidFill>
                    <w14:schemeClr w14:val="tx1"/>
                  </w14:solidFill>
                </w14:textFill>
              </w:rPr>
              <w:t>配套环保设施的安装连接，区域地面平整。虽然本项目工程量小、施工周期短，产生的污染极少，但是在建设过程中依然要保护环境，施工人员应按以下措施进行安装。</w:t>
            </w:r>
          </w:p>
          <w:p w14:paraId="37100631">
            <w:pPr>
              <w:widowControl/>
              <w:numPr>
                <w:ilvl w:val="0"/>
                <w:numId w:val="2"/>
              </w:numPr>
              <w:spacing w:line="360" w:lineRule="auto"/>
              <w:ind w:firstLine="480" w:firstLineChars="200"/>
              <w:jc w:val="left"/>
              <w:rPr>
                <w:color w:val="000000" w:themeColor="text1"/>
                <w:kern w:val="0"/>
                <w:sz w:val="24"/>
                <w:lang w:bidi="ar"/>
                <w14:textFill>
                  <w14:solidFill>
                    <w14:schemeClr w14:val="tx1"/>
                  </w14:solidFill>
                </w14:textFill>
              </w:rPr>
            </w:pPr>
            <w:r>
              <w:rPr>
                <w:color w:val="000000" w:themeColor="text1"/>
                <w:kern w:val="0"/>
                <w:sz w:val="24"/>
                <w:lang w:bidi="ar"/>
                <w14:textFill>
                  <w14:solidFill>
                    <w14:schemeClr w14:val="tx1"/>
                  </w14:solidFill>
                </w14:textFill>
              </w:rPr>
              <w:t>运输车辆进入施工现场低速行驶，减少鸣笛。</w:t>
            </w:r>
          </w:p>
          <w:p w14:paraId="7CCA5DD7">
            <w:pPr>
              <w:widowControl/>
              <w:numPr>
                <w:ilvl w:val="0"/>
                <w:numId w:val="2"/>
              </w:numPr>
              <w:spacing w:line="360" w:lineRule="auto"/>
              <w:ind w:firstLine="480" w:firstLineChars="200"/>
              <w:jc w:val="left"/>
              <w:rPr>
                <w:color w:val="000000" w:themeColor="text1"/>
                <w:kern w:val="0"/>
                <w:sz w:val="24"/>
                <w:lang w:bidi="ar"/>
                <w14:textFill>
                  <w14:solidFill>
                    <w14:schemeClr w14:val="tx1"/>
                  </w14:solidFill>
                </w14:textFill>
              </w:rPr>
            </w:pPr>
            <w:r>
              <w:rPr>
                <w:rFonts w:hint="eastAsia"/>
                <w:color w:val="000000" w:themeColor="text1"/>
                <w:kern w:val="0"/>
                <w:sz w:val="24"/>
                <w:lang w:bidi="ar"/>
                <w14:textFill>
                  <w14:solidFill>
                    <w14:schemeClr w14:val="tx1"/>
                  </w14:solidFill>
                </w14:textFill>
              </w:rPr>
              <w:t>锅炉放置区域地面平整，会产生少量扬尘，采取洒水抑尘措施。</w:t>
            </w:r>
          </w:p>
          <w:p w14:paraId="7A7EEB5A">
            <w:pPr>
              <w:widowControl/>
              <w:numPr>
                <w:ilvl w:val="0"/>
                <w:numId w:val="2"/>
              </w:numPr>
              <w:spacing w:line="360" w:lineRule="auto"/>
              <w:ind w:firstLine="480" w:firstLineChars="200"/>
              <w:jc w:val="left"/>
              <w:rPr>
                <w:color w:val="000000" w:themeColor="text1"/>
                <w:kern w:val="0"/>
                <w:sz w:val="24"/>
                <w:lang w:bidi="ar"/>
                <w14:textFill>
                  <w14:solidFill>
                    <w14:schemeClr w14:val="tx1"/>
                  </w14:solidFill>
                </w14:textFill>
              </w:rPr>
            </w:pPr>
            <w:r>
              <w:rPr>
                <w:rFonts w:hint="eastAsia"/>
                <w:color w:val="000000" w:themeColor="text1"/>
                <w:kern w:val="0"/>
                <w:sz w:val="24"/>
                <w:lang w:bidi="ar"/>
                <w14:textFill>
                  <w14:solidFill>
                    <w14:schemeClr w14:val="tx1"/>
                  </w14:solidFill>
                </w14:textFill>
              </w:rPr>
              <w:t>施工过程中，施工人员依托钻井队生活区现有设施，生活垃圾集中收集后，由钻井队统一处理。</w:t>
            </w:r>
          </w:p>
          <w:p w14:paraId="7217CB69">
            <w:pPr>
              <w:pStyle w:val="78"/>
              <w:rPr>
                <w:rFonts w:cs="Times New Roman"/>
                <w:color w:val="000000" w:themeColor="text1"/>
                <w:sz w:val="24"/>
                <w14:textFill>
                  <w14:solidFill>
                    <w14:schemeClr w14:val="tx1"/>
                  </w14:solidFill>
                </w14:textFill>
              </w:rPr>
            </w:pPr>
            <w:r>
              <w:rPr>
                <w:rFonts w:hint="eastAsia" w:cs="Times New Roman"/>
                <w:color w:val="000000" w:themeColor="text1"/>
                <w:sz w:val="24"/>
                <w14:textFill>
                  <w14:solidFill>
                    <w14:schemeClr w14:val="tx1"/>
                  </w14:solidFill>
                </w14:textFill>
              </w:rPr>
              <w:t>（4）施工期尽量减少占地，减少施工对周围植被扰动。</w:t>
            </w:r>
          </w:p>
        </w:tc>
      </w:tr>
      <w:tr w14:paraId="7E72C7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6" w:type="dxa"/>
            <w:vMerge w:val="restart"/>
            <w:tcBorders>
              <w:tl2br w:val="nil"/>
              <w:tr2bl w:val="nil"/>
            </w:tcBorders>
            <w:tcMar>
              <w:left w:w="28" w:type="dxa"/>
              <w:right w:w="28" w:type="dxa"/>
            </w:tcMar>
            <w:vAlign w:val="center"/>
          </w:tcPr>
          <w:p w14:paraId="5202E275">
            <w:pPr>
              <w:adjustRightInd w:val="0"/>
              <w:snapToGrid w:val="0"/>
              <w:spacing w:line="360" w:lineRule="auto"/>
              <w:jc w:val="center"/>
              <w:rPr>
                <w:b/>
                <w:color w:val="000000" w:themeColor="text1"/>
                <w:sz w:val="24"/>
                <w14:textFill>
                  <w14:solidFill>
                    <w14:schemeClr w14:val="tx1"/>
                  </w14:solidFill>
                </w14:textFill>
              </w:rPr>
            </w:pPr>
            <w:r>
              <w:rPr>
                <w:b/>
                <w:color w:val="000000" w:themeColor="text1"/>
                <w:sz w:val="24"/>
                <w14:textFill>
                  <w14:solidFill>
                    <w14:schemeClr w14:val="tx1"/>
                  </w14:solidFill>
                </w14:textFill>
              </w:rPr>
              <w:t>运营</w:t>
            </w:r>
          </w:p>
          <w:p w14:paraId="53B6943F">
            <w:pPr>
              <w:adjustRightInd w:val="0"/>
              <w:snapToGrid w:val="0"/>
              <w:spacing w:line="360" w:lineRule="auto"/>
              <w:jc w:val="center"/>
              <w:rPr>
                <w:b/>
                <w:color w:val="000000" w:themeColor="text1"/>
                <w:sz w:val="24"/>
                <w14:textFill>
                  <w14:solidFill>
                    <w14:schemeClr w14:val="tx1"/>
                  </w14:solidFill>
                </w14:textFill>
              </w:rPr>
            </w:pPr>
            <w:r>
              <w:rPr>
                <w:b/>
                <w:color w:val="000000" w:themeColor="text1"/>
                <w:sz w:val="24"/>
                <w14:textFill>
                  <w14:solidFill>
                    <w14:schemeClr w14:val="tx1"/>
                  </w14:solidFill>
                </w14:textFill>
              </w:rPr>
              <w:t>期环</w:t>
            </w:r>
          </w:p>
          <w:p w14:paraId="1E620463">
            <w:pPr>
              <w:adjustRightInd w:val="0"/>
              <w:snapToGrid w:val="0"/>
              <w:spacing w:line="360" w:lineRule="auto"/>
              <w:jc w:val="center"/>
              <w:rPr>
                <w:b/>
                <w:color w:val="000000" w:themeColor="text1"/>
                <w:sz w:val="24"/>
                <w14:textFill>
                  <w14:solidFill>
                    <w14:schemeClr w14:val="tx1"/>
                  </w14:solidFill>
                </w14:textFill>
              </w:rPr>
            </w:pPr>
            <w:r>
              <w:rPr>
                <w:b/>
                <w:color w:val="000000" w:themeColor="text1"/>
                <w:sz w:val="24"/>
                <w14:textFill>
                  <w14:solidFill>
                    <w14:schemeClr w14:val="tx1"/>
                  </w14:solidFill>
                </w14:textFill>
              </w:rPr>
              <w:t>境影</w:t>
            </w:r>
          </w:p>
          <w:p w14:paraId="314F1917">
            <w:pPr>
              <w:adjustRightInd w:val="0"/>
              <w:snapToGrid w:val="0"/>
              <w:spacing w:line="360" w:lineRule="auto"/>
              <w:jc w:val="center"/>
              <w:rPr>
                <w:b/>
                <w:color w:val="000000" w:themeColor="text1"/>
                <w:sz w:val="24"/>
                <w14:textFill>
                  <w14:solidFill>
                    <w14:schemeClr w14:val="tx1"/>
                  </w14:solidFill>
                </w14:textFill>
              </w:rPr>
            </w:pPr>
            <w:r>
              <w:rPr>
                <w:b/>
                <w:color w:val="000000" w:themeColor="text1"/>
                <w:sz w:val="24"/>
                <w14:textFill>
                  <w14:solidFill>
                    <w14:schemeClr w14:val="tx1"/>
                  </w14:solidFill>
                </w14:textFill>
              </w:rPr>
              <w:t>响和</w:t>
            </w:r>
          </w:p>
          <w:p w14:paraId="42825A00">
            <w:pPr>
              <w:adjustRightInd w:val="0"/>
              <w:snapToGrid w:val="0"/>
              <w:spacing w:line="360" w:lineRule="auto"/>
              <w:jc w:val="center"/>
              <w:rPr>
                <w:b/>
                <w:color w:val="000000" w:themeColor="text1"/>
                <w:sz w:val="24"/>
                <w14:textFill>
                  <w14:solidFill>
                    <w14:schemeClr w14:val="tx1"/>
                  </w14:solidFill>
                </w14:textFill>
              </w:rPr>
            </w:pPr>
            <w:r>
              <w:rPr>
                <w:b/>
                <w:color w:val="000000" w:themeColor="text1"/>
                <w:sz w:val="24"/>
                <w14:textFill>
                  <w14:solidFill>
                    <w14:schemeClr w14:val="tx1"/>
                  </w14:solidFill>
                </w14:textFill>
              </w:rPr>
              <w:t>保护</w:t>
            </w:r>
          </w:p>
          <w:p w14:paraId="1DC39941">
            <w:pPr>
              <w:pStyle w:val="24"/>
              <w:adjustRightInd w:val="0"/>
              <w:snapToGrid w:val="0"/>
              <w:spacing w:before="0" w:beforeAutospacing="0" w:after="0" w:afterAutospacing="0" w:line="360" w:lineRule="auto"/>
              <w:jc w:val="center"/>
              <w:rPr>
                <w:rFonts w:ascii="Times New Roman" w:hAnsi="Times New Roman"/>
                <w:b/>
                <w:bCs/>
                <w:color w:val="000000" w:themeColor="text1"/>
                <w:kern w:val="2"/>
                <w:szCs w:val="24"/>
                <w14:textFill>
                  <w14:solidFill>
                    <w14:schemeClr w14:val="tx1"/>
                  </w14:solidFill>
                </w14:textFill>
              </w:rPr>
            </w:pPr>
            <w:r>
              <w:rPr>
                <w:b/>
                <w:color w:val="000000" w:themeColor="text1"/>
                <w14:textFill>
                  <w14:solidFill>
                    <w14:schemeClr w14:val="tx1"/>
                  </w14:solidFill>
                </w14:textFill>
              </w:rPr>
              <w:t>措施</w:t>
            </w:r>
          </w:p>
        </w:tc>
        <w:tc>
          <w:tcPr>
            <w:tcW w:w="8162" w:type="dxa"/>
            <w:tcBorders>
              <w:tl2br w:val="nil"/>
              <w:tr2bl w:val="nil"/>
            </w:tcBorders>
            <w:vAlign w:val="center"/>
          </w:tcPr>
          <w:p w14:paraId="73DB11A0">
            <w:pPr>
              <w:adjustRightInd w:val="0"/>
              <w:snapToGrid w:val="0"/>
              <w:spacing w:line="360" w:lineRule="auto"/>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1.大气污染物</w:t>
            </w:r>
          </w:p>
          <w:p w14:paraId="36401E1D">
            <w:pPr>
              <w:adjustRightInd w:val="0"/>
              <w:snapToGrid w:val="0"/>
              <w:spacing w:line="360" w:lineRule="auto"/>
              <w:ind w:firstLine="470" w:firstLineChars="200"/>
              <w:rPr>
                <w:b/>
                <w:bCs/>
                <w:color w:val="000000" w:themeColor="text1"/>
                <w:spacing w:val="-3"/>
                <w:sz w:val="24"/>
                <w14:textFill>
                  <w14:solidFill>
                    <w14:schemeClr w14:val="tx1"/>
                  </w14:solidFill>
                </w14:textFill>
              </w:rPr>
            </w:pPr>
            <w:r>
              <w:rPr>
                <w:rFonts w:hint="eastAsia"/>
                <w:b/>
                <w:bCs/>
                <w:color w:val="000000" w:themeColor="text1"/>
                <w:spacing w:val="-3"/>
                <w:sz w:val="24"/>
                <w14:textFill>
                  <w14:solidFill>
                    <w14:schemeClr w14:val="tx1"/>
                  </w14:solidFill>
                </w14:textFill>
              </w:rPr>
              <w:t>1.1废气污染源分析</w:t>
            </w:r>
          </w:p>
          <w:p w14:paraId="54D00318">
            <w:pPr>
              <w:adjustRightInd w:val="0"/>
              <w:snapToGrid w:val="0"/>
              <w:spacing w:line="360" w:lineRule="auto"/>
              <w:ind w:firstLine="480" w:firstLineChars="200"/>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本项目生产过程中产生的废气主要有锅炉废气、锅炉清灰粉尘及灰渣贮存粉尘。</w:t>
            </w:r>
          </w:p>
          <w:p w14:paraId="4B139146">
            <w:pPr>
              <w:pStyle w:val="15"/>
              <w:numPr>
                <w:ilvl w:val="0"/>
                <w:numId w:val="0"/>
              </w:numPr>
              <w:adjustRightInd w:val="0"/>
              <w:snapToGrid w:val="0"/>
              <w:spacing w:line="360" w:lineRule="auto"/>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1.1.1 锅炉废气</w:t>
            </w:r>
          </w:p>
          <w:p w14:paraId="48B9174D">
            <w:pPr>
              <w:widowControl/>
              <w:adjustRightInd w:val="0"/>
              <w:snapToGrid w:val="0"/>
              <w:spacing w:line="360" w:lineRule="auto"/>
              <w:ind w:firstLine="480" w:firstLineChars="200"/>
              <w:rPr>
                <w:color w:val="000000" w:themeColor="text1"/>
                <w:kern w:val="0"/>
                <w:sz w:val="24"/>
                <w:lang w:bidi="ar"/>
                <w14:textFill>
                  <w14:solidFill>
                    <w14:schemeClr w14:val="tx1"/>
                  </w14:solidFill>
                </w14:textFill>
              </w:rPr>
            </w:pPr>
            <w:r>
              <w:rPr>
                <w:rFonts w:hint="eastAsia"/>
                <w:color w:val="000000" w:themeColor="text1"/>
                <w:kern w:val="0"/>
                <w:sz w:val="24"/>
                <w:lang w:bidi="ar"/>
                <w14:textFill>
                  <w14:solidFill>
                    <w14:schemeClr w14:val="tx1"/>
                  </w14:solidFill>
                </w14:textFill>
              </w:rPr>
              <w:t>锅炉</w:t>
            </w:r>
            <w:r>
              <w:rPr>
                <w:color w:val="000000" w:themeColor="text1"/>
                <w:kern w:val="0"/>
                <w:sz w:val="24"/>
                <w:lang w:bidi="ar"/>
                <w14:textFill>
                  <w14:solidFill>
                    <w14:schemeClr w14:val="tx1"/>
                  </w14:solidFill>
                </w14:textFill>
              </w:rPr>
              <w:t>采用</w:t>
            </w:r>
            <w:r>
              <w:rPr>
                <w:rFonts w:hint="eastAsia"/>
                <w:color w:val="000000" w:themeColor="text1"/>
                <w:kern w:val="0"/>
                <w:sz w:val="24"/>
                <w:lang w:bidi="ar"/>
                <w14:textFill>
                  <w14:solidFill>
                    <w14:schemeClr w14:val="tx1"/>
                  </w14:solidFill>
                </w14:textFill>
              </w:rPr>
              <w:t>生物质成型燃料</w:t>
            </w:r>
            <w:r>
              <w:rPr>
                <w:color w:val="000000" w:themeColor="text1"/>
                <w:kern w:val="0"/>
                <w:sz w:val="24"/>
                <w:lang w:bidi="ar"/>
                <w14:textFill>
                  <w14:solidFill>
                    <w14:schemeClr w14:val="tx1"/>
                  </w14:solidFill>
                </w14:textFill>
              </w:rPr>
              <w:t>为燃料，平均低位发热值16.</w:t>
            </w:r>
            <w:r>
              <w:rPr>
                <w:rFonts w:hint="eastAsia"/>
                <w:color w:val="000000" w:themeColor="text1"/>
                <w:kern w:val="0"/>
                <w:sz w:val="24"/>
                <w:lang w:bidi="ar"/>
                <w14:textFill>
                  <w14:solidFill>
                    <w14:schemeClr w14:val="tx1"/>
                  </w14:solidFill>
                </w14:textFill>
              </w:rPr>
              <w:t>11</w:t>
            </w:r>
            <w:r>
              <w:rPr>
                <w:color w:val="000000" w:themeColor="text1"/>
                <w:kern w:val="0"/>
                <w:sz w:val="24"/>
                <w:lang w:bidi="ar"/>
                <w14:textFill>
                  <w14:solidFill>
                    <w14:schemeClr w14:val="tx1"/>
                  </w14:solidFill>
                </w14:textFill>
              </w:rPr>
              <w:t>MJ/kg</w:t>
            </w:r>
            <w:r>
              <w:rPr>
                <w:rFonts w:hint="eastAsia"/>
                <w:color w:val="000000" w:themeColor="text1"/>
                <w:kern w:val="0"/>
                <w:sz w:val="24"/>
                <w:lang w:bidi="ar"/>
                <w14:textFill>
                  <w14:solidFill>
                    <w14:schemeClr w14:val="tx1"/>
                  </w14:solidFill>
                </w14:textFill>
              </w:rPr>
              <w:t>，根据建设单位提供资料，1台2.5t/h的生物质锅炉每天使用燃料312kg/h，7.5t/d（900t/a），则2台2.5t/h的生物质锅炉燃料耗用量约为15t/d（1800t/a）。</w:t>
            </w:r>
          </w:p>
          <w:p w14:paraId="7FBFBBE3">
            <w:pPr>
              <w:widowControl/>
              <w:adjustRightInd w:val="0"/>
              <w:snapToGrid w:val="0"/>
              <w:spacing w:line="360" w:lineRule="auto"/>
              <w:ind w:firstLine="480" w:firstLineChars="200"/>
              <w:rPr>
                <w:color w:val="000000" w:themeColor="text1"/>
                <w:kern w:val="0"/>
                <w:sz w:val="24"/>
                <w:lang w:bidi="ar"/>
                <w14:textFill>
                  <w14:solidFill>
                    <w14:schemeClr w14:val="tx1"/>
                  </w14:solidFill>
                </w14:textFill>
              </w:rPr>
            </w:pPr>
            <w:r>
              <w:rPr>
                <w:rFonts w:hint="eastAsia"/>
                <w:color w:val="000000" w:themeColor="text1"/>
                <w:kern w:val="0"/>
                <w:sz w:val="24"/>
                <w:lang w:bidi="ar"/>
                <w14:textFill>
                  <w14:solidFill>
                    <w14:schemeClr w14:val="tx1"/>
                  </w14:solidFill>
                </w14:textFill>
              </w:rPr>
              <w:t>项目2台2.5t/h的生物质锅炉污染物治理措施相同。</w:t>
            </w:r>
          </w:p>
          <w:p w14:paraId="3ADC38CB">
            <w:pPr>
              <w:adjustRightInd w:val="0"/>
              <w:snapToGrid w:val="0"/>
              <w:spacing w:line="360" w:lineRule="auto"/>
              <w:ind w:firstLine="480" w:firstLineChars="200"/>
              <w:jc w:val="left"/>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运营期间锅炉废气经</w:t>
            </w:r>
            <w:r>
              <w:rPr>
                <w:rFonts w:hint="eastAsia"/>
                <w:color w:val="000000" w:themeColor="text1"/>
                <w:sz w:val="24"/>
                <w14:textFill>
                  <w14:solidFill>
                    <w14:schemeClr w14:val="tx1"/>
                  </w14:solidFill>
                </w14:textFill>
              </w:rPr>
              <w:t>“布袋除尘器”</w:t>
            </w:r>
            <w:r>
              <w:rPr>
                <w:rFonts w:hint="eastAsia"/>
                <w:color w:val="000000" w:themeColor="text1"/>
                <w:kern w:val="0"/>
                <w:sz w:val="24"/>
                <w14:textFill>
                  <w14:solidFill>
                    <w14:schemeClr w14:val="tx1"/>
                  </w14:solidFill>
                </w14:textFill>
              </w:rPr>
              <w:t>处理后，通过30m高排气筒排放；废气中</w:t>
            </w:r>
            <w:r>
              <w:rPr>
                <w:color w:val="000000" w:themeColor="text1"/>
                <w:kern w:val="0"/>
                <w:sz w:val="24"/>
                <w14:textFill>
                  <w14:solidFill>
                    <w14:schemeClr w14:val="tx1"/>
                  </w14:solidFill>
                </w14:textFill>
              </w:rPr>
              <w:t>颗粒物</w:t>
            </w:r>
            <w:r>
              <w:rPr>
                <w:rFonts w:hint="eastAsia"/>
                <w:color w:val="000000" w:themeColor="text1"/>
                <w:kern w:val="0"/>
                <w:sz w:val="24"/>
                <w14:textFill>
                  <w14:solidFill>
                    <w14:schemeClr w14:val="tx1"/>
                  </w14:solidFill>
                </w14:textFill>
              </w:rPr>
              <w:t>、二氧化硫、氮氧化物排放浓度均可满足《锅炉大气污染物排放标准》（GB13271-2014）表2中燃煤锅炉排放限值要求。</w:t>
            </w:r>
          </w:p>
          <w:p w14:paraId="2D7BA814">
            <w:pPr>
              <w:pStyle w:val="15"/>
              <w:numPr>
                <w:ilvl w:val="0"/>
                <w:numId w:val="0"/>
              </w:numPr>
              <w:adjustRightInd w:val="0"/>
              <w:snapToGrid w:val="0"/>
              <w:spacing w:line="360" w:lineRule="auto"/>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1.1.2锅炉清灰粉尘</w:t>
            </w:r>
          </w:p>
          <w:p w14:paraId="7BEBC30E">
            <w:pPr>
              <w:pStyle w:val="15"/>
              <w:numPr>
                <w:ilvl w:val="0"/>
                <w:numId w:val="0"/>
              </w:numPr>
              <w:adjustRightInd w:val="0"/>
              <w:snapToGrid w:val="0"/>
              <w:spacing w:line="360" w:lineRule="auto"/>
              <w:ind w:firstLine="480" w:firstLineChars="200"/>
              <w:rPr>
                <w:color w:val="000000"/>
                <w:kern w:val="0"/>
                <w:sz w:val="24"/>
                <w:lang w:bidi="ar"/>
              </w:rPr>
            </w:pPr>
            <w:r>
              <w:rPr>
                <w:rFonts w:hint="eastAsia"/>
                <w:color w:val="000000" w:themeColor="text1"/>
                <w:sz w:val="24"/>
                <w14:textFill>
                  <w14:solidFill>
                    <w14:schemeClr w14:val="tx1"/>
                  </w14:solidFill>
                </w14:textFill>
              </w:rPr>
              <w:t>根据《污染源源强核算技术指南 锅炉》（HJ991-2018）计算可知，本项目锅炉灰渣产生量为</w:t>
            </w:r>
            <w:r>
              <w:rPr>
                <w:rFonts w:hint="eastAsia"/>
                <w:color w:val="000000" w:themeColor="text1"/>
                <w:kern w:val="0"/>
                <w:sz w:val="24"/>
                <w:lang w:bidi="ar"/>
                <w14:textFill>
                  <w14:solidFill>
                    <w14:schemeClr w14:val="tx1"/>
                  </w14:solidFill>
                </w14:textFill>
              </w:rPr>
              <w:t>130</w:t>
            </w:r>
            <w:r>
              <w:rPr>
                <w:rFonts w:hint="eastAsia"/>
                <w:color w:val="000000"/>
                <w:kern w:val="0"/>
                <w:sz w:val="24"/>
                <w:lang w:bidi="ar"/>
              </w:rPr>
              <w:t>t/a，本项目锅炉灰渣类似于粉煤灰，参考《逸散性工业粉尘控制技术》表13-2水泥生产的逸散尘排放因子中烧结块和石膏磨碎机出口卸料、贮存、装料出仓产生的粉尘无组织排放。</w:t>
            </w:r>
          </w:p>
          <w:p w14:paraId="1EA6EE58">
            <w:pPr>
              <w:pStyle w:val="15"/>
              <w:numPr>
                <w:ilvl w:val="0"/>
                <w:numId w:val="0"/>
              </w:numPr>
              <w:adjustRightInd w:val="0"/>
              <w:snapToGrid w:val="0"/>
              <w:spacing w:line="360" w:lineRule="auto"/>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1.1.3锅炉灰渣贮存粉尘</w:t>
            </w:r>
          </w:p>
          <w:p w14:paraId="4AA52E6A">
            <w:pPr>
              <w:pStyle w:val="15"/>
              <w:numPr>
                <w:ilvl w:val="0"/>
                <w:numId w:val="0"/>
              </w:num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项目运营期</w:t>
            </w:r>
            <w:bookmarkStart w:id="2" w:name="_Hlk173487446"/>
            <w:r>
              <w:rPr>
                <w:rFonts w:hint="eastAsia"/>
                <w:color w:val="000000" w:themeColor="text1"/>
                <w:sz w:val="24"/>
                <w14:textFill>
                  <w14:solidFill>
                    <w14:schemeClr w14:val="tx1"/>
                  </w14:solidFill>
                </w14:textFill>
              </w:rPr>
              <w:t>无组织颗粒物可以满足《大气污染物综合排放标准》（GB16297-1996）表2中颗粒物无组织排放浓度限值要求，</w:t>
            </w:r>
            <w:bookmarkEnd w:id="2"/>
            <w:r>
              <w:rPr>
                <w:rFonts w:hint="eastAsia"/>
                <w:color w:val="000000" w:themeColor="text1"/>
                <w:sz w:val="24"/>
                <w14:textFill>
                  <w14:solidFill>
                    <w14:schemeClr w14:val="tx1"/>
                  </w14:solidFill>
                </w14:textFill>
              </w:rPr>
              <w:t>对区域环境空气的影响较小。</w:t>
            </w:r>
          </w:p>
          <w:p w14:paraId="3DF27019">
            <w:pPr>
              <w:pStyle w:val="15"/>
              <w:numPr>
                <w:ilvl w:val="0"/>
                <w:numId w:val="0"/>
              </w:numPr>
              <w:adjustRightInd w:val="0"/>
              <w:snapToGrid w:val="0"/>
              <w:spacing w:line="360" w:lineRule="auto"/>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1.1.4燃料上料粉尘</w:t>
            </w:r>
          </w:p>
          <w:p w14:paraId="18C355E3">
            <w:pPr>
              <w:pStyle w:val="15"/>
              <w:numPr>
                <w:ilvl w:val="0"/>
                <w:numId w:val="0"/>
              </w:num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本项目使用成型生物质为燃料，产生的粉尘较少，可忽略不计。</w:t>
            </w:r>
          </w:p>
          <w:p w14:paraId="18C2A109">
            <w:pPr>
              <w:pStyle w:val="93"/>
              <w:rPr>
                <w:rFonts w:hint="eastAsia"/>
              </w:rPr>
            </w:pPr>
            <w:r>
              <w:rPr>
                <w:rFonts w:hint="eastAsia"/>
              </w:rPr>
              <w:t>表4-1     排放口基本情况</w:t>
            </w:r>
          </w:p>
          <w:tbl>
            <w:tblPr>
              <w:tblStyle w:val="30"/>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63"/>
              <w:gridCol w:w="1134"/>
              <w:gridCol w:w="875"/>
              <w:gridCol w:w="1849"/>
              <w:gridCol w:w="1275"/>
              <w:gridCol w:w="913"/>
              <w:gridCol w:w="637"/>
            </w:tblGrid>
            <w:tr w14:paraId="1BD881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63" w:type="dxa"/>
                  <w:vMerge w:val="restart"/>
                  <w:tcBorders>
                    <w:tl2br w:val="nil"/>
                    <w:tr2bl w:val="nil"/>
                  </w:tcBorders>
                  <w:vAlign w:val="center"/>
                </w:tcPr>
                <w:p w14:paraId="7DA89941">
                  <w:pPr>
                    <w:pStyle w:val="22"/>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排放口编号</w:t>
                  </w:r>
                </w:p>
              </w:tc>
              <w:tc>
                <w:tcPr>
                  <w:tcW w:w="1134" w:type="dxa"/>
                  <w:vMerge w:val="restart"/>
                  <w:tcBorders>
                    <w:tl2br w:val="nil"/>
                    <w:tr2bl w:val="nil"/>
                  </w:tcBorders>
                  <w:vAlign w:val="center"/>
                </w:tcPr>
                <w:p w14:paraId="480C3B4A">
                  <w:pPr>
                    <w:pStyle w:val="22"/>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排放口名称</w:t>
                  </w:r>
                </w:p>
              </w:tc>
              <w:tc>
                <w:tcPr>
                  <w:tcW w:w="875" w:type="dxa"/>
                  <w:vMerge w:val="restart"/>
                  <w:tcBorders>
                    <w:tl2br w:val="nil"/>
                    <w:tr2bl w:val="nil"/>
                  </w:tcBorders>
                  <w:vAlign w:val="center"/>
                </w:tcPr>
                <w:p w14:paraId="184B5649">
                  <w:pPr>
                    <w:pStyle w:val="22"/>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排放口类型</w:t>
                  </w:r>
                </w:p>
              </w:tc>
              <w:tc>
                <w:tcPr>
                  <w:tcW w:w="1849" w:type="dxa"/>
                  <w:vMerge w:val="restart"/>
                  <w:tcBorders>
                    <w:tl2br w:val="nil"/>
                    <w:tr2bl w:val="nil"/>
                  </w:tcBorders>
                  <w:vAlign w:val="center"/>
                </w:tcPr>
                <w:p w14:paraId="1D39DE2D">
                  <w:pPr>
                    <w:pStyle w:val="22"/>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污染物名称</w:t>
                  </w:r>
                </w:p>
              </w:tc>
              <w:tc>
                <w:tcPr>
                  <w:tcW w:w="1275" w:type="dxa"/>
                  <w:vMerge w:val="restart"/>
                  <w:tcBorders>
                    <w:tl2br w:val="nil"/>
                    <w:tr2bl w:val="nil"/>
                  </w:tcBorders>
                  <w:vAlign w:val="center"/>
                </w:tcPr>
                <w:p w14:paraId="500D2BE7">
                  <w:pPr>
                    <w:pStyle w:val="22"/>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排气筒高度</w:t>
                  </w:r>
                </w:p>
              </w:tc>
              <w:tc>
                <w:tcPr>
                  <w:tcW w:w="913" w:type="dxa"/>
                  <w:vMerge w:val="restart"/>
                  <w:tcBorders>
                    <w:tl2br w:val="nil"/>
                    <w:tr2bl w:val="nil"/>
                  </w:tcBorders>
                  <w:vAlign w:val="center"/>
                </w:tcPr>
                <w:p w14:paraId="245A28AB">
                  <w:pPr>
                    <w:pStyle w:val="22"/>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排气筒内径</w:t>
                  </w:r>
                </w:p>
              </w:tc>
              <w:tc>
                <w:tcPr>
                  <w:tcW w:w="637" w:type="dxa"/>
                  <w:vMerge w:val="restart"/>
                  <w:tcBorders>
                    <w:tl2br w:val="nil"/>
                    <w:tr2bl w:val="nil"/>
                  </w:tcBorders>
                  <w:vAlign w:val="center"/>
                </w:tcPr>
                <w:p w14:paraId="31D6E33E">
                  <w:pPr>
                    <w:pStyle w:val="22"/>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烟温</w:t>
                  </w:r>
                </w:p>
              </w:tc>
            </w:tr>
            <w:tr w14:paraId="1350DE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63" w:type="dxa"/>
                  <w:vMerge w:val="continue"/>
                  <w:tcBorders>
                    <w:tl2br w:val="nil"/>
                    <w:tr2bl w:val="nil"/>
                  </w:tcBorders>
                  <w:vAlign w:val="center"/>
                </w:tcPr>
                <w:p w14:paraId="5BDC1DD9">
                  <w:pPr>
                    <w:pStyle w:val="22"/>
                    <w:rPr>
                      <w:color w:val="000000" w:themeColor="text1"/>
                      <w:sz w:val="21"/>
                      <w:szCs w:val="21"/>
                      <w14:textFill>
                        <w14:solidFill>
                          <w14:schemeClr w14:val="tx1"/>
                        </w14:solidFill>
                      </w14:textFill>
                    </w:rPr>
                  </w:pPr>
                </w:p>
              </w:tc>
              <w:tc>
                <w:tcPr>
                  <w:tcW w:w="1134" w:type="dxa"/>
                  <w:vMerge w:val="continue"/>
                  <w:tcBorders>
                    <w:tl2br w:val="nil"/>
                    <w:tr2bl w:val="nil"/>
                  </w:tcBorders>
                  <w:vAlign w:val="center"/>
                </w:tcPr>
                <w:p w14:paraId="26720246">
                  <w:pPr>
                    <w:pStyle w:val="22"/>
                    <w:rPr>
                      <w:color w:val="000000" w:themeColor="text1"/>
                      <w:sz w:val="21"/>
                      <w:szCs w:val="21"/>
                      <w14:textFill>
                        <w14:solidFill>
                          <w14:schemeClr w14:val="tx1"/>
                        </w14:solidFill>
                      </w14:textFill>
                    </w:rPr>
                  </w:pPr>
                </w:p>
              </w:tc>
              <w:tc>
                <w:tcPr>
                  <w:tcW w:w="875" w:type="dxa"/>
                  <w:vMerge w:val="continue"/>
                  <w:tcBorders>
                    <w:tl2br w:val="nil"/>
                    <w:tr2bl w:val="nil"/>
                  </w:tcBorders>
                  <w:vAlign w:val="center"/>
                </w:tcPr>
                <w:p w14:paraId="7ECDF53E">
                  <w:pPr>
                    <w:pStyle w:val="22"/>
                    <w:rPr>
                      <w:color w:val="000000" w:themeColor="text1"/>
                      <w:sz w:val="21"/>
                      <w:szCs w:val="21"/>
                      <w14:textFill>
                        <w14:solidFill>
                          <w14:schemeClr w14:val="tx1"/>
                        </w14:solidFill>
                      </w14:textFill>
                    </w:rPr>
                  </w:pPr>
                </w:p>
              </w:tc>
              <w:tc>
                <w:tcPr>
                  <w:tcW w:w="1849" w:type="dxa"/>
                  <w:vMerge w:val="continue"/>
                  <w:tcBorders>
                    <w:tl2br w:val="nil"/>
                    <w:tr2bl w:val="nil"/>
                  </w:tcBorders>
                  <w:vAlign w:val="center"/>
                </w:tcPr>
                <w:p w14:paraId="3E46461B">
                  <w:pPr>
                    <w:pStyle w:val="22"/>
                    <w:rPr>
                      <w:color w:val="000000" w:themeColor="text1"/>
                      <w:sz w:val="21"/>
                      <w:szCs w:val="21"/>
                      <w14:textFill>
                        <w14:solidFill>
                          <w14:schemeClr w14:val="tx1"/>
                        </w14:solidFill>
                      </w14:textFill>
                    </w:rPr>
                  </w:pPr>
                </w:p>
              </w:tc>
              <w:tc>
                <w:tcPr>
                  <w:tcW w:w="1275" w:type="dxa"/>
                  <w:vMerge w:val="continue"/>
                  <w:tcBorders>
                    <w:tl2br w:val="nil"/>
                    <w:tr2bl w:val="nil"/>
                  </w:tcBorders>
                  <w:vAlign w:val="center"/>
                </w:tcPr>
                <w:p w14:paraId="28FC59F1">
                  <w:pPr>
                    <w:pStyle w:val="22"/>
                    <w:rPr>
                      <w:color w:val="000000" w:themeColor="text1"/>
                      <w:sz w:val="21"/>
                      <w:szCs w:val="21"/>
                      <w14:textFill>
                        <w14:solidFill>
                          <w14:schemeClr w14:val="tx1"/>
                        </w14:solidFill>
                      </w14:textFill>
                    </w:rPr>
                  </w:pPr>
                </w:p>
              </w:tc>
              <w:tc>
                <w:tcPr>
                  <w:tcW w:w="913" w:type="dxa"/>
                  <w:vMerge w:val="continue"/>
                  <w:tcBorders>
                    <w:tl2br w:val="nil"/>
                    <w:tr2bl w:val="nil"/>
                  </w:tcBorders>
                  <w:vAlign w:val="center"/>
                </w:tcPr>
                <w:p w14:paraId="74134E1C">
                  <w:pPr>
                    <w:pStyle w:val="22"/>
                    <w:rPr>
                      <w:color w:val="000000" w:themeColor="text1"/>
                      <w:sz w:val="21"/>
                      <w:szCs w:val="21"/>
                      <w14:textFill>
                        <w14:solidFill>
                          <w14:schemeClr w14:val="tx1"/>
                        </w14:solidFill>
                      </w14:textFill>
                    </w:rPr>
                  </w:pPr>
                </w:p>
              </w:tc>
              <w:tc>
                <w:tcPr>
                  <w:tcW w:w="637" w:type="dxa"/>
                  <w:vMerge w:val="continue"/>
                  <w:tcBorders>
                    <w:tl2br w:val="nil"/>
                    <w:tr2bl w:val="nil"/>
                  </w:tcBorders>
                  <w:vAlign w:val="center"/>
                </w:tcPr>
                <w:p w14:paraId="23A88707">
                  <w:pPr>
                    <w:pStyle w:val="22"/>
                    <w:rPr>
                      <w:color w:val="000000" w:themeColor="text1"/>
                      <w:sz w:val="21"/>
                      <w:szCs w:val="21"/>
                      <w14:textFill>
                        <w14:solidFill>
                          <w14:schemeClr w14:val="tx1"/>
                        </w14:solidFill>
                      </w14:textFill>
                    </w:rPr>
                  </w:pPr>
                </w:p>
              </w:tc>
            </w:tr>
            <w:tr w14:paraId="3F6A70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63" w:type="dxa"/>
                  <w:tcBorders>
                    <w:tl2br w:val="nil"/>
                    <w:tr2bl w:val="nil"/>
                  </w:tcBorders>
                  <w:vAlign w:val="center"/>
                </w:tcPr>
                <w:p w14:paraId="2085EE17">
                  <w:pPr>
                    <w:pStyle w:val="16"/>
                    <w:adjustRightInd w:val="0"/>
                    <w:snapToGrid w:val="0"/>
                    <w:ind w:left="0" w:left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DA001~DA002</w:t>
                  </w:r>
                </w:p>
              </w:tc>
              <w:tc>
                <w:tcPr>
                  <w:tcW w:w="1134" w:type="dxa"/>
                  <w:tcBorders>
                    <w:tl2br w:val="nil"/>
                    <w:tr2bl w:val="nil"/>
                  </w:tcBorders>
                  <w:vAlign w:val="center"/>
                </w:tcPr>
                <w:p w14:paraId="4D0BABB7">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2.5t/h锅炉</w:t>
                  </w:r>
                </w:p>
              </w:tc>
              <w:tc>
                <w:tcPr>
                  <w:tcW w:w="875" w:type="dxa"/>
                  <w:tcBorders>
                    <w:tl2br w:val="nil"/>
                    <w:tr2bl w:val="nil"/>
                  </w:tcBorders>
                  <w:vAlign w:val="center"/>
                </w:tcPr>
                <w:p w14:paraId="53C770A2">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一般排放口</w:t>
                  </w:r>
                </w:p>
              </w:tc>
              <w:tc>
                <w:tcPr>
                  <w:tcW w:w="1849" w:type="dxa"/>
                  <w:tcBorders>
                    <w:tl2br w:val="nil"/>
                    <w:tr2bl w:val="nil"/>
                  </w:tcBorders>
                  <w:vAlign w:val="center"/>
                </w:tcPr>
                <w:p w14:paraId="2538D8EF">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颗粒物（粒径较小以PM</w:t>
                  </w:r>
                  <w:r>
                    <w:rPr>
                      <w:color w:val="000000" w:themeColor="text1"/>
                      <w:szCs w:val="21"/>
                      <w:vertAlign w:val="subscript"/>
                      <w14:textFill>
                        <w14:solidFill>
                          <w14:schemeClr w14:val="tx1"/>
                        </w14:solidFill>
                      </w14:textFill>
                    </w:rPr>
                    <w:t>10</w:t>
                  </w:r>
                  <w:r>
                    <w:rPr>
                      <w:color w:val="000000" w:themeColor="text1"/>
                      <w:szCs w:val="21"/>
                      <w14:textFill>
                        <w14:solidFill>
                          <w14:schemeClr w14:val="tx1"/>
                        </w14:solidFill>
                      </w14:textFill>
                    </w:rPr>
                    <w:t>计）</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SO</w:t>
                  </w:r>
                  <w:r>
                    <w:rPr>
                      <w:color w:val="000000" w:themeColor="text1"/>
                      <w:szCs w:val="21"/>
                      <w:vertAlign w:val="subscript"/>
                      <w14:textFill>
                        <w14:solidFill>
                          <w14:schemeClr w14:val="tx1"/>
                        </w14:solidFill>
                      </w14:textFill>
                    </w:rPr>
                    <w:t>2</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NO</w:t>
                  </w:r>
                  <w:r>
                    <w:rPr>
                      <w:color w:val="000000" w:themeColor="text1"/>
                      <w:szCs w:val="21"/>
                      <w:vertAlign w:val="subscript"/>
                      <w14:textFill>
                        <w14:solidFill>
                          <w14:schemeClr w14:val="tx1"/>
                        </w14:solidFill>
                      </w14:textFill>
                    </w:rPr>
                    <w:t>X</w:t>
                  </w:r>
                </w:p>
              </w:tc>
              <w:tc>
                <w:tcPr>
                  <w:tcW w:w="1275" w:type="dxa"/>
                  <w:tcBorders>
                    <w:tl2br w:val="nil"/>
                    <w:tr2bl w:val="nil"/>
                  </w:tcBorders>
                  <w:vAlign w:val="center"/>
                </w:tcPr>
                <w:p w14:paraId="10E719C0">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30</w:t>
                  </w:r>
                  <w:r>
                    <w:rPr>
                      <w:color w:val="000000" w:themeColor="text1"/>
                      <w:szCs w:val="21"/>
                      <w14:textFill>
                        <w14:solidFill>
                          <w14:schemeClr w14:val="tx1"/>
                        </w14:solidFill>
                      </w14:textFill>
                    </w:rPr>
                    <w:t>m</w:t>
                  </w:r>
                  <w:r>
                    <w:rPr>
                      <w:rFonts w:hint="eastAsia"/>
                      <w:color w:val="000000" w:themeColor="text1"/>
                      <w14:textFill>
                        <w14:solidFill>
                          <w14:schemeClr w14:val="tx1"/>
                        </w14:solidFill>
                      </w14:textFill>
                    </w:rPr>
                    <w:t>（可拆卸式排气筒）</w:t>
                  </w:r>
                </w:p>
              </w:tc>
              <w:tc>
                <w:tcPr>
                  <w:tcW w:w="913" w:type="dxa"/>
                  <w:tcBorders>
                    <w:tl2br w:val="nil"/>
                    <w:tr2bl w:val="nil"/>
                  </w:tcBorders>
                  <w:vAlign w:val="center"/>
                </w:tcPr>
                <w:p w14:paraId="0CD394D3">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w:t>
                  </w:r>
                  <w:r>
                    <w:rPr>
                      <w:rFonts w:hint="eastAsia"/>
                      <w:color w:val="000000" w:themeColor="text1"/>
                      <w:szCs w:val="21"/>
                      <w14:textFill>
                        <w14:solidFill>
                          <w14:schemeClr w14:val="tx1"/>
                        </w14:solidFill>
                      </w14:textFill>
                    </w:rPr>
                    <w:t>3</w:t>
                  </w:r>
                  <w:r>
                    <w:rPr>
                      <w:color w:val="000000" w:themeColor="text1"/>
                      <w:szCs w:val="21"/>
                      <w14:textFill>
                        <w14:solidFill>
                          <w14:schemeClr w14:val="tx1"/>
                        </w14:solidFill>
                      </w14:textFill>
                    </w:rPr>
                    <w:t>m</w:t>
                  </w:r>
                </w:p>
              </w:tc>
              <w:tc>
                <w:tcPr>
                  <w:tcW w:w="637" w:type="dxa"/>
                  <w:tcBorders>
                    <w:tl2br w:val="nil"/>
                    <w:tr2bl w:val="nil"/>
                  </w:tcBorders>
                  <w:vAlign w:val="center"/>
                </w:tcPr>
                <w:p w14:paraId="2C010D5D">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90℃</w:t>
                  </w:r>
                </w:p>
              </w:tc>
            </w:tr>
          </w:tbl>
          <w:p w14:paraId="261FEC19">
            <w:pPr>
              <w:snapToGrid w:val="0"/>
              <w:spacing w:line="500" w:lineRule="exact"/>
              <w:ind w:firstLine="480" w:firstLineChars="200"/>
              <w:rPr>
                <w:sz w:val="24"/>
              </w:rPr>
            </w:pPr>
            <w:bookmarkStart w:id="3" w:name="_Hlk175932245"/>
            <w:r>
              <w:rPr>
                <w:rFonts w:hint="eastAsia"/>
                <w:sz w:val="24"/>
              </w:rPr>
              <w:t>综上所述，项目周边500m范围内无大气环境保护目标分布，锅炉烟气配套的污染防治措施为可行技术，</w:t>
            </w:r>
            <w:bookmarkStart w:id="4" w:name="_Hlk173487454"/>
            <w:r>
              <w:rPr>
                <w:rFonts w:hint="eastAsia"/>
                <w:sz w:val="24"/>
              </w:rPr>
              <w:t>烟气经处理后可满足</w:t>
            </w:r>
            <w:bookmarkStart w:id="5" w:name="_Hlk175932615"/>
            <w:r>
              <w:rPr>
                <w:rFonts w:hint="eastAsia"/>
                <w:bCs/>
                <w:sz w:val="24"/>
              </w:rPr>
              <w:t>《锅炉大气污染物排放标准》（GB13271-2014）表2中燃煤锅炉排放浓度</w:t>
            </w:r>
            <w:r>
              <w:rPr>
                <w:rFonts w:hint="eastAsia"/>
                <w:sz w:val="24"/>
              </w:rPr>
              <w:t>限值要求</w:t>
            </w:r>
            <w:bookmarkEnd w:id="4"/>
            <w:r>
              <w:rPr>
                <w:rFonts w:hint="eastAsia"/>
                <w:sz w:val="24"/>
              </w:rPr>
              <w:t>，</w:t>
            </w:r>
            <w:bookmarkEnd w:id="5"/>
            <w:r>
              <w:rPr>
                <w:rFonts w:hint="eastAsia"/>
                <w:sz w:val="24"/>
              </w:rPr>
              <w:t>对周边环境影响较小。</w:t>
            </w:r>
          </w:p>
          <w:bookmarkEnd w:id="3"/>
          <w:p w14:paraId="31B12F15">
            <w:pPr>
              <w:pStyle w:val="98"/>
              <w:rPr>
                <w:color w:val="000000" w:themeColor="text1"/>
                <w14:textFill>
                  <w14:solidFill>
                    <w14:schemeClr w14:val="tx1"/>
                  </w14:solidFill>
                </w14:textFill>
              </w:rPr>
            </w:pPr>
            <w:r>
              <w:rPr>
                <w:rFonts w:hint="eastAsia"/>
                <w:color w:val="000000" w:themeColor="text1"/>
                <w14:textFill>
                  <w14:solidFill>
                    <w14:schemeClr w14:val="tx1"/>
                  </w14:solidFill>
                </w14:textFill>
              </w:rPr>
              <w:t>（3）堆场扬尘污染防治措施</w:t>
            </w:r>
          </w:p>
          <w:p w14:paraId="711397A8">
            <w:pPr>
              <w:pStyle w:val="98"/>
              <w:rPr>
                <w:color w:val="000000" w:themeColor="text1"/>
                <w14:textFill>
                  <w14:solidFill>
                    <w14:schemeClr w14:val="tx1"/>
                  </w14:solidFill>
                </w14:textFill>
              </w:rPr>
            </w:pPr>
            <w:r>
              <w:rPr>
                <w:rFonts w:hint="eastAsia"/>
                <w:color w:val="000000" w:themeColor="text1"/>
                <w14:textFill>
                  <w14:solidFill>
                    <w14:schemeClr w14:val="tx1"/>
                  </w14:solidFill>
                </w14:textFill>
              </w:rPr>
              <w:t>根据</w:t>
            </w:r>
            <w:r>
              <w:rPr>
                <w:color w:val="000000" w:themeColor="text1"/>
                <w14:textFill>
                  <w14:solidFill>
                    <w14:schemeClr w14:val="tx1"/>
                  </w14:solidFill>
                </w14:textFill>
              </w:rPr>
              <w:t>《工业料堆场扬尘整治规范》（DB65/T4061-2017）</w:t>
            </w:r>
            <w:r>
              <w:rPr>
                <w:rFonts w:hint="eastAsia"/>
                <w:color w:val="000000" w:themeColor="text1"/>
                <w14:textFill>
                  <w14:solidFill>
                    <w14:schemeClr w14:val="tx1"/>
                  </w14:solidFill>
                </w14:textFill>
              </w:rPr>
              <w:t>中</w:t>
            </w:r>
            <w:r>
              <w:rPr>
                <w:color w:val="000000" w:themeColor="text1"/>
                <w14:textFill>
                  <w14:solidFill>
                    <w14:schemeClr w14:val="tx1"/>
                  </w14:solidFill>
                </w14:textFill>
              </w:rPr>
              <w:t>Ⅱ</w:t>
            </w:r>
            <w:r>
              <w:rPr>
                <w:rFonts w:hint="eastAsia"/>
                <w:color w:val="000000" w:themeColor="text1"/>
                <w14:textFill>
                  <w14:solidFill>
                    <w14:schemeClr w14:val="tx1"/>
                  </w14:solidFill>
                </w14:textFill>
              </w:rPr>
              <w:t>类料堆场的相关要求，本项目需建设半封闭式仓库，装卸</w:t>
            </w:r>
            <w:r>
              <w:rPr>
                <w:rFonts w:hint="eastAsia"/>
                <w:bCs/>
                <w:color w:val="000000" w:themeColor="text1"/>
                <w:szCs w:val="21"/>
                <w14:textFill>
                  <w14:solidFill>
                    <w14:schemeClr w14:val="tx1"/>
                  </w14:solidFill>
                </w14:textFill>
              </w:rPr>
              <w:t>作业活动时</w:t>
            </w:r>
            <w:r>
              <w:rPr>
                <w:bCs/>
                <w:color w:val="000000" w:themeColor="text1"/>
                <w:szCs w:val="21"/>
                <w14:textFill>
                  <w14:solidFill>
                    <w14:schemeClr w14:val="tx1"/>
                  </w14:solidFill>
                </w14:textFill>
              </w:rPr>
              <w:t>进行洒水</w:t>
            </w:r>
            <w:r>
              <w:rPr>
                <w:rFonts w:hint="eastAsia"/>
                <w:bCs/>
                <w:color w:val="000000" w:themeColor="text1"/>
                <w:szCs w:val="21"/>
                <w14:textFill>
                  <w14:solidFill>
                    <w14:schemeClr w14:val="tx1"/>
                  </w14:solidFill>
                </w14:textFill>
              </w:rPr>
              <w:t>降尘</w:t>
            </w:r>
            <w:r>
              <w:rPr>
                <w:rFonts w:hint="eastAsia"/>
                <w:color w:val="000000" w:themeColor="text1"/>
                <w:szCs w:val="21"/>
                <w14:textFill>
                  <w14:solidFill>
                    <w14:schemeClr w14:val="tx1"/>
                  </w14:solidFill>
                </w14:textFill>
              </w:rPr>
              <w:t>，堆场内地面硬化，灰渣等采用吨包袋密闭收集贮存</w:t>
            </w:r>
            <w:r>
              <w:rPr>
                <w:rFonts w:hint="eastAsia"/>
                <w:color w:val="000000" w:themeColor="text1"/>
                <w14:textFill>
                  <w14:solidFill>
                    <w14:schemeClr w14:val="tx1"/>
                  </w14:solidFill>
                </w14:textFill>
              </w:rPr>
              <w:t>；项目</w:t>
            </w:r>
            <w:r>
              <w:rPr>
                <w:rFonts w:hint="eastAsia"/>
                <w:color w:val="000000" w:themeColor="text1"/>
                <w:szCs w:val="21"/>
                <w14:textFill>
                  <w14:solidFill>
                    <w14:schemeClr w14:val="tx1"/>
                  </w14:solidFill>
                </w14:textFill>
              </w:rPr>
              <w:t>采取的堆场扬尘防治方案满足</w:t>
            </w:r>
            <w:r>
              <w:rPr>
                <w:color w:val="000000" w:themeColor="text1"/>
                <w14:textFill>
                  <w14:solidFill>
                    <w14:schemeClr w14:val="tx1"/>
                  </w14:solidFill>
                </w14:textFill>
              </w:rPr>
              <w:t>《工业料堆场扬尘整治规范》（DB65/T4061-2017）</w:t>
            </w:r>
            <w:r>
              <w:rPr>
                <w:rFonts w:hint="eastAsia"/>
                <w:color w:val="000000" w:themeColor="text1"/>
                <w14:textFill>
                  <w14:solidFill>
                    <w14:schemeClr w14:val="tx1"/>
                  </w14:solidFill>
                </w14:textFill>
              </w:rPr>
              <w:t>中</w:t>
            </w:r>
            <w:r>
              <w:rPr>
                <w:color w:val="000000" w:themeColor="text1"/>
                <w14:textFill>
                  <w14:solidFill>
                    <w14:schemeClr w14:val="tx1"/>
                  </w14:solidFill>
                </w14:textFill>
              </w:rPr>
              <w:t>Ⅱ</w:t>
            </w:r>
            <w:r>
              <w:rPr>
                <w:rFonts w:hint="eastAsia"/>
                <w:color w:val="000000" w:themeColor="text1"/>
                <w14:textFill>
                  <w14:solidFill>
                    <w14:schemeClr w14:val="tx1"/>
                  </w14:solidFill>
                </w14:textFill>
              </w:rPr>
              <w:t>类料堆场的相关要求。</w:t>
            </w:r>
          </w:p>
          <w:p w14:paraId="17ADF8E0">
            <w:pPr>
              <w:pStyle w:val="98"/>
              <w:rPr>
                <w:color w:val="000000" w:themeColor="text1"/>
                <w14:textFill>
                  <w14:solidFill>
                    <w14:schemeClr w14:val="tx1"/>
                  </w14:solidFill>
                </w14:textFill>
              </w:rPr>
            </w:pPr>
            <w:r>
              <w:rPr>
                <w:rFonts w:hint="eastAsia"/>
                <w:color w:val="000000" w:themeColor="text1"/>
                <w14:textFill>
                  <w14:solidFill>
                    <w14:schemeClr w14:val="tx1"/>
                  </w14:solidFill>
                </w14:textFill>
              </w:rPr>
              <w:t>综上所述，本项目废渣堆场通过采取上述措施后，对区域空气环境质量影响不大。</w:t>
            </w:r>
          </w:p>
          <w:p w14:paraId="07FBB1A8">
            <w:pPr>
              <w:pStyle w:val="62"/>
              <w:spacing w:line="520" w:lineRule="exact"/>
              <w:ind w:firstLine="482"/>
              <w:rPr>
                <w:b/>
                <w:bCs w:val="0"/>
                <w:color w:val="000000" w:themeColor="text1"/>
                <w14:textFill>
                  <w14:solidFill>
                    <w14:schemeClr w14:val="tx1"/>
                  </w14:solidFill>
                </w14:textFill>
              </w:rPr>
            </w:pPr>
            <w:r>
              <w:rPr>
                <w:b/>
                <w:bCs w:val="0"/>
                <w:color w:val="000000" w:themeColor="text1"/>
                <w14:textFill>
                  <w14:solidFill>
                    <w14:schemeClr w14:val="tx1"/>
                  </w14:solidFill>
                </w14:textFill>
              </w:rPr>
              <w:t>1.4废气自行监测</w:t>
            </w:r>
          </w:p>
          <w:p w14:paraId="4EDFE576">
            <w:pPr>
              <w:pStyle w:val="62"/>
              <w:adjustRightInd w:val="0"/>
              <w:snapToGrid w:val="0"/>
              <w:rPr>
                <w:color w:val="000000" w:themeColor="text1"/>
                <w14:textFill>
                  <w14:solidFill>
                    <w14:schemeClr w14:val="tx1"/>
                  </w14:solidFill>
                </w14:textFill>
              </w:rPr>
            </w:pPr>
            <w:r>
              <w:rPr>
                <w:rStyle w:val="61"/>
                <w:bCs/>
                <w:color w:val="000000" w:themeColor="text1"/>
                <w14:textFill>
                  <w14:solidFill>
                    <w14:schemeClr w14:val="tx1"/>
                  </w14:solidFill>
                </w14:textFill>
              </w:rPr>
              <w:t xml:space="preserve">本项目按照《排污单位自行监测技术指南 </w:t>
            </w:r>
            <w:r>
              <w:rPr>
                <w:rStyle w:val="61"/>
                <w:rFonts w:hint="eastAsia"/>
                <w:bCs/>
                <w:color w:val="000000" w:themeColor="text1"/>
                <w14:textFill>
                  <w14:solidFill>
                    <w14:schemeClr w14:val="tx1"/>
                  </w14:solidFill>
                </w14:textFill>
              </w:rPr>
              <w:t>总则</w:t>
            </w:r>
            <w:r>
              <w:rPr>
                <w:rStyle w:val="61"/>
                <w:bCs/>
                <w:color w:val="000000" w:themeColor="text1"/>
                <w14:textFill>
                  <w14:solidFill>
                    <w14:schemeClr w14:val="tx1"/>
                  </w14:solidFill>
                </w14:textFill>
              </w:rPr>
              <w:t>》</w:t>
            </w:r>
            <w:r>
              <w:rPr>
                <w:rStyle w:val="61"/>
                <w:rFonts w:hint="eastAsia"/>
                <w:bCs/>
                <w:color w:val="000000" w:themeColor="text1"/>
                <w14:textFill>
                  <w14:solidFill>
                    <w14:schemeClr w14:val="tx1"/>
                  </w14:solidFill>
                </w14:textFill>
              </w:rPr>
              <w:t>（HJ 819-2019）、《排污许可证申请与核发技术规范 锅炉》（HJ953-2018）与</w:t>
            </w:r>
            <w:r>
              <w:rPr>
                <w:rStyle w:val="61"/>
                <w:bCs/>
                <w:color w:val="000000" w:themeColor="text1"/>
                <w14:textFill>
                  <w14:solidFill>
                    <w14:schemeClr w14:val="tx1"/>
                  </w14:solidFill>
                </w14:textFill>
              </w:rPr>
              <w:t xml:space="preserve">《排污单位自行监测技术指南 </w:t>
            </w:r>
            <w:r>
              <w:rPr>
                <w:rStyle w:val="61"/>
                <w:rFonts w:hint="eastAsia"/>
                <w:bCs/>
                <w:color w:val="000000" w:themeColor="text1"/>
                <w14:textFill>
                  <w14:solidFill>
                    <w14:schemeClr w14:val="tx1"/>
                  </w14:solidFill>
                </w14:textFill>
              </w:rPr>
              <w:t>火力发电及锅炉</w:t>
            </w:r>
            <w:r>
              <w:rPr>
                <w:rStyle w:val="61"/>
                <w:bCs/>
                <w:color w:val="000000" w:themeColor="text1"/>
                <w14:textFill>
                  <w14:solidFill>
                    <w14:schemeClr w14:val="tx1"/>
                  </w14:solidFill>
                </w14:textFill>
              </w:rPr>
              <w:t xml:space="preserve">》（HJ </w:t>
            </w:r>
            <w:r>
              <w:rPr>
                <w:rStyle w:val="61"/>
                <w:rFonts w:hint="eastAsia"/>
                <w:bCs/>
                <w:color w:val="000000" w:themeColor="text1"/>
                <w14:textFill>
                  <w14:solidFill>
                    <w14:schemeClr w14:val="tx1"/>
                  </w14:solidFill>
                </w14:textFill>
              </w:rPr>
              <w:t>820</w:t>
            </w:r>
            <w:r>
              <w:rPr>
                <w:rStyle w:val="61"/>
                <w:bCs/>
                <w:color w:val="000000" w:themeColor="text1"/>
                <w14:textFill>
                  <w14:solidFill>
                    <w14:schemeClr w14:val="tx1"/>
                  </w14:solidFill>
                </w14:textFill>
              </w:rPr>
              <w:t>-2017）要求制定自行监测计划</w:t>
            </w:r>
          </w:p>
        </w:tc>
      </w:tr>
      <w:tr w14:paraId="2B3D05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dxa"/>
            <w:vMerge w:val="continue"/>
            <w:tcBorders>
              <w:tl2br w:val="nil"/>
              <w:tr2bl w:val="nil"/>
            </w:tcBorders>
            <w:tcMar>
              <w:left w:w="28" w:type="dxa"/>
              <w:right w:w="28" w:type="dxa"/>
            </w:tcMar>
            <w:vAlign w:val="center"/>
          </w:tcPr>
          <w:p w14:paraId="14508F26">
            <w:pPr>
              <w:adjustRightInd w:val="0"/>
              <w:snapToGrid w:val="0"/>
              <w:spacing w:line="360" w:lineRule="auto"/>
              <w:jc w:val="center"/>
              <w:rPr>
                <w:bCs/>
                <w:color w:val="000000" w:themeColor="text1"/>
                <w:sz w:val="24"/>
                <w14:textFill>
                  <w14:solidFill>
                    <w14:schemeClr w14:val="tx1"/>
                  </w14:solidFill>
                </w14:textFill>
              </w:rPr>
            </w:pPr>
          </w:p>
        </w:tc>
        <w:tc>
          <w:tcPr>
            <w:tcW w:w="8162" w:type="dxa"/>
            <w:tcBorders>
              <w:tl2br w:val="nil"/>
              <w:tr2bl w:val="nil"/>
            </w:tcBorders>
            <w:vAlign w:val="center"/>
          </w:tcPr>
          <w:p w14:paraId="71907174">
            <w:pPr>
              <w:adjustRightInd w:val="0"/>
              <w:snapToGrid w:val="0"/>
              <w:spacing w:line="360" w:lineRule="auto"/>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2.水污染物</w:t>
            </w:r>
          </w:p>
          <w:p w14:paraId="4D5D6860">
            <w:pPr>
              <w:spacing w:line="360" w:lineRule="auto"/>
              <w:ind w:firstLine="482" w:firstLineChars="200"/>
              <w:rPr>
                <w:color w:val="000000" w:themeColor="text1"/>
                <w:sz w:val="24"/>
                <w14:textFill>
                  <w14:solidFill>
                    <w14:schemeClr w14:val="tx1"/>
                  </w14:solidFill>
                </w14:textFill>
              </w:rPr>
            </w:pPr>
            <w:r>
              <w:rPr>
                <w:b/>
                <w:bCs/>
                <w:color w:val="000000" w:themeColor="text1"/>
                <w:sz w:val="24"/>
                <w14:textFill>
                  <w14:solidFill>
                    <w14:schemeClr w14:val="tx1"/>
                  </w14:solidFill>
                </w14:textFill>
              </w:rPr>
              <w:t>2.1水污染源分析</w:t>
            </w:r>
          </w:p>
          <w:p w14:paraId="137A00D2">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本项目软化水过程产生的浓水属于清净下水集中收集后用于道路洒水。</w:t>
            </w:r>
          </w:p>
          <w:p w14:paraId="2E42A55D">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生活污水：</w:t>
            </w:r>
            <w:r>
              <w:rPr>
                <w:color w:val="000000" w:themeColor="text1"/>
                <w:sz w:val="24"/>
                <w14:textFill>
                  <w14:solidFill>
                    <w14:schemeClr w14:val="tx1"/>
                  </w14:solidFill>
                </w14:textFill>
              </w:rPr>
              <w:t>生活污水依托</w:t>
            </w:r>
            <w:r>
              <w:rPr>
                <w:rFonts w:hint="eastAsia"/>
                <w:color w:val="000000" w:themeColor="text1"/>
                <w:sz w:val="24"/>
                <w14:textFill>
                  <w14:solidFill>
                    <w14:schemeClr w14:val="tx1"/>
                  </w14:solidFill>
                </w14:textFill>
              </w:rPr>
              <w:t>钻井队生活区</w:t>
            </w:r>
            <w:r>
              <w:rPr>
                <w:color w:val="000000" w:themeColor="text1"/>
                <w:sz w:val="24"/>
                <w14:textFill>
                  <w14:solidFill>
                    <w14:schemeClr w14:val="tx1"/>
                  </w14:solidFill>
                </w14:textFill>
              </w:rPr>
              <w:t>现有防渗化粪池，由</w:t>
            </w:r>
            <w:r>
              <w:rPr>
                <w:rFonts w:hint="eastAsia"/>
                <w:color w:val="000000" w:themeColor="text1"/>
                <w:sz w:val="24"/>
                <w14:textFill>
                  <w14:solidFill>
                    <w14:schemeClr w14:val="tx1"/>
                  </w14:solidFill>
                </w14:textFill>
              </w:rPr>
              <w:t>油田</w:t>
            </w:r>
            <w:r>
              <w:rPr>
                <w:rFonts w:hint="eastAsia"/>
                <w:bCs/>
                <w:color w:val="000000" w:themeColor="text1"/>
                <w:spacing w:val="-6"/>
                <w:kern w:val="0"/>
                <w:sz w:val="24"/>
                <w14:textFill>
                  <w14:solidFill>
                    <w14:schemeClr w14:val="tx1"/>
                  </w14:solidFill>
                </w14:textFill>
              </w:rPr>
              <w:t>清污车定期抽运至鄯善县污水处理厂处理</w:t>
            </w:r>
            <w:r>
              <w:rPr>
                <w:color w:val="000000" w:themeColor="text1"/>
                <w:sz w:val="24"/>
                <w14:textFill>
                  <w14:solidFill>
                    <w14:schemeClr w14:val="tx1"/>
                  </w14:solidFill>
                </w14:textFill>
              </w:rPr>
              <w:t>。</w:t>
            </w:r>
          </w:p>
          <w:p w14:paraId="03FD0816">
            <w:pPr>
              <w:spacing w:line="360" w:lineRule="auto"/>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2.2</w:t>
            </w:r>
            <w:r>
              <w:rPr>
                <w:rFonts w:hint="eastAsia"/>
                <w:b/>
                <w:bCs/>
                <w:color w:val="000000" w:themeColor="text1"/>
                <w:sz w:val="24"/>
                <w14:textFill>
                  <w14:solidFill>
                    <w14:schemeClr w14:val="tx1"/>
                  </w14:solidFill>
                </w14:textFill>
              </w:rPr>
              <w:t>依托现有化粪池的可行性分析</w:t>
            </w:r>
          </w:p>
          <w:p w14:paraId="1D2BF987">
            <w:pPr>
              <w:autoSpaceDE w:val="0"/>
              <w:autoSpaceDN w:val="0"/>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本项目生活污水排入钻井队生活区内现有防渗化粪池预处理，</w:t>
            </w:r>
            <w:r>
              <w:rPr>
                <w:rFonts w:hint="eastAsia"/>
                <w:bCs/>
                <w:color w:val="000000" w:themeColor="text1"/>
                <w:spacing w:val="-6"/>
                <w:kern w:val="0"/>
                <w:sz w:val="24"/>
                <w14:textFill>
                  <w14:solidFill>
                    <w14:schemeClr w14:val="tx1"/>
                  </w14:solidFill>
                </w14:textFill>
              </w:rPr>
              <w:t>由油田清污车定期抽运至鄯善县污水处理厂处理</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防渗化粪池已进行防渗处理，容积为10m</w:t>
            </w:r>
            <w:r>
              <w:rPr>
                <w:rFonts w:hint="eastAsia"/>
                <w:color w:val="000000" w:themeColor="text1"/>
                <w:sz w:val="24"/>
                <w:vertAlign w:val="superscript"/>
                <w14:textFill>
                  <w14:solidFill>
                    <w14:schemeClr w14:val="tx1"/>
                  </w14:solidFill>
                </w14:textFill>
              </w:rPr>
              <w:t>3</w:t>
            </w:r>
            <w:r>
              <w:rPr>
                <w:rFonts w:hint="eastAsia"/>
                <w:color w:val="000000" w:themeColor="text1"/>
                <w:sz w:val="24"/>
                <w14:textFill>
                  <w14:solidFill>
                    <w14:schemeClr w14:val="tx1"/>
                  </w14:solidFill>
                </w14:textFill>
              </w:rPr>
              <w:t>，现有生活区居住人员较少，生活污水产生量</w:t>
            </w:r>
            <w:r>
              <w:rPr>
                <w:rFonts w:hint="eastAsia"/>
                <w:color w:val="000000" w:themeColor="text1"/>
                <w:sz w:val="24"/>
                <w:lang w:val="en-US" w:eastAsia="zh-CN"/>
                <w14:textFill>
                  <w14:solidFill>
                    <w14:schemeClr w14:val="tx1"/>
                  </w14:solidFill>
                </w14:textFill>
              </w:rPr>
              <w:t>较少</w:t>
            </w:r>
            <w:r>
              <w:rPr>
                <w:rFonts w:hint="eastAsia"/>
                <w:color w:val="000000" w:themeColor="text1"/>
                <w:sz w:val="24"/>
                <w14:textFill>
                  <w14:solidFill>
                    <w14:schemeClr w14:val="tx1"/>
                  </w14:solidFill>
                </w14:textFill>
              </w:rPr>
              <w:t>，余量可满足新增生活污水的需求。</w:t>
            </w:r>
          </w:p>
          <w:p w14:paraId="43B84F99">
            <w:pPr>
              <w:adjustRightInd w:val="0"/>
              <w:snapToGrid w:val="0"/>
              <w:spacing w:line="360" w:lineRule="auto"/>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3.</w:t>
            </w:r>
            <w:r>
              <w:rPr>
                <w:b/>
                <w:bCs/>
                <w:color w:val="000000" w:themeColor="text1"/>
                <w:sz w:val="24"/>
                <w14:textFill>
                  <w14:solidFill>
                    <w14:schemeClr w14:val="tx1"/>
                  </w14:solidFill>
                </w14:textFill>
              </w:rPr>
              <w:t>噪声</w:t>
            </w:r>
          </w:p>
          <w:p w14:paraId="10D2728F">
            <w:pPr>
              <w:pStyle w:val="4"/>
              <w:adjustRightInd w:val="0"/>
              <w:snapToGrid w:val="0"/>
              <w:spacing w:before="0" w:after="0" w:line="360" w:lineRule="auto"/>
              <w:ind w:firstLine="482" w:firstLineChars="200"/>
              <w:jc w:val="left"/>
              <w:rPr>
                <w:bCs w:val="0"/>
                <w:color w:val="000000" w:themeColor="text1"/>
                <w:sz w:val="24"/>
                <w:szCs w:val="24"/>
                <w14:textFill>
                  <w14:solidFill>
                    <w14:schemeClr w14:val="tx1"/>
                  </w14:solidFill>
                </w14:textFill>
              </w:rPr>
            </w:pPr>
            <w:bookmarkStart w:id="6" w:name="_Toc10381"/>
            <w:r>
              <w:rPr>
                <w:bCs w:val="0"/>
                <w:color w:val="000000" w:themeColor="text1"/>
                <w:sz w:val="24"/>
                <w:szCs w:val="24"/>
                <w14:textFill>
                  <w14:solidFill>
                    <w14:schemeClr w14:val="tx1"/>
                  </w14:solidFill>
                </w14:textFill>
              </w:rPr>
              <w:t>3.1、污染源分析</w:t>
            </w:r>
          </w:p>
          <w:p w14:paraId="3B1ECB51">
            <w:pPr>
              <w:adjustRightInd w:val="0"/>
              <w:snapToGrid w:val="0"/>
              <w:spacing w:line="360" w:lineRule="auto"/>
              <w:ind w:firstLine="480" w:firstLineChars="20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项目运营期产生噪声主要来源于设备运行过程，主要为空压机、泵、锅炉主体运行噪声。本项目设备噪声源强参照《污染源源强核算技术指南 锅炉》（HJ991-2018）附录D，源强约为80~110dB</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A</w:t>
            </w:r>
            <w:r>
              <w:rPr>
                <w:rFonts w:hint="eastAsia"/>
                <w:color w:val="000000" w:themeColor="text1"/>
                <w:sz w:val="24"/>
                <w14:textFill>
                  <w14:solidFill>
                    <w14:schemeClr w14:val="tx1"/>
                  </w14:solidFill>
                </w14:textFill>
              </w:rPr>
              <w:t>）</w:t>
            </w:r>
          </w:p>
          <w:p w14:paraId="0946CCFD">
            <w:pPr>
              <w:adjustRightInd w:val="0"/>
              <w:snapToGrid w:val="0"/>
              <w:spacing w:line="360" w:lineRule="auto"/>
              <w:ind w:firstLine="482" w:firstLineChars="200"/>
              <w:jc w:val="left"/>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3.</w:t>
            </w:r>
            <w:r>
              <w:rPr>
                <w:b/>
                <w:bCs/>
                <w:color w:val="000000" w:themeColor="text1"/>
                <w:sz w:val="24"/>
                <w14:textFill>
                  <w14:solidFill>
                    <w14:schemeClr w14:val="tx1"/>
                  </w14:solidFill>
                </w14:textFill>
              </w:rPr>
              <w:t>2、处理措施</w:t>
            </w:r>
          </w:p>
          <w:p w14:paraId="7C32A8F9">
            <w:pPr>
              <w:autoSpaceDE w:val="0"/>
              <w:autoSpaceDN w:val="0"/>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（1）控制设备噪声：在满足工艺设计的前提下，加强维修保养。</w:t>
            </w:r>
          </w:p>
          <w:p w14:paraId="3E8958F6">
            <w:pPr>
              <w:autoSpaceDE w:val="0"/>
              <w:autoSpaceDN w:val="0"/>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（2）设备减振、</w:t>
            </w:r>
            <w:r>
              <w:rPr>
                <w:rFonts w:hint="eastAsia"/>
                <w:color w:val="000000" w:themeColor="text1"/>
                <w:sz w:val="24"/>
                <w14:textFill>
                  <w14:solidFill>
                    <w14:schemeClr w14:val="tx1"/>
                  </w14:solidFill>
                </w14:textFill>
              </w:rPr>
              <w:t>锅炉房</w:t>
            </w:r>
            <w:r>
              <w:rPr>
                <w:color w:val="000000" w:themeColor="text1"/>
                <w:sz w:val="24"/>
                <w14:textFill>
                  <w14:solidFill>
                    <w14:schemeClr w14:val="tx1"/>
                  </w14:solidFill>
                </w14:textFill>
              </w:rPr>
              <w:t>隔声：根据设备自重及振动特性采取底座支撑等。</w:t>
            </w:r>
          </w:p>
          <w:p w14:paraId="36269CA0">
            <w:pPr>
              <w:autoSpaceDE w:val="0"/>
              <w:autoSpaceDN w:val="0"/>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（3）强化生产管理：确保各类</w:t>
            </w:r>
            <w:r>
              <w:rPr>
                <w:rFonts w:hint="eastAsia"/>
                <w:color w:val="000000" w:themeColor="text1"/>
                <w:sz w:val="24"/>
                <w14:textFill>
                  <w14:solidFill>
                    <w14:schemeClr w14:val="tx1"/>
                  </w14:solidFill>
                </w14:textFill>
              </w:rPr>
              <w:t>防治措施</w:t>
            </w:r>
            <w:r>
              <w:rPr>
                <w:color w:val="000000" w:themeColor="text1"/>
                <w:sz w:val="24"/>
                <w14:textFill>
                  <w14:solidFill>
                    <w14:schemeClr w14:val="tx1"/>
                  </w14:solidFill>
                </w14:textFill>
              </w:rPr>
              <w:t>有效运行，各类设备均保持良好运行状态，防止突发噪声。</w:t>
            </w:r>
          </w:p>
          <w:p w14:paraId="02537601">
            <w:pPr>
              <w:autoSpaceDE w:val="0"/>
              <w:autoSpaceDN w:val="0"/>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（4）运行期采取隔声措施，减少噪声对外界环境的影响。</w:t>
            </w:r>
          </w:p>
          <w:p w14:paraId="56E2A99A">
            <w:pPr>
              <w:adjustRightInd w:val="0"/>
              <w:snapToGrid w:val="0"/>
              <w:spacing w:line="360" w:lineRule="auto"/>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3.</w:t>
            </w:r>
            <w:r>
              <w:rPr>
                <w:b/>
                <w:bCs/>
                <w:color w:val="000000" w:themeColor="text1"/>
                <w:sz w:val="24"/>
                <w14:textFill>
                  <w14:solidFill>
                    <w14:schemeClr w14:val="tx1"/>
                  </w14:solidFill>
                </w14:textFill>
              </w:rPr>
              <w:t>3、噪声排放达标性分析</w:t>
            </w:r>
          </w:p>
          <w:p w14:paraId="2F320FAE">
            <w:pPr>
              <w:adjustRightInd w:val="0"/>
              <w:snapToGrid w:val="0"/>
              <w:spacing w:line="360" w:lineRule="auto"/>
              <w:ind w:firstLine="480" w:firstLineChars="200"/>
              <w:rPr>
                <w:b/>
                <w:color w:val="000000" w:themeColor="text1"/>
                <w:kern w:val="0"/>
                <w:szCs w:val="21"/>
                <w14:textFill>
                  <w14:solidFill>
                    <w14:schemeClr w14:val="tx1"/>
                  </w14:solidFill>
                </w14:textFill>
              </w:rPr>
            </w:pPr>
            <w:r>
              <w:rPr>
                <w:color w:val="000000" w:themeColor="text1"/>
                <w:kern w:val="0"/>
                <w:sz w:val="24"/>
                <w14:textFill>
                  <w14:solidFill>
                    <w14:schemeClr w14:val="tx1"/>
                  </w14:solidFill>
                </w14:textFill>
              </w:rPr>
              <w:t>由于锅炉为移动式锅炉，新建移动锅炉</w:t>
            </w:r>
            <w:r>
              <w:rPr>
                <w:rFonts w:hint="eastAsia"/>
                <w:color w:val="000000" w:themeColor="text1"/>
                <w:kern w:val="0"/>
                <w:sz w:val="24"/>
                <w14:textFill>
                  <w14:solidFill>
                    <w14:schemeClr w14:val="tx1"/>
                  </w14:solidFill>
                </w14:textFill>
              </w:rPr>
              <w:t>在吐哈油田作业区</w:t>
            </w:r>
            <w:r>
              <w:rPr>
                <w:color w:val="000000" w:themeColor="text1"/>
                <w:kern w:val="0"/>
                <w:sz w:val="24"/>
                <w14:textFill>
                  <w14:solidFill>
                    <w14:schemeClr w14:val="tx1"/>
                  </w14:solidFill>
                </w14:textFill>
              </w:rPr>
              <w:t>范围内对钻井过程井口、泥浆罐、水罐、钻井平台通过管线进行保温。</w:t>
            </w:r>
          </w:p>
          <w:p w14:paraId="3F86A686">
            <w:pPr>
              <w:widowControl/>
              <w:adjustRightInd w:val="0"/>
              <w:snapToGrid w:val="0"/>
              <w:spacing w:line="360" w:lineRule="auto"/>
              <w:ind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运营期的噪声在</w:t>
            </w:r>
            <w:r>
              <w:rPr>
                <w:rFonts w:hint="eastAsia"/>
                <w:color w:val="000000" w:themeColor="text1"/>
                <w:kern w:val="0"/>
                <w:sz w:val="24"/>
                <w14:textFill>
                  <w14:solidFill>
                    <w14:schemeClr w14:val="tx1"/>
                  </w14:solidFill>
                </w14:textFill>
              </w:rPr>
              <w:t>锅炉房</w:t>
            </w:r>
            <w:r>
              <w:rPr>
                <w:color w:val="000000" w:themeColor="text1"/>
                <w:kern w:val="0"/>
                <w:sz w:val="24"/>
                <w14:textFill>
                  <w14:solidFill>
                    <w14:schemeClr w14:val="tx1"/>
                  </w14:solidFill>
                </w14:textFill>
              </w:rPr>
              <w:t>外</w:t>
            </w:r>
            <w:r>
              <w:rPr>
                <w:rFonts w:hint="eastAsia"/>
                <w:color w:val="000000" w:themeColor="text1"/>
                <w:kern w:val="0"/>
                <w:sz w:val="24"/>
                <w14:textFill>
                  <w14:solidFill>
                    <w14:schemeClr w14:val="tx1"/>
                  </w14:solidFill>
                </w14:textFill>
              </w:rPr>
              <w:t>30</w:t>
            </w:r>
            <w:r>
              <w:rPr>
                <w:color w:val="000000" w:themeColor="text1"/>
                <w:kern w:val="0"/>
                <w:sz w:val="24"/>
                <w14:textFill>
                  <w14:solidFill>
                    <w14:schemeClr w14:val="tx1"/>
                  </w14:solidFill>
                </w14:textFill>
              </w:rPr>
              <w:t>m处时昼间噪声值满足《工业企业厂界环境噪声排放标准》（GB12348-2008）2类标准限值，运营期的噪声在厂界外</w:t>
            </w:r>
            <w:r>
              <w:rPr>
                <w:rFonts w:hint="eastAsia"/>
                <w:color w:val="000000" w:themeColor="text1"/>
                <w:kern w:val="0"/>
                <w:sz w:val="24"/>
                <w14:textFill>
                  <w14:solidFill>
                    <w14:schemeClr w14:val="tx1"/>
                  </w14:solidFill>
                </w14:textFill>
              </w:rPr>
              <w:t>100</w:t>
            </w:r>
            <w:r>
              <w:rPr>
                <w:color w:val="000000" w:themeColor="text1"/>
                <w:kern w:val="0"/>
                <w:sz w:val="24"/>
                <w14:textFill>
                  <w14:solidFill>
                    <w14:schemeClr w14:val="tx1"/>
                  </w14:solidFill>
                </w14:textFill>
              </w:rPr>
              <w:t>m处时夜间噪声值满足《工业企业厂界环境噪声排放标准》（GB 12348-2008）2类标准限值。</w:t>
            </w:r>
          </w:p>
          <w:p w14:paraId="7B419C8A">
            <w:pPr>
              <w:keepNext/>
              <w:keepLines/>
              <w:adjustRightInd w:val="0"/>
              <w:snapToGrid w:val="0"/>
              <w:spacing w:line="360" w:lineRule="auto"/>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3.3自行监测计划</w:t>
            </w:r>
            <w:bookmarkEnd w:id="6"/>
          </w:p>
          <w:p w14:paraId="1F1F504C">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本项目锅炉的建设主要为油田开采进行服务，可纳入油区监测计划中，根据《排污单位自行监测技术指南 陆上石油天然气开采工业》（HJ1248-2022）中5.3厂界环境噪声监测，本项目移动锅炉建设在油区，无明显厂界限制且周边范围内无噪声敏感建筑物的场站，因此可不开展厂界环境噪声监测。</w:t>
            </w:r>
          </w:p>
          <w:p w14:paraId="0F583852">
            <w:pPr>
              <w:adjustRightInd w:val="0"/>
              <w:snapToGrid w:val="0"/>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4.固体废物影响分析</w:t>
            </w:r>
          </w:p>
          <w:p w14:paraId="46756AEB">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项目运营期固废主要为生活垃圾、锅炉灰渣、生物质燃料废包装袋；运营期锅炉维护检修主要为电机维修和更换，拆除后拉运至鄯善县火车站镇电机维修或更换，不在作业区进行，无危险废物产生和贮存。</w:t>
            </w:r>
          </w:p>
          <w:p w14:paraId="21939E01">
            <w:pPr>
              <w:pStyle w:val="62"/>
              <w:numPr>
                <w:ilvl w:val="0"/>
                <w:numId w:val="3"/>
              </w:numPr>
              <w:rPr>
                <w:color w:val="000000" w:themeColor="text1"/>
                <w14:textFill>
                  <w14:solidFill>
                    <w14:schemeClr w14:val="tx1"/>
                  </w14:solidFill>
                </w14:textFill>
              </w:rPr>
            </w:pPr>
            <w:r>
              <w:rPr>
                <w:rFonts w:hint="eastAsia"/>
                <w:color w:val="000000" w:themeColor="text1"/>
                <w14:textFill>
                  <w14:solidFill>
                    <w14:schemeClr w14:val="tx1"/>
                  </w14:solidFill>
                </w14:textFill>
              </w:rPr>
              <w:t>生活垃圾</w:t>
            </w:r>
          </w:p>
          <w:p w14:paraId="37213DAB">
            <w:pPr>
              <w:pStyle w:val="62"/>
              <w:rPr>
                <w:color w:val="000000" w:themeColor="text1"/>
                <w14:textFill>
                  <w14:solidFill>
                    <w14:schemeClr w14:val="tx1"/>
                  </w14:solidFill>
                </w14:textFill>
              </w:rPr>
            </w:pPr>
            <w:r>
              <w:rPr>
                <w:color w:val="000000" w:themeColor="text1"/>
                <w14:textFill>
                  <w14:solidFill>
                    <w14:schemeClr w14:val="tx1"/>
                  </w14:solidFill>
                </w14:textFill>
              </w:rPr>
              <w:t>项目本项目劳动定员</w:t>
            </w:r>
            <w:r>
              <w:rPr>
                <w:rFonts w:hint="eastAsia"/>
                <w:color w:val="000000" w:themeColor="text1"/>
                <w14:textFill>
                  <w14:solidFill>
                    <w14:schemeClr w14:val="tx1"/>
                  </w14:solidFill>
                </w14:textFill>
              </w:rPr>
              <w:t>8</w:t>
            </w:r>
            <w:r>
              <w:rPr>
                <w:color w:val="000000" w:themeColor="text1"/>
                <w14:textFill>
                  <w14:solidFill>
                    <w14:schemeClr w14:val="tx1"/>
                  </w14:solidFill>
                </w14:textFill>
              </w:rPr>
              <w:t>人，</w:t>
            </w:r>
            <w:r>
              <w:rPr>
                <w:rFonts w:hint="eastAsia"/>
                <w:color w:val="000000" w:themeColor="text1"/>
                <w14:textFill>
                  <w14:solidFill>
                    <w14:schemeClr w14:val="tx1"/>
                  </w14:solidFill>
                </w14:textFill>
              </w:rPr>
              <w:t>年工作120d，生活垃圾集中收集后，定期交由环卫部门清运处理。</w:t>
            </w:r>
          </w:p>
          <w:p w14:paraId="11479088">
            <w:pPr>
              <w:pStyle w:val="62"/>
              <w:numPr>
                <w:ilvl w:val="0"/>
                <w:numId w:val="3"/>
              </w:numPr>
              <w:rPr>
                <w:color w:val="000000" w:themeColor="text1"/>
                <w14:textFill>
                  <w14:solidFill>
                    <w14:schemeClr w14:val="tx1"/>
                  </w14:solidFill>
                </w14:textFill>
              </w:rPr>
            </w:pPr>
            <w:r>
              <w:rPr>
                <w:rFonts w:hint="eastAsia"/>
                <w:color w:val="000000" w:themeColor="text1"/>
                <w14:textFill>
                  <w14:solidFill>
                    <w14:schemeClr w14:val="tx1"/>
                  </w14:solidFill>
                </w14:textFill>
              </w:rPr>
              <w:t>锅炉灰渣</w:t>
            </w:r>
          </w:p>
          <w:p w14:paraId="018068DB">
            <w:pPr>
              <w:pStyle w:val="62"/>
              <w:rPr>
                <w:color w:val="000000" w:themeColor="text1"/>
                <w14:textFill>
                  <w14:solidFill>
                    <w14:schemeClr w14:val="tx1"/>
                  </w14:solidFill>
                </w14:textFill>
              </w:rPr>
            </w:pPr>
            <w:r>
              <w:rPr>
                <w:rFonts w:hint="eastAsia"/>
                <w:color w:val="000000" w:themeColor="text1"/>
                <w14:textFill>
                  <w14:solidFill>
                    <w14:schemeClr w14:val="tx1"/>
                  </w14:solidFill>
                </w14:textFill>
              </w:rPr>
              <w:t>本项目使用生物质作为锅炉燃料，锅炉灰渣参考《污染源源强核算技术指南 锅炉》（HJ991-2018）中8.1物料核算法计算</w:t>
            </w:r>
          </w:p>
          <w:p w14:paraId="36435CEC">
            <w:pPr>
              <w:pStyle w:val="62"/>
              <w:rPr>
                <w:color w:val="000000" w:themeColor="text1"/>
                <w14:textFill>
                  <w14:solidFill>
                    <w14:schemeClr w14:val="tx1"/>
                  </w14:solidFill>
                </w14:textFill>
              </w:rPr>
            </w:pPr>
            <w:r>
              <w:rPr>
                <w:rFonts w:hint="eastAsia"/>
                <w:color w:val="000000" w:themeColor="text1"/>
                <w14:textFill>
                  <w14:solidFill>
                    <w14:schemeClr w14:val="tx1"/>
                  </w14:solidFill>
                </w14:textFill>
              </w:rPr>
              <w:t>①锅炉灰渣</w:t>
            </w:r>
          </w:p>
          <w:p w14:paraId="75D47686">
            <w:pPr>
              <w:pStyle w:val="62"/>
            </w:pPr>
            <w:r>
              <w:rPr>
                <w:color w:val="000000" w:themeColor="text1"/>
                <w14:textFill>
                  <w14:solidFill>
                    <w14:schemeClr w14:val="tx1"/>
                  </w14:solidFill>
                </w14:textFill>
              </w:rPr>
              <w:t>经计算本</w:t>
            </w:r>
            <w:r>
              <w:t>项产生的灰渣为</w:t>
            </w:r>
            <w:r>
              <w:rPr>
                <w:rFonts w:hint="eastAsia"/>
              </w:rPr>
              <w:t>130</w:t>
            </w:r>
            <w:r>
              <w:t>t/a，</w:t>
            </w:r>
            <w:r>
              <w:rPr>
                <w:rFonts w:hint="eastAsia"/>
              </w:rPr>
              <w:t>灰渣冷却后装入吨袋中，暂存在钻井队指定地点，定期清运至合规的工业固废填埋场处理。本次环评要求灰渣暂存点需在三面围挡加盖的环境下贮存。</w:t>
            </w:r>
          </w:p>
          <w:p w14:paraId="72D3F3DA">
            <w:pPr>
              <w:pStyle w:val="98"/>
            </w:pPr>
            <w:r>
              <w:rPr>
                <w:rFonts w:hint="eastAsia"/>
              </w:rPr>
              <w:t>根据《固体废物分类与代码目录》，确定布袋收集粉尘和锅炉灰渣代码为</w:t>
            </w:r>
            <w:r>
              <w:t>900-099-S17</w:t>
            </w:r>
            <w:r>
              <w:rPr>
                <w:rFonts w:hint="eastAsia"/>
              </w:rPr>
              <w:t>，运营期产生的锅炉灰渣、除尘灰均采用吨包袋密闭暂存于灰渣场内，定期清运至合规的工业固废填埋场处理。</w:t>
            </w:r>
          </w:p>
          <w:p w14:paraId="483EF818">
            <w:pPr>
              <w:numPr>
                <w:ilvl w:val="0"/>
                <w:numId w:val="3"/>
              </w:numPr>
              <w:adjustRightInd w:val="0"/>
              <w:snapToGrid w:val="0"/>
              <w:spacing w:line="52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废包装袋</w:t>
            </w:r>
          </w:p>
          <w:p w14:paraId="32C07AF9">
            <w:pPr>
              <w:pStyle w:val="98"/>
            </w:pPr>
            <w:r>
              <w:rPr>
                <w:bCs/>
                <w:color w:val="000000" w:themeColor="text1"/>
                <w14:textFill>
                  <w14:solidFill>
                    <w14:schemeClr w14:val="tx1"/>
                  </w14:solidFill>
                </w14:textFill>
              </w:rPr>
              <w:t>本项目使用的生物质成型颗粒为燃料，使用吨袋包装，</w:t>
            </w:r>
            <w:r>
              <w:t>产生的废包装袋集中收集后外售。</w:t>
            </w:r>
          </w:p>
          <w:p w14:paraId="1D3A7C86">
            <w:pPr>
              <w:numPr>
                <w:ilvl w:val="0"/>
                <w:numId w:val="3"/>
              </w:numPr>
              <w:adjustRightInd w:val="0"/>
              <w:snapToGrid w:val="0"/>
              <w:spacing w:line="520" w:lineRule="exact"/>
              <w:ind w:firstLine="480" w:firstLineChars="200"/>
              <w:rPr>
                <w:sz w:val="24"/>
              </w:rPr>
            </w:pPr>
            <w:r>
              <w:rPr>
                <w:rFonts w:hint="eastAsia"/>
                <w:sz w:val="24"/>
              </w:rPr>
              <w:t>除尘灰</w:t>
            </w:r>
          </w:p>
          <w:p w14:paraId="67C7E0E4">
            <w:pPr>
              <w:pStyle w:val="98"/>
              <w:rPr>
                <w:bCs/>
                <w:color w:val="000000" w:themeColor="text1"/>
                <w:kern w:val="0"/>
                <w14:textFill>
                  <w14:solidFill>
                    <w14:schemeClr w14:val="tx1"/>
                  </w14:solidFill>
                </w14:textFill>
              </w:rPr>
            </w:pPr>
            <w:r>
              <w:rPr>
                <w:rFonts w:hint="eastAsia"/>
              </w:rPr>
              <w:t>除尘器收集的除尘灰产生</w:t>
            </w:r>
            <w:r>
              <w:rPr>
                <w:rFonts w:hint="eastAsia"/>
                <w:bCs/>
                <w:color w:val="000000" w:themeColor="text1"/>
                <w:kern w:val="0"/>
                <w14:textFill>
                  <w14:solidFill>
                    <w14:schemeClr w14:val="tx1"/>
                  </w14:solidFill>
                </w14:textFill>
              </w:rPr>
              <w:t>量约为0.882</w:t>
            </w:r>
            <w:r>
              <w:rPr>
                <w:bCs/>
                <w:color w:val="000000" w:themeColor="text1"/>
                <w14:textFill>
                  <w14:solidFill>
                    <w14:schemeClr w14:val="tx1"/>
                  </w14:solidFill>
                </w14:textFill>
              </w:rPr>
              <w:t>t/a</w:t>
            </w:r>
            <w:r>
              <w:rPr>
                <w:rFonts w:hint="eastAsia"/>
                <w:bCs/>
                <w:color w:val="000000" w:themeColor="text1"/>
                <w14:textFill>
                  <w14:solidFill>
                    <w14:schemeClr w14:val="tx1"/>
                  </w14:solidFill>
                </w14:textFill>
              </w:rPr>
              <w:t>，采用吨包袋集中收集于灰渣堆场，</w:t>
            </w:r>
            <w:r>
              <w:rPr>
                <w:rFonts w:hint="eastAsia"/>
                <w:color w:val="000000" w:themeColor="text1"/>
                <w:spacing w:val="-1"/>
                <w14:textFill>
                  <w14:solidFill>
                    <w14:schemeClr w14:val="tx1"/>
                  </w14:solidFill>
                </w14:textFill>
              </w:rPr>
              <w:t>定期清运至合规的工业固废填埋场处理。</w:t>
            </w:r>
          </w:p>
          <w:p w14:paraId="45B34814">
            <w:pPr>
              <w:pStyle w:val="97"/>
              <w:snapToGrid w:val="0"/>
              <w:spacing w:line="520" w:lineRule="exact"/>
              <w:ind w:left="0" w:leftChars="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（5）环境管理要求</w:t>
            </w:r>
          </w:p>
          <w:p w14:paraId="09E0F425">
            <w:pPr>
              <w:spacing w:line="520" w:lineRule="exact"/>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按照《一般工业固体废物管理台账制定指南（试行）》要求，建立健全工业固体废物产生、收集、贮存、运输、利用、处置全过程的污染环境防治责任制度。一般工业固体废物管理台账应由专人管理，防止遗失，台账保存期限不少于5年。</w:t>
            </w:r>
          </w:p>
          <w:p w14:paraId="1602F0DB">
            <w:pPr>
              <w:pStyle w:val="98"/>
              <w:ind w:firstLine="0" w:firstLineChars="0"/>
              <w:rPr>
                <w:b/>
                <w:bCs/>
              </w:rPr>
            </w:pPr>
            <w:r>
              <w:rPr>
                <w:rFonts w:hint="eastAsia"/>
                <w:b/>
                <w:bCs/>
              </w:rPr>
              <w:t>5.</w:t>
            </w:r>
            <w:r>
              <w:rPr>
                <w:b/>
                <w:bCs/>
              </w:rPr>
              <w:t>地下水、土壤影响分析</w:t>
            </w:r>
          </w:p>
          <w:p w14:paraId="09DECAFE">
            <w:pPr>
              <w:pStyle w:val="97"/>
              <w:snapToGrid w:val="0"/>
              <w:spacing w:line="520" w:lineRule="exact"/>
              <w:ind w:left="0" w:leftChars="0" w:firstLine="480" w:firstLineChars="200"/>
              <w:rPr>
                <w:rFonts w:cs="宋体"/>
                <w:bCs/>
                <w:sz w:val="24"/>
              </w:rPr>
            </w:pPr>
            <w:r>
              <w:rPr>
                <w:rFonts w:hint="eastAsia" w:cs="宋体"/>
                <w:bCs/>
                <w:sz w:val="24"/>
              </w:rPr>
              <w:t>本项目为生物质蒸汽锅炉项目，根据生产单元情况，按照《环境影响评价技术导则  地下水环境》（HJ610-2016），将锅炉放置区、燃料贮存区、灰渣贮存区、废包装贮存区划分为简单防渗区，本项目一体化移动式生物锅炉为箱式设计，锅炉设施不与地面接触；燃料贮存区和灰渣贮存区、废包装贮存区进行一般地面硬化；正常工况下不存在地下水、土壤污染途径，运营期间建设单位应加强环境管理，定期加强对各类机泵的检查，防止跑、冒、滴、漏的现象。</w:t>
            </w:r>
          </w:p>
          <w:p w14:paraId="431E260D">
            <w:pPr>
              <w:pStyle w:val="97"/>
              <w:snapToGrid w:val="0"/>
              <w:spacing w:line="520" w:lineRule="exact"/>
              <w:ind w:left="0" w:leftChars="0" w:firstLine="480" w:firstLineChars="200"/>
              <w:rPr>
                <w:rFonts w:cs="宋体"/>
                <w:bCs/>
                <w:sz w:val="24"/>
              </w:rPr>
            </w:pPr>
            <w:r>
              <w:rPr>
                <w:rFonts w:hint="eastAsia" w:cs="宋体"/>
                <w:bCs/>
                <w:sz w:val="24"/>
              </w:rPr>
              <w:t>在采取上述措施后，运营期对地下水和土壤环境的影响不大。</w:t>
            </w:r>
          </w:p>
          <w:p w14:paraId="5D8184A3">
            <w:pPr>
              <w:pStyle w:val="62"/>
              <w:spacing w:line="520" w:lineRule="exact"/>
              <w:ind w:firstLine="0" w:firstLineChars="0"/>
              <w:rPr>
                <w:b/>
                <w:bCs w:val="0"/>
                <w:color w:val="000000" w:themeColor="text1"/>
                <w14:textFill>
                  <w14:solidFill>
                    <w14:schemeClr w14:val="tx1"/>
                  </w14:solidFill>
                </w14:textFill>
              </w:rPr>
            </w:pPr>
            <w:r>
              <w:rPr>
                <w:rFonts w:hint="eastAsia"/>
                <w:b/>
                <w:bCs w:val="0"/>
                <w:color w:val="000000" w:themeColor="text1"/>
                <w14:textFill>
                  <w14:solidFill>
                    <w14:schemeClr w14:val="tx1"/>
                  </w14:solidFill>
                </w14:textFill>
              </w:rPr>
              <w:t>6.环境风险分析</w:t>
            </w:r>
          </w:p>
          <w:p w14:paraId="4CCA54FB">
            <w:pPr>
              <w:spacing w:line="520" w:lineRule="exact"/>
              <w:ind w:firstLine="480" w:firstLineChars="200"/>
              <w:rPr>
                <w:color w:val="000000" w:themeColor="text1"/>
                <w:sz w:val="24"/>
                <w:szCs w:val="25"/>
                <w14:textFill>
                  <w14:solidFill>
                    <w14:schemeClr w14:val="tx1"/>
                  </w14:solidFill>
                </w14:textFill>
              </w:rPr>
            </w:pPr>
            <w:r>
              <w:rPr>
                <w:sz w:val="24"/>
              </w:rPr>
              <w:t>环境风险分析的目的是分析和预测建设项目潜在</w:t>
            </w:r>
            <w:r>
              <w:rPr>
                <w:rFonts w:hint="eastAsia"/>
                <w:sz w:val="24"/>
              </w:rPr>
              <w:t>环境风险</w:t>
            </w:r>
            <w:r>
              <w:rPr>
                <w:sz w:val="24"/>
              </w:rPr>
              <w:t>、有害因素，建设项目建设和运行期间可能发生的突发事件或事故，引起有毒有害易燃易爆等物质泄漏，所造成的人身安全与环境影响和损害程度，提出合理可行的防范、应急与减缓措施，以使事故率、损失和环境影响达到可接受水平。</w:t>
            </w:r>
          </w:p>
          <w:p w14:paraId="092AED04">
            <w:pPr>
              <w:pStyle w:val="98"/>
              <w:ind w:firstLine="498"/>
              <w:rPr>
                <w:b/>
                <w:bCs/>
                <w:color w:val="000000"/>
                <w:spacing w:val="4"/>
                <w:kern w:val="0"/>
              </w:rPr>
            </w:pPr>
            <w:r>
              <w:rPr>
                <w:rFonts w:hint="eastAsia"/>
                <w:b/>
                <w:bCs/>
                <w:color w:val="000000"/>
                <w:spacing w:val="4"/>
                <w:kern w:val="0"/>
              </w:rPr>
              <w:t>6</w:t>
            </w:r>
            <w:r>
              <w:rPr>
                <w:b/>
                <w:bCs/>
                <w:color w:val="000000"/>
                <w:spacing w:val="4"/>
                <w:kern w:val="0"/>
              </w:rPr>
              <w:t>.</w:t>
            </w:r>
            <w:r>
              <w:rPr>
                <w:rFonts w:hint="eastAsia"/>
                <w:b/>
                <w:bCs/>
                <w:color w:val="000000"/>
                <w:spacing w:val="4"/>
                <w:kern w:val="0"/>
              </w:rPr>
              <w:t>1</w:t>
            </w:r>
            <w:r>
              <w:rPr>
                <w:b/>
                <w:bCs/>
                <w:color w:val="000000"/>
                <w:spacing w:val="4"/>
                <w:kern w:val="0"/>
              </w:rPr>
              <w:t>环境风险识别</w:t>
            </w:r>
          </w:p>
          <w:p w14:paraId="4ED35F09">
            <w:pPr>
              <w:spacing w:line="520" w:lineRule="exact"/>
              <w:ind w:firstLine="480" w:firstLineChars="200"/>
              <w:rPr>
                <w:bCs/>
                <w:color w:val="000000"/>
                <w:sz w:val="24"/>
              </w:rPr>
            </w:pPr>
            <w:r>
              <w:rPr>
                <w:color w:val="000000"/>
                <w:kern w:val="0"/>
                <w:sz w:val="24"/>
                <w:szCs w:val="32"/>
                <w:lang w:bidi="ar"/>
              </w:rPr>
              <w:t>依照《危险化学品重大危险源辨识》（GB18218-2018）和《建设项目环境风险评价技术导则》</w:t>
            </w:r>
            <w:r>
              <w:rPr>
                <w:rFonts w:hint="eastAsia"/>
                <w:color w:val="000000"/>
                <w:kern w:val="0"/>
                <w:sz w:val="24"/>
                <w:szCs w:val="32"/>
                <w:lang w:bidi="ar"/>
              </w:rPr>
              <w:t>（</w:t>
            </w:r>
            <w:r>
              <w:rPr>
                <w:color w:val="000000"/>
                <w:kern w:val="0"/>
                <w:sz w:val="24"/>
                <w:szCs w:val="32"/>
                <w:lang w:bidi="ar"/>
              </w:rPr>
              <w:t>HJ169-2018</w:t>
            </w:r>
            <w:r>
              <w:rPr>
                <w:rFonts w:hint="eastAsia"/>
                <w:color w:val="000000"/>
                <w:kern w:val="0"/>
                <w:sz w:val="24"/>
                <w:szCs w:val="32"/>
                <w:lang w:bidi="ar"/>
              </w:rPr>
              <w:t>），</w:t>
            </w:r>
            <w:r>
              <w:rPr>
                <w:bCs/>
                <w:color w:val="000000"/>
                <w:sz w:val="24"/>
              </w:rPr>
              <w:t>本项目</w:t>
            </w:r>
            <w:r>
              <w:rPr>
                <w:rFonts w:hint="eastAsia"/>
                <w:bCs/>
                <w:color w:val="000000"/>
                <w:sz w:val="24"/>
              </w:rPr>
              <w:t>不</w:t>
            </w:r>
            <w:r>
              <w:rPr>
                <w:bCs/>
                <w:color w:val="000000"/>
                <w:sz w:val="24"/>
              </w:rPr>
              <w:t>涉及风险物质</w:t>
            </w:r>
            <w:r>
              <w:rPr>
                <w:rFonts w:hint="eastAsia"/>
                <w:bCs/>
                <w:color w:val="000000"/>
                <w:sz w:val="24"/>
              </w:rPr>
              <w:t>。</w:t>
            </w:r>
            <w:r>
              <w:rPr>
                <w:bCs/>
                <w:color w:val="000000"/>
                <w:sz w:val="24"/>
              </w:rPr>
              <w:t>项目Q</w:t>
            </w:r>
            <w:r>
              <w:rPr>
                <w:rFonts w:hint="eastAsia"/>
                <w:bCs/>
                <w:color w:val="000000"/>
                <w:sz w:val="24"/>
              </w:rPr>
              <w:t>为0，</w:t>
            </w:r>
            <w:r>
              <w:rPr>
                <w:bCs/>
                <w:color w:val="000000"/>
                <w:sz w:val="24"/>
              </w:rPr>
              <w:t>Q值小于1，故环境风险潜势为Ⅰ，不再对行业及生产工艺（M）及环境敏感程度（E）进行判定。</w:t>
            </w:r>
          </w:p>
          <w:p w14:paraId="5C376763">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运营期发生风险事故的概率较小，且制定了较为周全的风险事故防范措施，当发生风险事故时立即启动厂内突发环境事件应急预案，确保事故不扩大，避免对周边环境造成较大危害。在采取严格的安全防护和风险防范措施后，环境风险可控。</w:t>
            </w:r>
          </w:p>
          <w:p w14:paraId="7C4CD966">
            <w:pPr>
              <w:adjustRightInd w:val="0"/>
              <w:snapToGrid w:val="0"/>
              <w:spacing w:line="360" w:lineRule="auto"/>
              <w:ind w:firstLine="480" w:firstLineChars="200"/>
              <w:rPr>
                <w:color w:val="000000" w:themeColor="text1"/>
                <w:sz w:val="24"/>
                <w14:textFill>
                  <w14:solidFill>
                    <w14:schemeClr w14:val="tx1"/>
                  </w14:solidFill>
                </w14:textFill>
              </w:rPr>
            </w:pPr>
            <w:bookmarkStart w:id="8" w:name="_GoBack"/>
            <w:bookmarkEnd w:id="8"/>
          </w:p>
        </w:tc>
      </w:tr>
    </w:tbl>
    <w:p w14:paraId="5F1B45A0">
      <w:pPr>
        <w:adjustRightInd w:val="0"/>
        <w:snapToGrid w:val="0"/>
        <w:spacing w:line="360" w:lineRule="auto"/>
        <w:rPr>
          <w:rFonts w:ascii="宋体" w:cs="宋体"/>
          <w:b/>
          <w:color w:val="000000" w:themeColor="text1"/>
          <w:kern w:val="0"/>
          <w:sz w:val="28"/>
          <w:szCs w:val="28"/>
          <w14:textFill>
            <w14:solidFill>
              <w14:schemeClr w14:val="tx1"/>
            </w14:solidFill>
          </w14:textFill>
        </w:rPr>
        <w:sectPr>
          <w:pgSz w:w="11907" w:h="16840"/>
          <w:pgMar w:top="1701" w:right="1531" w:bottom="2127" w:left="1531" w:header="851" w:footer="851" w:gutter="0"/>
          <w:cols w:space="720" w:num="1"/>
          <w:docGrid w:linePitch="312" w:charSpace="0"/>
        </w:sectPr>
      </w:pPr>
    </w:p>
    <w:p w14:paraId="344AE3FE">
      <w:pPr>
        <w:pStyle w:val="24"/>
        <w:adjustRightInd w:val="0"/>
        <w:snapToGrid w:val="0"/>
        <w:spacing w:before="0" w:beforeAutospacing="0" w:after="0" w:afterAutospacing="0" w:line="360" w:lineRule="auto"/>
        <w:jc w:val="center"/>
        <w:outlineLvl w:val="0"/>
        <w:rPr>
          <w:rFonts w:hint="eastAsia" w:ascii="黑体" w:hAnsi="黑体" w:eastAsia="黑体"/>
          <w:snapToGrid w:val="0"/>
          <w:color w:val="000000" w:themeColor="text1"/>
          <w:sz w:val="30"/>
          <w:szCs w:val="30"/>
          <w14:textFill>
            <w14:solidFill>
              <w14:schemeClr w14:val="tx1"/>
            </w14:solidFill>
          </w14:textFill>
        </w:rPr>
      </w:pPr>
      <w:r>
        <w:rPr>
          <w:rFonts w:hint="eastAsia" w:ascii="黑体" w:hAnsi="黑体" w:eastAsia="黑体"/>
          <w:snapToGrid w:val="0"/>
          <w:color w:val="000000" w:themeColor="text1"/>
          <w:sz w:val="30"/>
          <w:szCs w:val="30"/>
          <w14:textFill>
            <w14:solidFill>
              <w14:schemeClr w14:val="tx1"/>
            </w14:solidFill>
          </w14:textFill>
        </w:rPr>
        <w:t>五、</w:t>
      </w:r>
      <w:bookmarkStart w:id="7" w:name="_Hlk54167917"/>
      <w:r>
        <w:rPr>
          <w:rFonts w:hint="eastAsia" w:ascii="黑体" w:hAnsi="黑体" w:eastAsia="黑体"/>
          <w:snapToGrid w:val="0"/>
          <w:color w:val="000000" w:themeColor="text1"/>
          <w:sz w:val="30"/>
          <w:szCs w:val="30"/>
          <w14:textFill>
            <w14:solidFill>
              <w14:schemeClr w14:val="tx1"/>
            </w14:solidFill>
          </w14:textFill>
        </w:rPr>
        <w:t>环境保护措施监督检查清单</w:t>
      </w:r>
      <w:bookmarkEnd w:id="7"/>
    </w:p>
    <w:tbl>
      <w:tblPr>
        <w:tblStyle w:val="2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74"/>
        <w:gridCol w:w="1776"/>
        <w:gridCol w:w="1382"/>
        <w:gridCol w:w="1635"/>
        <w:gridCol w:w="2433"/>
      </w:tblGrid>
      <w:tr w14:paraId="4F1AE0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74" w:type="dxa"/>
            <w:tcBorders>
              <w:tl2br w:val="single" w:color="auto" w:sz="4" w:space="0"/>
            </w:tcBorders>
          </w:tcPr>
          <w:p w14:paraId="38194B16">
            <w:pPr>
              <w:adjustRightInd w:val="0"/>
              <w:snapToGrid w:val="0"/>
              <w:ind w:firstLine="840"/>
              <w:rPr>
                <w:color w:val="000000" w:themeColor="text1"/>
                <w:szCs w:val="21"/>
                <w14:textFill>
                  <w14:solidFill>
                    <w14:schemeClr w14:val="tx1"/>
                  </w14:solidFill>
                </w14:textFill>
              </w:rPr>
            </w:pPr>
            <w:r>
              <w:rPr>
                <w:color w:val="000000" w:themeColor="text1"/>
                <w:szCs w:val="21"/>
                <w14:textFill>
                  <w14:solidFill>
                    <w14:schemeClr w14:val="tx1"/>
                  </w14:solidFill>
                </w14:textFill>
              </w:rPr>
              <w:t>内容</w:t>
            </w:r>
          </w:p>
          <w:p w14:paraId="3D624D3B">
            <w:pPr>
              <w:adjustRightInd w:val="0"/>
              <w:snapToGrid w:val="0"/>
              <w:rPr>
                <w:color w:val="000000" w:themeColor="text1"/>
                <w:szCs w:val="21"/>
                <w14:textFill>
                  <w14:solidFill>
                    <w14:schemeClr w14:val="tx1"/>
                  </w14:solidFill>
                </w14:textFill>
              </w:rPr>
            </w:pPr>
            <w:r>
              <w:rPr>
                <w:color w:val="000000" w:themeColor="text1"/>
                <w:szCs w:val="21"/>
                <w14:textFill>
                  <w14:solidFill>
                    <w14:schemeClr w14:val="tx1"/>
                  </w14:solidFill>
                </w14:textFill>
              </w:rPr>
              <w:t>要素</w:t>
            </w:r>
          </w:p>
        </w:tc>
        <w:tc>
          <w:tcPr>
            <w:tcW w:w="1776" w:type="dxa"/>
            <w:vAlign w:val="center"/>
          </w:tcPr>
          <w:p w14:paraId="7F3999C9">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排放口</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编号、</w:t>
            </w:r>
          </w:p>
          <w:p w14:paraId="5FCDAD8D">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名称</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/污染源</w:t>
            </w:r>
          </w:p>
        </w:tc>
        <w:tc>
          <w:tcPr>
            <w:tcW w:w="1382" w:type="dxa"/>
            <w:vAlign w:val="center"/>
          </w:tcPr>
          <w:p w14:paraId="7087EC09">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污染物项目</w:t>
            </w:r>
          </w:p>
        </w:tc>
        <w:tc>
          <w:tcPr>
            <w:tcW w:w="1635" w:type="dxa"/>
            <w:vAlign w:val="center"/>
          </w:tcPr>
          <w:p w14:paraId="2977121A">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环境保护措施</w:t>
            </w:r>
          </w:p>
        </w:tc>
        <w:tc>
          <w:tcPr>
            <w:tcW w:w="2433" w:type="dxa"/>
            <w:vAlign w:val="center"/>
          </w:tcPr>
          <w:p w14:paraId="57FE3A99">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执行标准</w:t>
            </w:r>
          </w:p>
        </w:tc>
      </w:tr>
      <w:tr w14:paraId="67E952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74" w:type="dxa"/>
            <w:vAlign w:val="center"/>
          </w:tcPr>
          <w:p w14:paraId="5524E99F">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大气环境</w:t>
            </w:r>
          </w:p>
        </w:tc>
        <w:tc>
          <w:tcPr>
            <w:tcW w:w="1776" w:type="dxa"/>
            <w:vAlign w:val="center"/>
          </w:tcPr>
          <w:p w14:paraId="04234A4A">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2.5t/h锅炉（DA001~DA002）</w:t>
            </w:r>
          </w:p>
        </w:tc>
        <w:tc>
          <w:tcPr>
            <w:tcW w:w="1382" w:type="dxa"/>
            <w:vAlign w:val="center"/>
          </w:tcPr>
          <w:p w14:paraId="58E59DF9">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SO</w:t>
            </w:r>
            <w:r>
              <w:rPr>
                <w:color w:val="000000" w:themeColor="text1"/>
                <w:szCs w:val="21"/>
                <w:vertAlign w:val="subscript"/>
                <w14:textFill>
                  <w14:solidFill>
                    <w14:schemeClr w14:val="tx1"/>
                  </w14:solidFill>
                </w14:textFill>
              </w:rPr>
              <w:t>2</w:t>
            </w:r>
            <w:r>
              <w:rPr>
                <w:color w:val="000000" w:themeColor="text1"/>
                <w:szCs w:val="21"/>
                <w14:textFill>
                  <w14:solidFill>
                    <w14:schemeClr w14:val="tx1"/>
                  </w14:solidFill>
                </w14:textFill>
              </w:rPr>
              <w:t>、NO</w:t>
            </w:r>
            <w:r>
              <w:rPr>
                <w:color w:val="000000" w:themeColor="text1"/>
                <w:szCs w:val="21"/>
                <w:vertAlign w:val="subscript"/>
                <w14:textFill>
                  <w14:solidFill>
                    <w14:schemeClr w14:val="tx1"/>
                  </w14:solidFill>
                </w14:textFill>
              </w:rPr>
              <w:t>X</w:t>
            </w:r>
            <w:r>
              <w:rPr>
                <w:color w:val="000000" w:themeColor="text1"/>
                <w:szCs w:val="21"/>
                <w14:textFill>
                  <w14:solidFill>
                    <w14:schemeClr w14:val="tx1"/>
                  </w14:solidFill>
                </w14:textFill>
              </w:rPr>
              <w:t>、烟尘</w:t>
            </w:r>
            <w:r>
              <w:rPr>
                <w:rFonts w:hint="eastAsia"/>
                <w:color w:val="000000" w:themeColor="text1"/>
                <w:szCs w:val="21"/>
                <w14:textFill>
                  <w14:solidFill>
                    <w14:schemeClr w14:val="tx1"/>
                  </w14:solidFill>
                </w14:textFill>
              </w:rPr>
              <w:t>、林格曼黑度</w:t>
            </w:r>
          </w:p>
        </w:tc>
        <w:tc>
          <w:tcPr>
            <w:tcW w:w="1635" w:type="dxa"/>
            <w:vAlign w:val="center"/>
          </w:tcPr>
          <w:p w14:paraId="7BEA2FEC">
            <w:pPr>
              <w:adjustRightInd w:val="0"/>
              <w:snapToGrid w:val="0"/>
              <w:jc w:val="center"/>
              <w:rPr>
                <w:color w:val="000000" w:themeColor="text1"/>
                <w:szCs w:val="21"/>
                <w14:textFill>
                  <w14:solidFill>
                    <w14:schemeClr w14:val="tx1"/>
                  </w14:solidFill>
                </w14:textFill>
              </w:rPr>
            </w:pPr>
            <w:r>
              <w:rPr>
                <w:rFonts w:hint="eastAsia"/>
                <w:color w:val="000000" w:themeColor="text1"/>
                <w14:textFill>
                  <w14:solidFill>
                    <w14:schemeClr w14:val="tx1"/>
                  </w14:solidFill>
                </w14:textFill>
              </w:rPr>
              <w:t>布袋除尘器</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烟囱</w:t>
            </w:r>
            <w:r>
              <w:rPr>
                <w:rFonts w:hint="eastAsia"/>
                <w:color w:val="000000" w:themeColor="text1"/>
                <w:szCs w:val="21"/>
                <w14:textFill>
                  <w14:solidFill>
                    <w14:schemeClr w14:val="tx1"/>
                  </w14:solidFill>
                </w14:textFill>
              </w:rPr>
              <w:t>30</w:t>
            </w:r>
            <w:r>
              <w:rPr>
                <w:color w:val="000000" w:themeColor="text1"/>
                <w:szCs w:val="21"/>
                <w14:textFill>
                  <w14:solidFill>
                    <w14:schemeClr w14:val="tx1"/>
                  </w14:solidFill>
                </w14:textFill>
              </w:rPr>
              <w:t>m</w:t>
            </w:r>
          </w:p>
        </w:tc>
        <w:tc>
          <w:tcPr>
            <w:tcW w:w="2433" w:type="dxa"/>
            <w:vAlign w:val="center"/>
          </w:tcPr>
          <w:p w14:paraId="623D6219">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《锅炉大气污染物排放标准》（GB13271-2014）中表2燃煤锅炉大气污染物排放限值；</w:t>
            </w:r>
          </w:p>
        </w:tc>
      </w:tr>
      <w:tr w14:paraId="255C3C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74" w:type="dxa"/>
            <w:vAlign w:val="center"/>
          </w:tcPr>
          <w:p w14:paraId="7D1062D4">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水环境</w:t>
            </w:r>
          </w:p>
        </w:tc>
        <w:tc>
          <w:tcPr>
            <w:tcW w:w="1776" w:type="dxa"/>
            <w:vAlign w:val="center"/>
          </w:tcPr>
          <w:p w14:paraId="78AC5207">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生活污水、</w:t>
            </w:r>
            <w:r>
              <w:rPr>
                <w:rFonts w:hint="eastAsia"/>
                <w:szCs w:val="21"/>
              </w:rPr>
              <w:t>锅炉及软化水系统排污水</w:t>
            </w:r>
          </w:p>
        </w:tc>
        <w:tc>
          <w:tcPr>
            <w:tcW w:w="1382" w:type="dxa"/>
            <w:vAlign w:val="center"/>
          </w:tcPr>
          <w:p w14:paraId="05D3CFDB">
            <w:pPr>
              <w:adjustRightInd w:val="0"/>
              <w:snapToGrid w:val="0"/>
              <w:jc w:val="center"/>
              <w:rPr>
                <w:color w:val="000000" w:themeColor="text1"/>
                <w:szCs w:val="21"/>
                <w14:textFill>
                  <w14:solidFill>
                    <w14:schemeClr w14:val="tx1"/>
                  </w14:solidFill>
                </w14:textFill>
              </w:rPr>
            </w:pPr>
            <w:r>
              <w:rPr>
                <w:szCs w:val="21"/>
              </w:rPr>
              <w:t>COD、BOD、氨氮</w:t>
            </w:r>
            <w:r>
              <w:rPr>
                <w:rFonts w:hint="eastAsia"/>
                <w:szCs w:val="21"/>
              </w:rPr>
              <w:t>、SS等</w:t>
            </w:r>
          </w:p>
        </w:tc>
        <w:tc>
          <w:tcPr>
            <w:tcW w:w="1635" w:type="dxa"/>
            <w:vAlign w:val="center"/>
          </w:tcPr>
          <w:p w14:paraId="29D9BB08">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生活污水排入钻井队生活区化粪池，由钻井队委托吸污车定期抽运至鄯善县污水处理厂处理；</w:t>
            </w:r>
            <w:r>
              <w:rPr>
                <w:rFonts w:hint="eastAsia"/>
                <w:szCs w:val="21"/>
              </w:rPr>
              <w:t>软化水装置浓排水，用于作业区道路抑尘</w:t>
            </w:r>
          </w:p>
        </w:tc>
        <w:tc>
          <w:tcPr>
            <w:tcW w:w="2433" w:type="dxa"/>
            <w:vAlign w:val="center"/>
          </w:tcPr>
          <w:p w14:paraId="20E8FDC5">
            <w:pPr>
              <w:adjustRightInd w:val="0"/>
              <w:snapToGrid w:val="0"/>
              <w:jc w:val="center"/>
              <w:rPr>
                <w:color w:val="000000" w:themeColor="text1"/>
                <w:szCs w:val="21"/>
                <w14:textFill>
                  <w14:solidFill>
                    <w14:schemeClr w14:val="tx1"/>
                  </w14:solidFill>
                </w14:textFill>
              </w:rPr>
            </w:pPr>
            <w:r>
              <w:rPr>
                <w:color w:val="000000"/>
                <w:szCs w:val="21"/>
              </w:rPr>
              <w:t>《污水综合排放标准》（GB8978-1996）中的三级标准</w:t>
            </w:r>
          </w:p>
        </w:tc>
      </w:tr>
      <w:tr w14:paraId="53E401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74" w:type="dxa"/>
            <w:vAlign w:val="center"/>
          </w:tcPr>
          <w:p w14:paraId="5E8C63E3">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声环境</w:t>
            </w:r>
          </w:p>
        </w:tc>
        <w:tc>
          <w:tcPr>
            <w:tcW w:w="1776" w:type="dxa"/>
            <w:vAlign w:val="center"/>
          </w:tcPr>
          <w:p w14:paraId="4AE0D3CE">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锅炉、风机、泵等设备运行</w:t>
            </w:r>
          </w:p>
        </w:tc>
        <w:tc>
          <w:tcPr>
            <w:tcW w:w="1382" w:type="dxa"/>
            <w:vAlign w:val="center"/>
          </w:tcPr>
          <w:p w14:paraId="2E2A6599">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噪声</w:t>
            </w:r>
          </w:p>
        </w:tc>
        <w:tc>
          <w:tcPr>
            <w:tcW w:w="1635" w:type="dxa"/>
            <w:vAlign w:val="center"/>
          </w:tcPr>
          <w:p w14:paraId="2B88574E">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优先选用低噪声设备，</w:t>
            </w:r>
            <w:r>
              <w:rPr>
                <w:color w:val="000000" w:themeColor="text1"/>
                <w:szCs w:val="21"/>
                <w14:textFill>
                  <w14:solidFill>
                    <w14:schemeClr w14:val="tx1"/>
                  </w14:solidFill>
                </w14:textFill>
              </w:rPr>
              <w:t>基础减振，</w:t>
            </w:r>
            <w:r>
              <w:rPr>
                <w:rFonts w:hint="eastAsia"/>
                <w:color w:val="000000" w:themeColor="text1"/>
                <w:szCs w:val="21"/>
                <w14:textFill>
                  <w14:solidFill>
                    <w14:schemeClr w14:val="tx1"/>
                  </w14:solidFill>
                </w14:textFill>
              </w:rPr>
              <w:t>锅炉房</w:t>
            </w:r>
            <w:r>
              <w:rPr>
                <w:color w:val="000000" w:themeColor="text1"/>
                <w:szCs w:val="21"/>
                <w14:textFill>
                  <w14:solidFill>
                    <w14:schemeClr w14:val="tx1"/>
                  </w14:solidFill>
                </w14:textFill>
              </w:rPr>
              <w:t>隔声</w:t>
            </w:r>
            <w:r>
              <w:rPr>
                <w:rFonts w:hint="eastAsia"/>
                <w:color w:val="000000" w:themeColor="text1"/>
                <w:szCs w:val="21"/>
                <w14:textFill>
                  <w14:solidFill>
                    <w14:schemeClr w14:val="tx1"/>
                  </w14:solidFill>
                </w14:textFill>
              </w:rPr>
              <w:t>，加强维护和保养</w:t>
            </w:r>
          </w:p>
        </w:tc>
        <w:tc>
          <w:tcPr>
            <w:tcW w:w="2433" w:type="dxa"/>
            <w:vAlign w:val="center"/>
          </w:tcPr>
          <w:p w14:paraId="288A1212">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《工业企业厂界环境噪声排放标准》（GB12348-2008）中2类区标准限值</w:t>
            </w:r>
          </w:p>
        </w:tc>
      </w:tr>
      <w:tr w14:paraId="58ED2D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74" w:type="dxa"/>
            <w:vAlign w:val="center"/>
          </w:tcPr>
          <w:p w14:paraId="6D2D7C16">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电磁辐射</w:t>
            </w:r>
          </w:p>
        </w:tc>
        <w:tc>
          <w:tcPr>
            <w:tcW w:w="1776" w:type="dxa"/>
            <w:vAlign w:val="center"/>
          </w:tcPr>
          <w:p w14:paraId="04FE39C7">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1382" w:type="dxa"/>
            <w:vAlign w:val="center"/>
          </w:tcPr>
          <w:p w14:paraId="27FB3C6B">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1635" w:type="dxa"/>
            <w:vAlign w:val="center"/>
          </w:tcPr>
          <w:p w14:paraId="6C49A664">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2433" w:type="dxa"/>
            <w:vAlign w:val="center"/>
          </w:tcPr>
          <w:p w14:paraId="60813C24">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r>
      <w:tr w14:paraId="4E89A9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74" w:type="dxa"/>
            <w:vAlign w:val="center"/>
          </w:tcPr>
          <w:p w14:paraId="1E09EE85">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固体废物</w:t>
            </w:r>
          </w:p>
        </w:tc>
        <w:tc>
          <w:tcPr>
            <w:tcW w:w="7226" w:type="dxa"/>
            <w:gridSpan w:val="4"/>
            <w:vAlign w:val="center"/>
          </w:tcPr>
          <w:p w14:paraId="7E103336">
            <w:pPr>
              <w:ind w:firstLine="420" w:firstLineChars="200"/>
              <w:rPr>
                <w:color w:val="000000" w:themeColor="text1"/>
                <w:szCs w:val="21"/>
                <w14:textFill>
                  <w14:solidFill>
                    <w14:schemeClr w14:val="tx1"/>
                  </w14:solidFill>
                </w14:textFill>
              </w:rPr>
            </w:pPr>
            <w:r>
              <w:rPr>
                <w:rFonts w:hint="eastAsia"/>
                <w:bCs/>
                <w:color w:val="000000" w:themeColor="text1"/>
                <w14:textFill>
                  <w14:solidFill>
                    <w14:schemeClr w14:val="tx1"/>
                  </w14:solidFill>
                </w14:textFill>
              </w:rPr>
              <w:t>灰渣、除尘灰等固废装入吨袋中，密闭暂存于钻井队指定堆渣场，定期清运至合规的工业固废填埋场填埋处理。废包装袋及废包装桶集中收集后外售。</w:t>
            </w:r>
          </w:p>
        </w:tc>
      </w:tr>
      <w:tr w14:paraId="26DC03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74" w:type="dxa"/>
            <w:vAlign w:val="center"/>
          </w:tcPr>
          <w:p w14:paraId="12287E3F">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土壤及地下水</w:t>
            </w:r>
          </w:p>
          <w:p w14:paraId="367FF4C7">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污染防治措施</w:t>
            </w:r>
          </w:p>
        </w:tc>
        <w:tc>
          <w:tcPr>
            <w:tcW w:w="7226" w:type="dxa"/>
            <w:gridSpan w:val="4"/>
            <w:vAlign w:val="center"/>
          </w:tcPr>
          <w:p w14:paraId="65DE517B">
            <w:pPr>
              <w:adjustRightInd w:val="0"/>
              <w:snapToGrid w:val="0"/>
              <w:ind w:firstLine="420" w:firstLineChars="20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①源头控制：从各种工艺设备和连接管线上，防止和减少水的跑冒滴漏，合理布局，管线</w:t>
            </w:r>
            <w:r>
              <w:rPr>
                <w:rFonts w:hint="eastAsia"/>
                <w:color w:val="000000" w:themeColor="text1"/>
                <w:szCs w:val="21"/>
                <w14:textFill>
                  <w14:solidFill>
                    <w14:schemeClr w14:val="tx1"/>
                  </w14:solidFill>
                </w14:textFill>
              </w:rPr>
              <w:t>、储水罐</w:t>
            </w:r>
            <w:r>
              <w:rPr>
                <w:color w:val="000000" w:themeColor="text1"/>
                <w:szCs w:val="21"/>
                <w14:textFill>
                  <w14:solidFill>
                    <w14:schemeClr w14:val="tx1"/>
                  </w14:solidFill>
                </w14:textFill>
              </w:rPr>
              <w:t>均采取防漏防渗措施，定期进行巡检。</w:t>
            </w:r>
          </w:p>
          <w:p w14:paraId="1CE8B7B3">
            <w:pPr>
              <w:adjustRightInd w:val="0"/>
              <w:snapToGrid w:val="0"/>
              <w:ind w:firstLine="420" w:firstLineChars="20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②过程控制：</w:t>
            </w:r>
            <w:r>
              <w:rPr>
                <w:rFonts w:hint="eastAsia"/>
                <w:color w:val="000000" w:themeColor="text1"/>
                <w:szCs w:val="21"/>
                <w14:textFill>
                  <w14:solidFill>
                    <w14:schemeClr w14:val="tx1"/>
                  </w14:solidFill>
                </w14:textFill>
              </w:rPr>
              <w:t>项目燃料贮存区、灰渣贮存区、废包装贮存区</w:t>
            </w:r>
            <w:r>
              <w:rPr>
                <w:color w:val="000000" w:themeColor="text1"/>
                <w:szCs w:val="21"/>
                <w14:textFill>
                  <w14:solidFill>
                    <w14:schemeClr w14:val="tx1"/>
                  </w14:solidFill>
                </w14:textFill>
              </w:rPr>
              <w:t>为简单防渗区域</w:t>
            </w:r>
            <w:r>
              <w:rPr>
                <w:rFonts w:hint="eastAsia"/>
                <w:color w:val="000000" w:themeColor="text1"/>
                <w:szCs w:val="21"/>
                <w14:textFill>
                  <w14:solidFill>
                    <w14:schemeClr w14:val="tx1"/>
                  </w14:solidFill>
                </w14:textFill>
              </w:rPr>
              <w:t>。</w:t>
            </w:r>
          </w:p>
        </w:tc>
      </w:tr>
      <w:tr w14:paraId="1F51D0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74" w:type="dxa"/>
            <w:vAlign w:val="center"/>
          </w:tcPr>
          <w:p w14:paraId="6182FFEA">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生态保护措施</w:t>
            </w:r>
          </w:p>
        </w:tc>
        <w:tc>
          <w:tcPr>
            <w:tcW w:w="7226" w:type="dxa"/>
            <w:gridSpan w:val="4"/>
            <w:vAlign w:val="center"/>
          </w:tcPr>
          <w:p w14:paraId="79A08D18">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合理规划路线，禁止车辆乱碾乱压，</w:t>
            </w:r>
            <w:r>
              <w:rPr>
                <w:rFonts w:hint="eastAsia"/>
                <w:color w:val="000000" w:themeColor="text1"/>
                <w:szCs w:val="21"/>
                <w14:textFill>
                  <w14:solidFill>
                    <w14:schemeClr w14:val="tx1"/>
                  </w14:solidFill>
                </w14:textFill>
              </w:rPr>
              <w:t>减少</w:t>
            </w:r>
            <w:r>
              <w:rPr>
                <w:color w:val="000000" w:themeColor="text1"/>
                <w:szCs w:val="21"/>
                <w14:textFill>
                  <w14:solidFill>
                    <w14:schemeClr w14:val="tx1"/>
                  </w14:solidFill>
                </w14:textFill>
              </w:rPr>
              <w:t>对地表植被的破坏</w:t>
            </w:r>
            <w:r>
              <w:rPr>
                <w:rFonts w:hint="eastAsia"/>
                <w:color w:val="000000" w:themeColor="text1"/>
                <w:szCs w:val="21"/>
                <w14:textFill>
                  <w14:solidFill>
                    <w14:schemeClr w14:val="tx1"/>
                  </w14:solidFill>
                </w14:textFill>
              </w:rPr>
              <w:t>。</w:t>
            </w:r>
          </w:p>
        </w:tc>
      </w:tr>
      <w:tr w14:paraId="0DAA05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74" w:type="dxa"/>
            <w:vAlign w:val="center"/>
          </w:tcPr>
          <w:p w14:paraId="20C3FE59">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环境风险</w:t>
            </w:r>
          </w:p>
          <w:p w14:paraId="1A0166D0">
            <w:pPr>
              <w:adjustRightInd w:val="0"/>
              <w:snapToGrid w:val="0"/>
              <w:jc w:val="center"/>
              <w:rPr>
                <w:color w:val="000000" w:themeColor="text1"/>
                <w:spacing w:val="-8"/>
                <w:szCs w:val="21"/>
                <w14:textFill>
                  <w14:solidFill>
                    <w14:schemeClr w14:val="tx1"/>
                  </w14:solidFill>
                </w14:textFill>
              </w:rPr>
            </w:pPr>
            <w:r>
              <w:rPr>
                <w:color w:val="000000" w:themeColor="text1"/>
                <w:szCs w:val="21"/>
                <w14:textFill>
                  <w14:solidFill>
                    <w14:schemeClr w14:val="tx1"/>
                  </w14:solidFill>
                </w14:textFill>
              </w:rPr>
              <w:t>防范措施</w:t>
            </w:r>
          </w:p>
        </w:tc>
        <w:tc>
          <w:tcPr>
            <w:tcW w:w="7226" w:type="dxa"/>
            <w:gridSpan w:val="4"/>
            <w:vAlign w:val="center"/>
          </w:tcPr>
          <w:p w14:paraId="42D2022B">
            <w:pPr>
              <w:tabs>
                <w:tab w:val="left" w:pos="2780"/>
              </w:tabs>
              <w:adjustRightInd w:val="0"/>
              <w:snapToGrid w:val="0"/>
              <w:ind w:firstLine="420" w:firstLineChars="20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配备一定数量的灭火器、消防沙、应急救援器材</w:t>
            </w:r>
            <w:r>
              <w:rPr>
                <w:rFonts w:hint="eastAsia"/>
                <w:color w:val="000000" w:themeColor="text1"/>
                <w:szCs w:val="21"/>
                <w14:textFill>
                  <w14:solidFill>
                    <w14:schemeClr w14:val="tx1"/>
                  </w14:solidFill>
                </w14:textFill>
              </w:rPr>
              <w:t>以及防渗和收集泄漏污染物的应急物资</w:t>
            </w:r>
            <w:r>
              <w:rPr>
                <w:color w:val="000000" w:themeColor="text1"/>
                <w:szCs w:val="21"/>
                <w14:textFill>
                  <w14:solidFill>
                    <w14:schemeClr w14:val="tx1"/>
                  </w14:solidFill>
                </w14:textFill>
              </w:rPr>
              <w:t>；制定环境应急预案等</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加强管理，</w:t>
            </w:r>
            <w:r>
              <w:rPr>
                <w:rFonts w:hint="eastAsia"/>
                <w:color w:val="000000" w:themeColor="text1"/>
                <w:szCs w:val="21"/>
                <w14:textFill>
                  <w14:solidFill>
                    <w14:schemeClr w14:val="tx1"/>
                  </w14:solidFill>
                </w14:textFill>
              </w:rPr>
              <w:t>建设单位应树立并强化环境风险意识。建立健全突发环境事故应急组织机构等</w:t>
            </w:r>
            <w:r>
              <w:rPr>
                <w:color w:val="000000" w:themeColor="text1"/>
                <w:szCs w:val="21"/>
                <w14:textFill>
                  <w14:solidFill>
                    <w14:schemeClr w14:val="tx1"/>
                  </w14:solidFill>
                </w14:textFill>
              </w:rPr>
              <w:t>。</w:t>
            </w:r>
          </w:p>
        </w:tc>
      </w:tr>
      <w:tr w14:paraId="247000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74" w:type="dxa"/>
            <w:vAlign w:val="center"/>
          </w:tcPr>
          <w:p w14:paraId="4EAEB0E4">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其他环境</w:t>
            </w:r>
          </w:p>
          <w:p w14:paraId="1EC505FA">
            <w:pPr>
              <w:adjustRightInd w:val="0"/>
              <w:snapToGrid w:val="0"/>
              <w:jc w:val="center"/>
              <w:rPr>
                <w:color w:val="000000" w:themeColor="text1"/>
                <w:spacing w:val="-8"/>
                <w:szCs w:val="21"/>
                <w14:textFill>
                  <w14:solidFill>
                    <w14:schemeClr w14:val="tx1"/>
                  </w14:solidFill>
                </w14:textFill>
              </w:rPr>
            </w:pPr>
            <w:r>
              <w:rPr>
                <w:color w:val="000000" w:themeColor="text1"/>
                <w:szCs w:val="21"/>
                <w14:textFill>
                  <w14:solidFill>
                    <w14:schemeClr w14:val="tx1"/>
                  </w14:solidFill>
                </w14:textFill>
              </w:rPr>
              <w:t>管理要求</w:t>
            </w:r>
          </w:p>
        </w:tc>
        <w:tc>
          <w:tcPr>
            <w:tcW w:w="7226" w:type="dxa"/>
            <w:gridSpan w:val="4"/>
            <w:vAlign w:val="center"/>
          </w:tcPr>
          <w:p w14:paraId="078317EC">
            <w:pPr>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（1）建设单位应按规定填报排污单位基本信息表，并按照《排污许可证申请与核发技术规范 锅炉》（HJ953-2018）设置规范化排污口。</w:t>
            </w:r>
          </w:p>
          <w:p w14:paraId="4B3972E1">
            <w:pPr>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（2）严格执行各项环境管理制度，保证排污口的正常运行。</w:t>
            </w:r>
          </w:p>
          <w:p w14:paraId="75F8F9C7">
            <w:pPr>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（3）合理利用能源、资源、节水、节能。</w:t>
            </w:r>
          </w:p>
          <w:p w14:paraId="6B93318A">
            <w:pPr>
              <w:adjustRightInd w:val="0"/>
              <w:snapToGrid w:val="0"/>
              <w:rPr>
                <w:color w:val="000000" w:themeColor="text1"/>
                <w14:textFill>
                  <w14:solidFill>
                    <w14:schemeClr w14:val="tx1"/>
                  </w14:solidFill>
                </w14:textFill>
              </w:rPr>
            </w:pPr>
            <w:r>
              <w:rPr>
                <w:rFonts w:hint="eastAsia"/>
                <w:color w:val="000000" w:themeColor="text1"/>
                <w14:textFill>
                  <w14:solidFill>
                    <w14:schemeClr w14:val="tx1"/>
                  </w14:solidFill>
                </w14:textFill>
              </w:rPr>
              <w:t>（4）按照《排污单位自行监测技术指南 火力发电及锅炉》（HJ820-2017）中要求，排污单位应查清本单位的污染源、污染物指标及潜在的环境影响，制定监测方案，设置和维护监测设施，按照监测方案开展自行监测，做好质量保证和质量控制，记录和保存监测数据，依法向社会公开监测结果。</w:t>
            </w:r>
          </w:p>
          <w:p w14:paraId="08E06ADB">
            <w:pPr>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5</w:t>
            </w:r>
            <w:r>
              <w:rPr>
                <w:color w:val="000000" w:themeColor="text1"/>
                <w14:textFill>
                  <w14:solidFill>
                    <w14:schemeClr w14:val="tx1"/>
                  </w14:solidFill>
                </w14:textFill>
              </w:rPr>
              <w:t>）按规定程序实施竣工环境保护验收，验收合格后方可投入生产。</w:t>
            </w:r>
          </w:p>
        </w:tc>
      </w:tr>
    </w:tbl>
    <w:p w14:paraId="77CDC152">
      <w:pPr>
        <w:pStyle w:val="24"/>
        <w:adjustRightInd w:val="0"/>
        <w:snapToGrid w:val="0"/>
        <w:spacing w:before="0" w:beforeAutospacing="0" w:after="0" w:afterAutospacing="0" w:line="360" w:lineRule="auto"/>
        <w:jc w:val="center"/>
        <w:outlineLvl w:val="0"/>
        <w:rPr>
          <w:rFonts w:hint="eastAsia" w:ascii="黑体" w:hAnsi="黑体" w:eastAsia="黑体"/>
          <w:snapToGrid w:val="0"/>
          <w:color w:val="000000" w:themeColor="text1"/>
          <w:sz w:val="30"/>
          <w:szCs w:val="30"/>
          <w14:textFill>
            <w14:solidFill>
              <w14:schemeClr w14:val="tx1"/>
            </w14:solidFill>
          </w14:textFill>
        </w:rPr>
      </w:pPr>
      <w:r>
        <w:rPr>
          <w:snapToGrid w:val="0"/>
          <w:color w:val="000000" w:themeColor="text1"/>
          <w14:textFill>
            <w14:solidFill>
              <w14:schemeClr w14:val="tx1"/>
            </w14:solidFill>
          </w14:textFill>
        </w:rPr>
        <w:br w:type="page"/>
      </w:r>
      <w:r>
        <w:rPr>
          <w:rFonts w:hint="eastAsia" w:ascii="黑体" w:hAnsi="黑体" w:eastAsia="黑体"/>
          <w:snapToGrid w:val="0"/>
          <w:color w:val="000000" w:themeColor="text1"/>
          <w:sz w:val="30"/>
          <w:szCs w:val="30"/>
          <w14:textFill>
            <w14:solidFill>
              <w14:schemeClr w14:val="tx1"/>
            </w14:solidFill>
          </w14:textFill>
        </w:rPr>
        <w:t>六、结论</w:t>
      </w:r>
    </w:p>
    <w:tbl>
      <w:tblPr>
        <w:tblStyle w:val="2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280BD5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70" w:hRule="atLeast"/>
          <w:jc w:val="center"/>
        </w:trPr>
        <w:tc>
          <w:tcPr>
            <w:tcW w:w="8865" w:type="dxa"/>
          </w:tcPr>
          <w:p w14:paraId="2BADB5FD">
            <w:pPr>
              <w:tabs>
                <w:tab w:val="left" w:pos="710"/>
              </w:tabs>
              <w:spacing w:before="240" w:beforeLines="100" w:line="360" w:lineRule="auto"/>
              <w:rPr>
                <w:color w:val="000000" w:themeColor="text1"/>
                <w:sz w:val="24"/>
                <w14:textFill>
                  <w14:solidFill>
                    <w14:schemeClr w14:val="tx1"/>
                  </w14:solidFill>
                </w14:textFill>
              </w:rPr>
            </w:pPr>
            <w:r>
              <w:rPr>
                <w:rFonts w:hint="eastAsia" w:ascii="宋体" w:cs="宋体"/>
                <w:color w:val="000000" w:themeColor="text1"/>
                <w:sz w:val="24"/>
                <w14:textFill>
                  <w14:solidFill>
                    <w14:schemeClr w14:val="tx1"/>
                  </w14:solidFill>
                </w14:textFill>
              </w:rPr>
              <w:tab/>
            </w:r>
            <w:r>
              <w:rPr>
                <w:color w:val="000000" w:themeColor="text1"/>
                <w:sz w:val="24"/>
                <w14:textFill>
                  <w14:solidFill>
                    <w14:schemeClr w14:val="tx1"/>
                  </w14:solidFill>
                </w14:textFill>
              </w:rPr>
              <w:t>该项目</w:t>
            </w:r>
            <w:r>
              <w:rPr>
                <w:rFonts w:hint="eastAsia"/>
                <w:color w:val="000000" w:themeColor="text1"/>
                <w:sz w:val="24"/>
                <w14:textFill>
                  <w14:solidFill>
                    <w14:schemeClr w14:val="tx1"/>
                  </w14:solidFill>
                </w14:textFill>
              </w:rPr>
              <w:t>要</w:t>
            </w:r>
            <w:r>
              <w:rPr>
                <w:color w:val="000000" w:themeColor="text1"/>
                <w:sz w:val="24"/>
                <w14:textFill>
                  <w14:solidFill>
                    <w14:schemeClr w14:val="tx1"/>
                  </w14:solidFill>
                </w14:textFill>
              </w:rPr>
              <w:t>切实落实报告表中提出的各项防治措施，严格执行各项污染物的排放标准，积极有效地进行污染治理和防范，并使各项污染物达标排放，从环境保护角度考虑，该项目的</w:t>
            </w:r>
            <w:r>
              <w:rPr>
                <w:rFonts w:hint="eastAsia"/>
                <w:color w:val="000000" w:themeColor="text1"/>
                <w:sz w:val="24"/>
                <w14:textFill>
                  <w14:solidFill>
                    <w14:schemeClr w14:val="tx1"/>
                  </w14:solidFill>
                </w14:textFill>
              </w:rPr>
              <w:t>环境影响</w:t>
            </w:r>
            <w:r>
              <w:rPr>
                <w:color w:val="000000" w:themeColor="text1"/>
                <w:sz w:val="24"/>
                <w14:textFill>
                  <w14:solidFill>
                    <w14:schemeClr w14:val="tx1"/>
                  </w14:solidFill>
                </w14:textFill>
              </w:rPr>
              <w:t>是可行的</w:t>
            </w:r>
            <w:r>
              <w:rPr>
                <w:rFonts w:hint="eastAsia"/>
                <w:color w:val="000000" w:themeColor="text1"/>
                <w:sz w:val="24"/>
                <w14:textFill>
                  <w14:solidFill>
                    <w14:schemeClr w14:val="tx1"/>
                  </w14:solidFill>
                </w14:textFill>
              </w:rPr>
              <w:t>。</w:t>
            </w:r>
          </w:p>
          <w:p w14:paraId="1ABBA97C">
            <w:pPr>
              <w:rPr>
                <w:rFonts w:ascii="宋体" w:cs="宋体"/>
                <w:sz w:val="24"/>
              </w:rPr>
            </w:pPr>
          </w:p>
          <w:p w14:paraId="3C758664">
            <w:pPr>
              <w:rPr>
                <w:rFonts w:ascii="宋体" w:cs="宋体"/>
                <w:sz w:val="24"/>
              </w:rPr>
            </w:pPr>
          </w:p>
          <w:p w14:paraId="2B7E5190">
            <w:pPr>
              <w:tabs>
                <w:tab w:val="left" w:pos="1410"/>
              </w:tabs>
              <w:rPr>
                <w:rFonts w:ascii="宋体" w:cs="宋体"/>
                <w:sz w:val="24"/>
              </w:rPr>
            </w:pPr>
            <w:r>
              <w:rPr>
                <w:rFonts w:ascii="宋体" w:cs="宋体"/>
                <w:sz w:val="24"/>
              </w:rPr>
              <w:tab/>
            </w:r>
          </w:p>
        </w:tc>
      </w:tr>
    </w:tbl>
    <w:p w14:paraId="22B05D3B">
      <w:pPr>
        <w:kinsoku w:val="0"/>
        <w:overflowPunct w:val="0"/>
        <w:autoSpaceDE w:val="0"/>
        <w:autoSpaceDN w:val="0"/>
      </w:pPr>
    </w:p>
    <w:sectPr>
      <w:footerReference r:id="rId5" w:type="default"/>
      <w:pgSz w:w="11906" w:h="16838"/>
      <w:pgMar w:top="1701" w:right="1531" w:bottom="1701" w:left="1531"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4EFC7">
    <w:pPr>
      <w:pStyle w:val="19"/>
      <w:ind w:right="360" w:firstLine="360"/>
      <w:jc w:val="center"/>
    </w:pPr>
    <w:r>
      <mc:AlternateContent>
        <mc:Choice Requires="wps">
          <w:drawing>
            <wp:anchor distT="0" distB="0" distL="114300" distR="114300" simplePos="0" relativeHeight="251661312" behindDoc="0" locked="0" layoutInCell="1" allowOverlap="1">
              <wp:simplePos x="0" y="0"/>
              <wp:positionH relativeFrom="margin">
                <wp:posOffset>2780030</wp:posOffset>
              </wp:positionH>
              <wp:positionV relativeFrom="paragraph">
                <wp:posOffset>0</wp:posOffset>
              </wp:positionV>
              <wp:extent cx="262890" cy="1828800"/>
              <wp:effectExtent l="0" t="0" r="3810" b="1905"/>
              <wp:wrapNone/>
              <wp:docPr id="7" name="文本框 4"/>
              <wp:cNvGraphicFramePr/>
              <a:graphic xmlns:a="http://schemas.openxmlformats.org/drawingml/2006/main">
                <a:graphicData uri="http://schemas.microsoft.com/office/word/2010/wordprocessingShape">
                  <wps:wsp>
                    <wps:cNvSpPr txBox="1"/>
                    <wps:spPr>
                      <a:xfrm>
                        <a:off x="0" y="0"/>
                        <a:ext cx="262890" cy="1828800"/>
                      </a:xfrm>
                      <a:prstGeom prst="rect">
                        <a:avLst/>
                      </a:prstGeom>
                      <a:noFill/>
                      <a:ln>
                        <a:noFill/>
                      </a:ln>
                    </wps:spPr>
                    <wps:txbx>
                      <w:txbxContent>
                        <w:p w14:paraId="3D86EBF5">
                          <w:pPr>
                            <w:pStyle w:val="19"/>
                          </w:pPr>
                          <w:r>
                            <w:fldChar w:fldCharType="begin"/>
                          </w:r>
                          <w:r>
                            <w:instrText xml:space="preserve"> PAGE  \* MERGEFORMAT </w:instrText>
                          </w:r>
                          <w:r>
                            <w:fldChar w:fldCharType="separate"/>
                          </w:r>
                          <w:r>
                            <w:t>1</w:t>
                          </w:r>
                          <w:r>
                            <w:fldChar w:fldCharType="end"/>
                          </w:r>
                        </w:p>
                      </w:txbxContent>
                    </wps:txbx>
                    <wps:bodyPr vert="horz" wrap="square" lIns="0" tIns="0" rIns="0" bIns="0" anchor="t" anchorCtr="0">
                      <a:spAutoFit/>
                    </wps:bodyPr>
                  </wps:wsp>
                </a:graphicData>
              </a:graphic>
            </wp:anchor>
          </w:drawing>
        </mc:Choice>
        <mc:Fallback>
          <w:pict>
            <v:shape id="文本框 4" o:spid="_x0000_s1026" o:spt="202" type="#_x0000_t202" style="position:absolute;left:0pt;margin-left:218.9pt;margin-top:0pt;height:144pt;width:20.7pt;mso-position-horizontal-relative:margin;z-index:251661312;mso-width-relative:page;mso-height-relative:page;" filled="f" stroked="f" coordsize="21600,21600" o:gfxdata="UEsDBAoAAAAAAIdO4kAAAAAAAAAAAAAAAAAEAAAAZHJzL1BLAwQUAAAACACHTuJApF0VHdYAAAAI&#10;AQAADwAAAGRycy9kb3ducmV2LnhtbE2PMU/DMBSEdyT+g/WQWBC1Hao2DXnpgGBho2Vhc+NHEhE/&#10;R7GbhP56zATj6U5335X7xfViojF0nhH0SoEgrr3tuEF4P77c5yBCNGxN75kQvinAvrq+Kk1h/cxv&#10;NB1iI1IJh8IgtDEOhZShbsmZsPIDcfI+/ehMTHJspB3NnMpdLzOlNtKZjtNCawZ6aqn+OpwdwmZ5&#10;Hu5ed5TNl7qf+OOidSSNeHuj1SOISEv8C8MvfkKHKjGd/JltED3C+mGb0CNCepTs9XaXgTghZHmu&#10;QFal/H+g+gFQSwMEFAAAAAgAh07iQCt2+PnfAQAAswMAAA4AAABkcnMvZTJvRG9jLnhtbK1TzY7T&#10;MBC+I/EOlu80abRaQtR0BVvtCgkB0sIDuI7TWPLfetwm5QHgDThx4c5z9TkYO0kXlsseuDjjmfHM&#10;930zWV0NWpGD8CCtqelykVMiDLeNNLuafv5086KkBAIzDVPWiJoeBdCr9fNnq95VorCdVY3wBIsY&#10;qHpX0y4EV2UZ8E5oBgvrhMFga71mAa9+lzWe9Vhdq6zI88ust75x3nIBgN7NGKRTRf+UgrZtJRcb&#10;y/damDBW9UKxgJSgkw7oOqFtW8HDh7YFEYiqKTIN6cQmaG/jma1XrNp55jrJJwjsKRAecdJMGmx6&#10;LrVhgZG9l/+U0pJ7C7YNC251NhJJiiCLZf5Im7uOOZG4oNTgzqLD/yvL3x8+eiKbmr6kxDCNAz99&#10;/3b68ev08yu5iPL0DirMunOYF4Y3dsClmf2Azsh6aL2OX+RDMI7iHs/iiiEQjs7isihfYYRjaFkW&#10;ZZkn9bOH185DuBVWk2jU1OPwkqbs8A4CIsHUOSU2M/ZGKpUGqMxfDkyMnixCHyFGKwzbYeKztc0R&#10;6eBfgH06679Q0uMO1BTu98wLStRbgyLHhZkNPxvb2WCG49OaBkpG8zqkxYpQwL3eB8SXYMfmY8cJ&#10;E84ysZn2Li7Ln/eU9fCvrX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pF0VHdYAAAAIAQAADwAA&#10;AAAAAAABACAAAAAiAAAAZHJzL2Rvd25yZXYueG1sUEsBAhQAFAAAAAgAh07iQCt2+PnfAQAAswMA&#10;AA4AAAAAAAAAAQAgAAAAJQEAAGRycy9lMm9Eb2MueG1sUEsFBgAAAAAGAAYAWQEAAHYFAAAAAA==&#10;">
              <v:fill on="f" focussize="0,0"/>
              <v:stroke on="f"/>
              <v:imagedata o:title=""/>
              <o:lock v:ext="edit" aspectratio="f"/>
              <v:textbox inset="0mm,0mm,0mm,0mm" style="mso-fit-shape-to-text:t;">
                <w:txbxContent>
                  <w:p w14:paraId="3D86EBF5">
                    <w:pPr>
                      <w:pStyle w:val="19"/>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304359">
                          <w:pPr>
                            <w:pStyle w:val="19"/>
                            <w:rPr>
                              <w:rStyle w:val="33"/>
                              <w:rFonts w:hint="eastAsia" w:ascii="宋体" w:hAnsi="宋体"/>
                              <w:sz w:val="28"/>
                              <w:szCs w:val="28"/>
                            </w:rPr>
                          </w:pPr>
                        </w:p>
                      </w:txbxContent>
                    </wps:txbx>
                    <wps:bodyPr vert="horz" wrap="none" lIns="0" tIns="0" rIns="0" bIns="0" anchor="t" anchorCtr="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DMa6dcBAACyAwAADgAAAGRycy9lMm9Eb2MueG1srVPBjtMwEL0j8Q+W&#10;7zTZSouqqOkKtlqEhABp4QNcx2ks2R7L4zYpHwB/wIkLd76r38HYSbqwXPbAJRnPjN+8NzNe3wzW&#10;sKMKqMHV/GpRcqachEa7fc0/f7p7seIMo3CNMOBUzU8K+c3m+bN17yu1hA5MowIjEIdV72vexeir&#10;okDZKStwAV45CrYQrIh0DPuiCaIndGuKZVm+LHoIjQ8gFSJ5t2OQT4jhKYDQtlqqLciDVS6OqEEZ&#10;EUkSdtoj32S2batk/NC2qCIzNSelMX+pCNm79C02a1Htg/CdlhMF8RQKjzRZoR0VvUBtRRTsEPQ/&#10;UFbLAAhtXEiwxSgkd4RUXJWPenPfCa+yFmo1+kvT8f/ByvfHj4HppubXnDlhaeDn79/OP36df35l&#10;y9Se3mNFWfee8uLwGgZamtmP5EyqhzbY9Cc9jOLU3NOluWqITKZLq+VqVVJIUmw+EH7xcN0HjG8U&#10;WJaMmgeaXm6qOL7DOKbOKamagzttTJ6gcX85CDN5isR95JisOOyGSdAOmhPpoWdAdToIXzjraQlq&#10;7mjnOTNvHfU47ctshNnYzYZwki7WPHI2mrcx71Uigv7VIRK7TDqVHutNjGiUWfa0dmlX/jznrIen&#10;tvk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FwzGunXAQAAsgMAAA4AAAAAAAAAAQAgAAAA&#10;HgEAAGRycy9lMm9Eb2MueG1sUEsFBgAAAAAGAAYAWQEAAGcFAAAAAA==&#10;">
              <v:fill on="f" focussize="0,0"/>
              <v:stroke on="f"/>
              <v:imagedata o:title=""/>
              <o:lock v:ext="edit" aspectratio="f"/>
              <v:textbox inset="0mm,0mm,0mm,0mm" style="mso-fit-shape-to-text:t;">
                <w:txbxContent>
                  <w:p w14:paraId="14304359">
                    <w:pPr>
                      <w:pStyle w:val="19"/>
                      <w:rPr>
                        <w:rStyle w:val="33"/>
                        <w:rFonts w:hint="eastAsia" w:ascii="宋体" w:hAnsi="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17CFD">
    <w:pPr>
      <w:pStyle w:val="19"/>
      <w:ind w:right="360" w:firstLine="36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D18833">
                          <w:pPr>
                            <w:pStyle w:val="19"/>
                          </w:pPr>
                          <w:r>
                            <w:fldChar w:fldCharType="begin"/>
                          </w:r>
                          <w:r>
                            <w:instrText xml:space="preserve"> PAGE  \* MERGEFORMAT </w:instrText>
                          </w:r>
                          <w:r>
                            <w:fldChar w:fldCharType="separate"/>
                          </w:r>
                          <w:r>
                            <w:t>44</w:t>
                          </w:r>
                          <w:r>
                            <w:fldChar w:fldCharType="end"/>
                          </w:r>
                        </w:p>
                      </w:txbxContent>
                    </wps:txbx>
                    <wps:bodyPr vert="horz" wrap="none" lIns="0" tIns="0" rIns="0" bIns="0" anchor="t" anchorCtr="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e58lNcBAACyAwAADgAAAGRycy9lMm9Eb2MueG1srVPBjtMwEL0j8Q+W&#10;7zTZHlZV1HQFW+0KCQHSwge4jtNYsj2WPW1SPgD+gBMX7nxXv4Oxk3RhueyBSzKeGb95b2a8vhms&#10;YUcVogZX86tFyZlyEhrt9jX//Onu1YqziMI1woBTNT+pyG82L1+se1+pJXRgGhUYgbhY9b7mHaKv&#10;iiLKTlkRF+CVo2ALwQqkY9gXTRA9oVtTLMvyuughND6AVDGSdzsG+YQYngMIbaul2oI8WOVwRA3K&#10;CCRJsdM+8k1m27ZK4oe2jQqZqTkpxfylImTv0rfYrEW1D8J3Wk4UxHMoPNFkhXZU9AK1FSjYIeh/&#10;oKyWASK0uJBgi1FI7gipuCqf9OahE15lLdTq6C9Nj/8PVr4/fgxMNzWnsTthaeDn79/OP36df35l&#10;16k9vY8VZT14ysPhDQy0NLM/kjOpHtpg05/0MIpTc0+X5qoBmUyXVsvVqqSQpNh8IPzi8boPEe8V&#10;WJaMmgeaXm6qOL6LOKbOKamagzttTJ6gcX85CDN5isR95JgsHHbDJGgHzYn00DOgOh2EL5z1tAQ1&#10;d7TznJm3jnqc9mU2wmzsZkM4SRdrjpyN5i3mvUpEon99QGKXSafSY72JEY0yy57WLu3Kn+ec9fjU&#10;N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DnufJTXAQAAsgMAAA4AAAAAAAAAAQAgAAAA&#10;HgEAAGRycy9lMm9Eb2MueG1sUEsFBgAAAAAGAAYAWQEAAGcFAAAAAA==&#10;">
              <v:fill on="f" focussize="0,0"/>
              <v:stroke on="f"/>
              <v:imagedata o:title=""/>
              <o:lock v:ext="edit" aspectratio="f"/>
              <v:textbox inset="0mm,0mm,0mm,0mm" style="mso-fit-shape-to-text:t;">
                <w:txbxContent>
                  <w:p w14:paraId="47D18833">
                    <w:pPr>
                      <w:pStyle w:val="19"/>
                    </w:pPr>
                    <w:r>
                      <w:fldChar w:fldCharType="begin"/>
                    </w:r>
                    <w:r>
                      <w:instrText xml:space="preserve"> PAGE  \* MERGEFORMAT </w:instrText>
                    </w:r>
                    <w:r>
                      <w:fldChar w:fldCharType="separate"/>
                    </w:r>
                    <w:r>
                      <w:t>44</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5FDC7A">
                          <w:pPr>
                            <w:pStyle w:val="19"/>
                            <w:rPr>
                              <w:rStyle w:val="33"/>
                              <w:rFonts w:hint="eastAsia" w:ascii="宋体" w:hAnsi="宋体"/>
                              <w:sz w:val="28"/>
                              <w:szCs w:val="28"/>
                            </w:rPr>
                          </w:pPr>
                        </w:p>
                      </w:txbxContent>
                    </wps:txbx>
                    <wps:bodyPr vert="horz" wrap="none" lIns="0" tIns="0" rIns="0" bIns="0" anchor="t" anchorCtr="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iymp9cBAACyAwAADgAAAGRycy9lMm9Eb2MueG1srVPBjtMwEL0j8Q+W&#10;7zTZIq2qqOkKqBYhIUBa9gNcx2ks2R7LnjYpHwB/wIkLd76r38HYSbqwXPbAJRnPjN+8NzNe3wzW&#10;sKMKUYOr+dWi5Ew5CY12+5rff759seIsonCNMOBUzU8q8pvN82fr3ldqCR2YRgVGIC5Wva95h+ir&#10;ooiyU1bEBXjlKNhCsALpGPZFE0RP6NYUy7K8LnoIjQ8gVYzk3Y5BPiGGpwBC22qptiAPVjkcUYMy&#10;AklS7LSPfJPZtq2S+LFto0Jmak5KMX+pCNm79C02a1Htg/CdlhMF8RQKjzRZoR0VvUBtBQp2CPof&#10;KKtlgAgtLiTYYhSSO0IqrspHvbnrhFdZC7U6+kvT4/+DlR+OnwLTTc2vOXPC0sDP37+df/w6//zK&#10;Xqb29D5WlHXnKQ+H1zDQ0sz+SM6kemiDTX/SwyhOzT1dmqsGZDJdWi1Xq5JCkmLzgfCLh+s+RHyr&#10;wLJk1DzQ9HJTxfF9xDF1TknVHNxqY/IEjfvLQZjJUyTuI8dk4bAbJkE7aE6kh54B1ekgfOGspyWo&#10;uaOd58y8c9TjtC+zEWZjNxvCSbpYc+RsNN9g3qtEJPpXByR2mXQqPdabGNEos+xp7dKu/HnOWQ9P&#10;bfM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NospqfXAQAAsgMAAA4AAAAAAAAAAQAgAAAA&#10;HgEAAGRycy9lMm9Eb2MueG1sUEsFBgAAAAAGAAYAWQEAAGcFAAAAAA==&#10;">
              <v:fill on="f" focussize="0,0"/>
              <v:stroke on="f"/>
              <v:imagedata o:title=""/>
              <o:lock v:ext="edit" aspectratio="f"/>
              <v:textbox inset="0mm,0mm,0mm,0mm" style="mso-fit-shape-to-text:t;">
                <w:txbxContent>
                  <w:p w14:paraId="0B5FDC7A">
                    <w:pPr>
                      <w:pStyle w:val="19"/>
                      <w:rPr>
                        <w:rStyle w:val="33"/>
                        <w:rFonts w:hint="eastAsia" w:ascii="宋体" w:hAnsi="宋体"/>
                        <w:sz w:val="28"/>
                        <w:szCs w:val="2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04912">
    <w:pPr>
      <w:pStyle w:val="20"/>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6302C4"/>
    <w:multiLevelType w:val="singleLevel"/>
    <w:tmpl w:val="986302C4"/>
    <w:lvl w:ilvl="0" w:tentative="0">
      <w:start w:val="1"/>
      <w:numFmt w:val="decimal"/>
      <w:suff w:val="nothing"/>
      <w:lvlText w:val="（%1）"/>
      <w:lvlJc w:val="left"/>
      <w:rPr>
        <w:rFonts w:hint="default" w:ascii="Times New Roman" w:hAnsi="Times New Roman" w:eastAsia="宋体" w:cs="Times New Roman"/>
        <w:sz w:val="24"/>
        <w:szCs w:val="24"/>
      </w:rPr>
    </w:lvl>
  </w:abstractNum>
  <w:abstractNum w:abstractNumId="1">
    <w:nsid w:val="BE04EFE0"/>
    <w:multiLevelType w:val="singleLevel"/>
    <w:tmpl w:val="BE04EFE0"/>
    <w:lvl w:ilvl="0" w:tentative="0">
      <w:start w:val="1"/>
      <w:numFmt w:val="bullet"/>
      <w:pStyle w:val="15"/>
      <w:lvlText w:val=""/>
      <w:lvlJc w:val="left"/>
      <w:pPr>
        <w:tabs>
          <w:tab w:val="left" w:pos="2040"/>
        </w:tabs>
        <w:ind w:left="2040" w:hanging="360"/>
      </w:pPr>
      <w:rPr>
        <w:rFonts w:hint="default" w:ascii="Wingdings" w:hAnsi="Wingdings"/>
      </w:rPr>
    </w:lvl>
  </w:abstractNum>
  <w:abstractNum w:abstractNumId="2">
    <w:nsid w:val="7FEB497F"/>
    <w:multiLevelType w:val="singleLevel"/>
    <w:tmpl w:val="7FEB497F"/>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240"/>
  <w:doNotHyphenateCaps/>
  <w:drawingGridVerticalSpacing w:val="156"/>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Y5MjMyOTcwYmU0NjRmNWIzMjk2YThiYzgxOTFkN2EifQ=="/>
  </w:docVars>
  <w:rsids>
    <w:rsidRoot w:val="00A14947"/>
    <w:rsid w:val="000060B3"/>
    <w:rsid w:val="00010DE8"/>
    <w:rsid w:val="0004364B"/>
    <w:rsid w:val="00061B1F"/>
    <w:rsid w:val="000733C4"/>
    <w:rsid w:val="00074783"/>
    <w:rsid w:val="00075A92"/>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1504E"/>
    <w:rsid w:val="00131F42"/>
    <w:rsid w:val="001357F1"/>
    <w:rsid w:val="00140FA8"/>
    <w:rsid w:val="00142FEB"/>
    <w:rsid w:val="00143A2D"/>
    <w:rsid w:val="00145A41"/>
    <w:rsid w:val="00145DD5"/>
    <w:rsid w:val="00151675"/>
    <w:rsid w:val="00157435"/>
    <w:rsid w:val="001608AA"/>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E5247"/>
    <w:rsid w:val="001F0F17"/>
    <w:rsid w:val="001F3347"/>
    <w:rsid w:val="001F69E4"/>
    <w:rsid w:val="002125B4"/>
    <w:rsid w:val="00212DF2"/>
    <w:rsid w:val="002155B8"/>
    <w:rsid w:val="00215ECE"/>
    <w:rsid w:val="00224839"/>
    <w:rsid w:val="002249B2"/>
    <w:rsid w:val="00226574"/>
    <w:rsid w:val="002278EC"/>
    <w:rsid w:val="0023280E"/>
    <w:rsid w:val="002340FC"/>
    <w:rsid w:val="002377D1"/>
    <w:rsid w:val="002506BC"/>
    <w:rsid w:val="00254345"/>
    <w:rsid w:val="00264557"/>
    <w:rsid w:val="002805AB"/>
    <w:rsid w:val="00284204"/>
    <w:rsid w:val="00291773"/>
    <w:rsid w:val="00297394"/>
    <w:rsid w:val="002A168C"/>
    <w:rsid w:val="002A3DC7"/>
    <w:rsid w:val="002B49E2"/>
    <w:rsid w:val="002B7B00"/>
    <w:rsid w:val="002B7C44"/>
    <w:rsid w:val="002C2B17"/>
    <w:rsid w:val="002D3DD0"/>
    <w:rsid w:val="002E1F3A"/>
    <w:rsid w:val="002E298A"/>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5749"/>
    <w:rsid w:val="003F6A8C"/>
    <w:rsid w:val="003F755C"/>
    <w:rsid w:val="00406F01"/>
    <w:rsid w:val="00416D50"/>
    <w:rsid w:val="00416FD5"/>
    <w:rsid w:val="00417772"/>
    <w:rsid w:val="00420E6A"/>
    <w:rsid w:val="00423727"/>
    <w:rsid w:val="00425A9E"/>
    <w:rsid w:val="00426D6B"/>
    <w:rsid w:val="00431E6C"/>
    <w:rsid w:val="00433CE7"/>
    <w:rsid w:val="00452738"/>
    <w:rsid w:val="00456091"/>
    <w:rsid w:val="00466321"/>
    <w:rsid w:val="00484B9B"/>
    <w:rsid w:val="004855F6"/>
    <w:rsid w:val="0048661E"/>
    <w:rsid w:val="00494670"/>
    <w:rsid w:val="004A3823"/>
    <w:rsid w:val="004E6946"/>
    <w:rsid w:val="004F1AD8"/>
    <w:rsid w:val="005008E7"/>
    <w:rsid w:val="00500DAD"/>
    <w:rsid w:val="005039CB"/>
    <w:rsid w:val="0050558F"/>
    <w:rsid w:val="00506286"/>
    <w:rsid w:val="00510813"/>
    <w:rsid w:val="00511990"/>
    <w:rsid w:val="00511DE0"/>
    <w:rsid w:val="00514870"/>
    <w:rsid w:val="00514B9B"/>
    <w:rsid w:val="00517F02"/>
    <w:rsid w:val="00524303"/>
    <w:rsid w:val="005247FF"/>
    <w:rsid w:val="005258A2"/>
    <w:rsid w:val="005401AE"/>
    <w:rsid w:val="00542E07"/>
    <w:rsid w:val="00545424"/>
    <w:rsid w:val="00554A7B"/>
    <w:rsid w:val="0055572C"/>
    <w:rsid w:val="0056106A"/>
    <w:rsid w:val="005720AE"/>
    <w:rsid w:val="00594D77"/>
    <w:rsid w:val="005969E4"/>
    <w:rsid w:val="005A06B7"/>
    <w:rsid w:val="005A1759"/>
    <w:rsid w:val="005A68A7"/>
    <w:rsid w:val="005B02D1"/>
    <w:rsid w:val="005D36AB"/>
    <w:rsid w:val="00617CC3"/>
    <w:rsid w:val="006377A6"/>
    <w:rsid w:val="00637A3D"/>
    <w:rsid w:val="006411EF"/>
    <w:rsid w:val="0064177A"/>
    <w:rsid w:val="00671D95"/>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6C30"/>
    <w:rsid w:val="00706C5D"/>
    <w:rsid w:val="00732922"/>
    <w:rsid w:val="00735132"/>
    <w:rsid w:val="00736CC7"/>
    <w:rsid w:val="0075151B"/>
    <w:rsid w:val="0075162E"/>
    <w:rsid w:val="00754034"/>
    <w:rsid w:val="00756556"/>
    <w:rsid w:val="00757B4D"/>
    <w:rsid w:val="007603C0"/>
    <w:rsid w:val="007618C4"/>
    <w:rsid w:val="00767980"/>
    <w:rsid w:val="00770B19"/>
    <w:rsid w:val="0077300F"/>
    <w:rsid w:val="0077463F"/>
    <w:rsid w:val="00776A9D"/>
    <w:rsid w:val="00780382"/>
    <w:rsid w:val="007836EA"/>
    <w:rsid w:val="00784CDA"/>
    <w:rsid w:val="007906C4"/>
    <w:rsid w:val="007940EA"/>
    <w:rsid w:val="007967E8"/>
    <w:rsid w:val="007A2170"/>
    <w:rsid w:val="007A22BF"/>
    <w:rsid w:val="007A3323"/>
    <w:rsid w:val="007B72B8"/>
    <w:rsid w:val="007B7A58"/>
    <w:rsid w:val="007C21B5"/>
    <w:rsid w:val="007C4685"/>
    <w:rsid w:val="007E4BD2"/>
    <w:rsid w:val="00801393"/>
    <w:rsid w:val="00802F88"/>
    <w:rsid w:val="008110E0"/>
    <w:rsid w:val="0081293E"/>
    <w:rsid w:val="00815465"/>
    <w:rsid w:val="00817E9A"/>
    <w:rsid w:val="008306BD"/>
    <w:rsid w:val="00831A80"/>
    <w:rsid w:val="00833743"/>
    <w:rsid w:val="008340A4"/>
    <w:rsid w:val="00862433"/>
    <w:rsid w:val="0087135F"/>
    <w:rsid w:val="00872D94"/>
    <w:rsid w:val="00875BAA"/>
    <w:rsid w:val="00880364"/>
    <w:rsid w:val="00881A31"/>
    <w:rsid w:val="008835E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1AB0"/>
    <w:rsid w:val="0091736D"/>
    <w:rsid w:val="009216AF"/>
    <w:rsid w:val="0093037A"/>
    <w:rsid w:val="0094154D"/>
    <w:rsid w:val="0094442A"/>
    <w:rsid w:val="0095155F"/>
    <w:rsid w:val="00954429"/>
    <w:rsid w:val="009563CE"/>
    <w:rsid w:val="009714B6"/>
    <w:rsid w:val="00976328"/>
    <w:rsid w:val="0097680D"/>
    <w:rsid w:val="00982438"/>
    <w:rsid w:val="0098404C"/>
    <w:rsid w:val="00985283"/>
    <w:rsid w:val="00994159"/>
    <w:rsid w:val="00995992"/>
    <w:rsid w:val="009A03E5"/>
    <w:rsid w:val="009A0F3B"/>
    <w:rsid w:val="009A1BB4"/>
    <w:rsid w:val="009A2628"/>
    <w:rsid w:val="009A3200"/>
    <w:rsid w:val="009B0897"/>
    <w:rsid w:val="009B7BD9"/>
    <w:rsid w:val="009C7DD5"/>
    <w:rsid w:val="009E0AA2"/>
    <w:rsid w:val="009E0C8E"/>
    <w:rsid w:val="009E227D"/>
    <w:rsid w:val="009E5019"/>
    <w:rsid w:val="00A04F1B"/>
    <w:rsid w:val="00A0501B"/>
    <w:rsid w:val="00A1282A"/>
    <w:rsid w:val="00A14947"/>
    <w:rsid w:val="00A161FE"/>
    <w:rsid w:val="00A24EBD"/>
    <w:rsid w:val="00A32A83"/>
    <w:rsid w:val="00A368DB"/>
    <w:rsid w:val="00A423AA"/>
    <w:rsid w:val="00A53EC6"/>
    <w:rsid w:val="00A55C0F"/>
    <w:rsid w:val="00A8713F"/>
    <w:rsid w:val="00A90BA1"/>
    <w:rsid w:val="00A97A9A"/>
    <w:rsid w:val="00AA0671"/>
    <w:rsid w:val="00AA2531"/>
    <w:rsid w:val="00AB1E09"/>
    <w:rsid w:val="00AB5330"/>
    <w:rsid w:val="00AB7747"/>
    <w:rsid w:val="00AC14CE"/>
    <w:rsid w:val="00AC2A56"/>
    <w:rsid w:val="00AD055E"/>
    <w:rsid w:val="00AD17BA"/>
    <w:rsid w:val="00AD47A7"/>
    <w:rsid w:val="00AF0CBF"/>
    <w:rsid w:val="00AF23DB"/>
    <w:rsid w:val="00AF257F"/>
    <w:rsid w:val="00AF33CF"/>
    <w:rsid w:val="00AF4D50"/>
    <w:rsid w:val="00AF6179"/>
    <w:rsid w:val="00AF67FA"/>
    <w:rsid w:val="00B1295A"/>
    <w:rsid w:val="00B20A45"/>
    <w:rsid w:val="00B22C5C"/>
    <w:rsid w:val="00B24F30"/>
    <w:rsid w:val="00B264F2"/>
    <w:rsid w:val="00B31ABF"/>
    <w:rsid w:val="00B33BE3"/>
    <w:rsid w:val="00B53B5D"/>
    <w:rsid w:val="00B6055E"/>
    <w:rsid w:val="00B62034"/>
    <w:rsid w:val="00B6317D"/>
    <w:rsid w:val="00B71CAE"/>
    <w:rsid w:val="00B7723F"/>
    <w:rsid w:val="00B80534"/>
    <w:rsid w:val="00B8433C"/>
    <w:rsid w:val="00B87491"/>
    <w:rsid w:val="00B90BC1"/>
    <w:rsid w:val="00B91289"/>
    <w:rsid w:val="00BA29E9"/>
    <w:rsid w:val="00BA7142"/>
    <w:rsid w:val="00BB237C"/>
    <w:rsid w:val="00BB41A3"/>
    <w:rsid w:val="00BC32DC"/>
    <w:rsid w:val="00BC3466"/>
    <w:rsid w:val="00BC35B6"/>
    <w:rsid w:val="00BD1B51"/>
    <w:rsid w:val="00BD4596"/>
    <w:rsid w:val="00BE1405"/>
    <w:rsid w:val="00BE22E1"/>
    <w:rsid w:val="00BE312D"/>
    <w:rsid w:val="00BE5FFB"/>
    <w:rsid w:val="00BE6C0B"/>
    <w:rsid w:val="00BF1C20"/>
    <w:rsid w:val="00C10578"/>
    <w:rsid w:val="00C135BC"/>
    <w:rsid w:val="00C15C95"/>
    <w:rsid w:val="00C2596A"/>
    <w:rsid w:val="00C27537"/>
    <w:rsid w:val="00C328FE"/>
    <w:rsid w:val="00C33507"/>
    <w:rsid w:val="00C4409D"/>
    <w:rsid w:val="00C44E72"/>
    <w:rsid w:val="00C45A06"/>
    <w:rsid w:val="00C47E5B"/>
    <w:rsid w:val="00C56E96"/>
    <w:rsid w:val="00C61E4B"/>
    <w:rsid w:val="00C64BFF"/>
    <w:rsid w:val="00C704E9"/>
    <w:rsid w:val="00C763C9"/>
    <w:rsid w:val="00C80057"/>
    <w:rsid w:val="00C82232"/>
    <w:rsid w:val="00C82913"/>
    <w:rsid w:val="00C972B1"/>
    <w:rsid w:val="00CA2CCE"/>
    <w:rsid w:val="00CA43FD"/>
    <w:rsid w:val="00CA64CD"/>
    <w:rsid w:val="00CA7EF8"/>
    <w:rsid w:val="00CC489B"/>
    <w:rsid w:val="00CD2BCD"/>
    <w:rsid w:val="00CD3A4C"/>
    <w:rsid w:val="00CE10E9"/>
    <w:rsid w:val="00CE2910"/>
    <w:rsid w:val="00CE5393"/>
    <w:rsid w:val="00CF36BE"/>
    <w:rsid w:val="00CF6000"/>
    <w:rsid w:val="00D003F3"/>
    <w:rsid w:val="00D00F12"/>
    <w:rsid w:val="00D0364F"/>
    <w:rsid w:val="00D06834"/>
    <w:rsid w:val="00D24F90"/>
    <w:rsid w:val="00D26F4E"/>
    <w:rsid w:val="00D308ED"/>
    <w:rsid w:val="00D35376"/>
    <w:rsid w:val="00D36D86"/>
    <w:rsid w:val="00D428AA"/>
    <w:rsid w:val="00D50A34"/>
    <w:rsid w:val="00D53EFA"/>
    <w:rsid w:val="00D77888"/>
    <w:rsid w:val="00D93CB4"/>
    <w:rsid w:val="00D94A7C"/>
    <w:rsid w:val="00D95896"/>
    <w:rsid w:val="00DA019E"/>
    <w:rsid w:val="00DB2983"/>
    <w:rsid w:val="00DC1257"/>
    <w:rsid w:val="00DC3DC0"/>
    <w:rsid w:val="00DC5B2B"/>
    <w:rsid w:val="00DD318D"/>
    <w:rsid w:val="00DE6D06"/>
    <w:rsid w:val="00DF2E12"/>
    <w:rsid w:val="00DF514A"/>
    <w:rsid w:val="00DF6690"/>
    <w:rsid w:val="00DF6804"/>
    <w:rsid w:val="00E0358D"/>
    <w:rsid w:val="00E04323"/>
    <w:rsid w:val="00E070A2"/>
    <w:rsid w:val="00E10FFF"/>
    <w:rsid w:val="00E2656A"/>
    <w:rsid w:val="00E412D0"/>
    <w:rsid w:val="00E56322"/>
    <w:rsid w:val="00E60982"/>
    <w:rsid w:val="00E62C62"/>
    <w:rsid w:val="00E654C1"/>
    <w:rsid w:val="00E65D97"/>
    <w:rsid w:val="00E72A5A"/>
    <w:rsid w:val="00E73354"/>
    <w:rsid w:val="00E9242D"/>
    <w:rsid w:val="00E9324E"/>
    <w:rsid w:val="00EA560A"/>
    <w:rsid w:val="00EB5255"/>
    <w:rsid w:val="00EB58F7"/>
    <w:rsid w:val="00EB5C47"/>
    <w:rsid w:val="00EC418B"/>
    <w:rsid w:val="00ED0639"/>
    <w:rsid w:val="00EF4755"/>
    <w:rsid w:val="00EF7135"/>
    <w:rsid w:val="00F027DB"/>
    <w:rsid w:val="00F11B0E"/>
    <w:rsid w:val="00F14A7A"/>
    <w:rsid w:val="00F22985"/>
    <w:rsid w:val="00F3383E"/>
    <w:rsid w:val="00F441D8"/>
    <w:rsid w:val="00F44315"/>
    <w:rsid w:val="00F465A7"/>
    <w:rsid w:val="00F50B7C"/>
    <w:rsid w:val="00F550E6"/>
    <w:rsid w:val="00F73366"/>
    <w:rsid w:val="00F74345"/>
    <w:rsid w:val="00F80A0A"/>
    <w:rsid w:val="00F82B19"/>
    <w:rsid w:val="00F9212D"/>
    <w:rsid w:val="00F965DA"/>
    <w:rsid w:val="00FA406A"/>
    <w:rsid w:val="00FB503A"/>
    <w:rsid w:val="00FB516C"/>
    <w:rsid w:val="00FC7758"/>
    <w:rsid w:val="00FD0236"/>
    <w:rsid w:val="00FD18F4"/>
    <w:rsid w:val="00FD5396"/>
    <w:rsid w:val="00FD54DB"/>
    <w:rsid w:val="00FD619F"/>
    <w:rsid w:val="01290F7E"/>
    <w:rsid w:val="01373BCF"/>
    <w:rsid w:val="015D1E09"/>
    <w:rsid w:val="016D414A"/>
    <w:rsid w:val="01CC64D9"/>
    <w:rsid w:val="024F550A"/>
    <w:rsid w:val="02697903"/>
    <w:rsid w:val="02F95D99"/>
    <w:rsid w:val="02F96569"/>
    <w:rsid w:val="02FB6D1E"/>
    <w:rsid w:val="03107EDB"/>
    <w:rsid w:val="033E6F2F"/>
    <w:rsid w:val="03B828E3"/>
    <w:rsid w:val="03EA7B21"/>
    <w:rsid w:val="04667A2B"/>
    <w:rsid w:val="04741CC5"/>
    <w:rsid w:val="04924CD9"/>
    <w:rsid w:val="052D4EEB"/>
    <w:rsid w:val="0566542F"/>
    <w:rsid w:val="05A24DDF"/>
    <w:rsid w:val="05BE36B7"/>
    <w:rsid w:val="05F83EAE"/>
    <w:rsid w:val="06230CB3"/>
    <w:rsid w:val="063E7D85"/>
    <w:rsid w:val="06727AE7"/>
    <w:rsid w:val="06E6773D"/>
    <w:rsid w:val="06FC60DA"/>
    <w:rsid w:val="07293586"/>
    <w:rsid w:val="07295285"/>
    <w:rsid w:val="07636392"/>
    <w:rsid w:val="07770C56"/>
    <w:rsid w:val="08413EFA"/>
    <w:rsid w:val="08B8335F"/>
    <w:rsid w:val="092217DD"/>
    <w:rsid w:val="093A7294"/>
    <w:rsid w:val="0A090FD6"/>
    <w:rsid w:val="0A263993"/>
    <w:rsid w:val="0A2D3AC2"/>
    <w:rsid w:val="0A464EA8"/>
    <w:rsid w:val="0A803197"/>
    <w:rsid w:val="0AA755DF"/>
    <w:rsid w:val="0B120D44"/>
    <w:rsid w:val="0B410C9E"/>
    <w:rsid w:val="0B6E1DBA"/>
    <w:rsid w:val="0BD27BF6"/>
    <w:rsid w:val="0C0A7D34"/>
    <w:rsid w:val="0C2B6A2E"/>
    <w:rsid w:val="0C3B3C7D"/>
    <w:rsid w:val="0C704602"/>
    <w:rsid w:val="0CAB2EAE"/>
    <w:rsid w:val="0D2872A2"/>
    <w:rsid w:val="0D621C7D"/>
    <w:rsid w:val="0D6439EC"/>
    <w:rsid w:val="0DAA0FFC"/>
    <w:rsid w:val="0E146C48"/>
    <w:rsid w:val="0E1A32CC"/>
    <w:rsid w:val="0E5E6DE0"/>
    <w:rsid w:val="0E6259EA"/>
    <w:rsid w:val="0E6E3E08"/>
    <w:rsid w:val="0E73034D"/>
    <w:rsid w:val="0EBC4955"/>
    <w:rsid w:val="0F13775A"/>
    <w:rsid w:val="0F5F45FE"/>
    <w:rsid w:val="0F72542B"/>
    <w:rsid w:val="0F9A112B"/>
    <w:rsid w:val="101A54F6"/>
    <w:rsid w:val="102E0B5A"/>
    <w:rsid w:val="10460165"/>
    <w:rsid w:val="106D2F64"/>
    <w:rsid w:val="108E30F0"/>
    <w:rsid w:val="10B63710"/>
    <w:rsid w:val="10F10820"/>
    <w:rsid w:val="1119589E"/>
    <w:rsid w:val="111C2F7A"/>
    <w:rsid w:val="113F529C"/>
    <w:rsid w:val="11665CA1"/>
    <w:rsid w:val="13075052"/>
    <w:rsid w:val="131E2317"/>
    <w:rsid w:val="13431F3F"/>
    <w:rsid w:val="13440644"/>
    <w:rsid w:val="136A4DDA"/>
    <w:rsid w:val="13951726"/>
    <w:rsid w:val="13B02A8C"/>
    <w:rsid w:val="14396509"/>
    <w:rsid w:val="143B65FA"/>
    <w:rsid w:val="14776E42"/>
    <w:rsid w:val="14DD2C3C"/>
    <w:rsid w:val="153A3168"/>
    <w:rsid w:val="15621226"/>
    <w:rsid w:val="15A045F7"/>
    <w:rsid w:val="15B76FEC"/>
    <w:rsid w:val="15D1058E"/>
    <w:rsid w:val="16087E1D"/>
    <w:rsid w:val="167E2837"/>
    <w:rsid w:val="16FF3F74"/>
    <w:rsid w:val="17701D14"/>
    <w:rsid w:val="17735226"/>
    <w:rsid w:val="17EF4B9B"/>
    <w:rsid w:val="18033785"/>
    <w:rsid w:val="189F624C"/>
    <w:rsid w:val="18E13D9F"/>
    <w:rsid w:val="18E21ABB"/>
    <w:rsid w:val="18E42AC2"/>
    <w:rsid w:val="19B5163C"/>
    <w:rsid w:val="19D315A2"/>
    <w:rsid w:val="19F40762"/>
    <w:rsid w:val="1A137E46"/>
    <w:rsid w:val="1A1C66C0"/>
    <w:rsid w:val="1A42393B"/>
    <w:rsid w:val="1A445A0A"/>
    <w:rsid w:val="1AAD45DE"/>
    <w:rsid w:val="1AE53EF7"/>
    <w:rsid w:val="1AF4170D"/>
    <w:rsid w:val="1B046F80"/>
    <w:rsid w:val="1B3267B5"/>
    <w:rsid w:val="1B40161D"/>
    <w:rsid w:val="1B441859"/>
    <w:rsid w:val="1B6606B1"/>
    <w:rsid w:val="1B9F213C"/>
    <w:rsid w:val="1BA535D6"/>
    <w:rsid w:val="1BBC7132"/>
    <w:rsid w:val="1BF9208F"/>
    <w:rsid w:val="1C3E3668"/>
    <w:rsid w:val="1C5E7925"/>
    <w:rsid w:val="1C655FC8"/>
    <w:rsid w:val="1CFD070F"/>
    <w:rsid w:val="1D011A95"/>
    <w:rsid w:val="1D5630E4"/>
    <w:rsid w:val="1D5F6196"/>
    <w:rsid w:val="1D6132A5"/>
    <w:rsid w:val="1D8E56D5"/>
    <w:rsid w:val="1DA70108"/>
    <w:rsid w:val="1DAF767D"/>
    <w:rsid w:val="1DD76877"/>
    <w:rsid w:val="1E1B11C2"/>
    <w:rsid w:val="1E255A2C"/>
    <w:rsid w:val="1E29229C"/>
    <w:rsid w:val="1E3663F2"/>
    <w:rsid w:val="1E3F4D99"/>
    <w:rsid w:val="1E4C3A00"/>
    <w:rsid w:val="1E7A43DA"/>
    <w:rsid w:val="1EA05A97"/>
    <w:rsid w:val="1F75623E"/>
    <w:rsid w:val="1F7E581C"/>
    <w:rsid w:val="1FE7539E"/>
    <w:rsid w:val="203344DD"/>
    <w:rsid w:val="204B5623"/>
    <w:rsid w:val="20671BE0"/>
    <w:rsid w:val="207B4A9D"/>
    <w:rsid w:val="20960B30"/>
    <w:rsid w:val="20963CB8"/>
    <w:rsid w:val="20A81A1B"/>
    <w:rsid w:val="20B07FB6"/>
    <w:rsid w:val="20B646FB"/>
    <w:rsid w:val="213B74B1"/>
    <w:rsid w:val="215961C1"/>
    <w:rsid w:val="215A2310"/>
    <w:rsid w:val="216E552B"/>
    <w:rsid w:val="21DE318A"/>
    <w:rsid w:val="21EF5B80"/>
    <w:rsid w:val="22576990"/>
    <w:rsid w:val="228468E6"/>
    <w:rsid w:val="22970DC5"/>
    <w:rsid w:val="22F47480"/>
    <w:rsid w:val="23337EA3"/>
    <w:rsid w:val="23617369"/>
    <w:rsid w:val="2367514F"/>
    <w:rsid w:val="23715930"/>
    <w:rsid w:val="23775858"/>
    <w:rsid w:val="23A012E0"/>
    <w:rsid w:val="23DE1C48"/>
    <w:rsid w:val="240210CD"/>
    <w:rsid w:val="240E2574"/>
    <w:rsid w:val="243414E1"/>
    <w:rsid w:val="24977A47"/>
    <w:rsid w:val="24BF09F7"/>
    <w:rsid w:val="24E07795"/>
    <w:rsid w:val="252D53FE"/>
    <w:rsid w:val="25BE49F7"/>
    <w:rsid w:val="25EC2D81"/>
    <w:rsid w:val="26215016"/>
    <w:rsid w:val="2638618C"/>
    <w:rsid w:val="26BD0B79"/>
    <w:rsid w:val="271E0C57"/>
    <w:rsid w:val="277057A2"/>
    <w:rsid w:val="27875CC4"/>
    <w:rsid w:val="27DA19EC"/>
    <w:rsid w:val="283232A5"/>
    <w:rsid w:val="29206EB8"/>
    <w:rsid w:val="29595666"/>
    <w:rsid w:val="297D1491"/>
    <w:rsid w:val="29820027"/>
    <w:rsid w:val="29874881"/>
    <w:rsid w:val="298A1025"/>
    <w:rsid w:val="29BE2B2F"/>
    <w:rsid w:val="29DD2495"/>
    <w:rsid w:val="29E325E0"/>
    <w:rsid w:val="29FC169C"/>
    <w:rsid w:val="2A0853EE"/>
    <w:rsid w:val="2A1F1435"/>
    <w:rsid w:val="2A452503"/>
    <w:rsid w:val="2A690862"/>
    <w:rsid w:val="2ACC4A59"/>
    <w:rsid w:val="2B847416"/>
    <w:rsid w:val="2B941EC0"/>
    <w:rsid w:val="2B982729"/>
    <w:rsid w:val="2BA936A8"/>
    <w:rsid w:val="2C1E34F1"/>
    <w:rsid w:val="2C315A5A"/>
    <w:rsid w:val="2C4B1C25"/>
    <w:rsid w:val="2CA6057B"/>
    <w:rsid w:val="2CAE7C89"/>
    <w:rsid w:val="2CC56DE4"/>
    <w:rsid w:val="2CC65CD5"/>
    <w:rsid w:val="2D9E56F5"/>
    <w:rsid w:val="2DF5394F"/>
    <w:rsid w:val="2E667F96"/>
    <w:rsid w:val="2E8226AB"/>
    <w:rsid w:val="2E9611C2"/>
    <w:rsid w:val="2EA241E4"/>
    <w:rsid w:val="2EB8653D"/>
    <w:rsid w:val="2FD065E6"/>
    <w:rsid w:val="2FD96870"/>
    <w:rsid w:val="302A1C88"/>
    <w:rsid w:val="30410003"/>
    <w:rsid w:val="30580BC9"/>
    <w:rsid w:val="30BE068A"/>
    <w:rsid w:val="3104461F"/>
    <w:rsid w:val="311E2ED7"/>
    <w:rsid w:val="314F3769"/>
    <w:rsid w:val="315619EE"/>
    <w:rsid w:val="315C449C"/>
    <w:rsid w:val="315E3646"/>
    <w:rsid w:val="31B82709"/>
    <w:rsid w:val="31D05482"/>
    <w:rsid w:val="32050658"/>
    <w:rsid w:val="32131AED"/>
    <w:rsid w:val="3219186F"/>
    <w:rsid w:val="32400B34"/>
    <w:rsid w:val="325E0B71"/>
    <w:rsid w:val="329E6876"/>
    <w:rsid w:val="333015F2"/>
    <w:rsid w:val="334B6320"/>
    <w:rsid w:val="33D934D4"/>
    <w:rsid w:val="33FE2F6A"/>
    <w:rsid w:val="34086518"/>
    <w:rsid w:val="340E07E5"/>
    <w:rsid w:val="34235BF7"/>
    <w:rsid w:val="34281B22"/>
    <w:rsid w:val="347309F0"/>
    <w:rsid w:val="34BF705E"/>
    <w:rsid w:val="350C5088"/>
    <w:rsid w:val="35321FAF"/>
    <w:rsid w:val="354639B3"/>
    <w:rsid w:val="354D1E2D"/>
    <w:rsid w:val="358C5FA8"/>
    <w:rsid w:val="35AE42F8"/>
    <w:rsid w:val="35C15DF1"/>
    <w:rsid w:val="36074A7F"/>
    <w:rsid w:val="36393609"/>
    <w:rsid w:val="366C742B"/>
    <w:rsid w:val="36923549"/>
    <w:rsid w:val="36A95752"/>
    <w:rsid w:val="36B75FBF"/>
    <w:rsid w:val="36BD0C45"/>
    <w:rsid w:val="36DF3460"/>
    <w:rsid w:val="37E00298"/>
    <w:rsid w:val="38072FC9"/>
    <w:rsid w:val="38475EC5"/>
    <w:rsid w:val="388900DE"/>
    <w:rsid w:val="38B302F9"/>
    <w:rsid w:val="38F12CD3"/>
    <w:rsid w:val="38F179B3"/>
    <w:rsid w:val="38F94775"/>
    <w:rsid w:val="39135BBA"/>
    <w:rsid w:val="391F13BC"/>
    <w:rsid w:val="392971ED"/>
    <w:rsid w:val="39325651"/>
    <w:rsid w:val="39711D75"/>
    <w:rsid w:val="397B7831"/>
    <w:rsid w:val="39866D0F"/>
    <w:rsid w:val="3A872856"/>
    <w:rsid w:val="3A97068C"/>
    <w:rsid w:val="3B3763D1"/>
    <w:rsid w:val="3B8B0FCD"/>
    <w:rsid w:val="3BAC271A"/>
    <w:rsid w:val="3BC3326D"/>
    <w:rsid w:val="3BFA48CC"/>
    <w:rsid w:val="3BFA5FE0"/>
    <w:rsid w:val="3C1D682F"/>
    <w:rsid w:val="3C2F6E1E"/>
    <w:rsid w:val="3C4F64BA"/>
    <w:rsid w:val="3C653E1C"/>
    <w:rsid w:val="3C7E6A0C"/>
    <w:rsid w:val="3CDA245A"/>
    <w:rsid w:val="3D1E06B7"/>
    <w:rsid w:val="3D2B609B"/>
    <w:rsid w:val="3E337B2A"/>
    <w:rsid w:val="3E344619"/>
    <w:rsid w:val="3E4E3201"/>
    <w:rsid w:val="3EDA0523"/>
    <w:rsid w:val="3EE67F87"/>
    <w:rsid w:val="3EEB4F86"/>
    <w:rsid w:val="3F485DF7"/>
    <w:rsid w:val="3F62320B"/>
    <w:rsid w:val="3F926457"/>
    <w:rsid w:val="407A1061"/>
    <w:rsid w:val="407A6407"/>
    <w:rsid w:val="40BA44CE"/>
    <w:rsid w:val="40D000DB"/>
    <w:rsid w:val="40D85B3D"/>
    <w:rsid w:val="41782A6F"/>
    <w:rsid w:val="418C09AF"/>
    <w:rsid w:val="41ED3195"/>
    <w:rsid w:val="4200449D"/>
    <w:rsid w:val="423A3BCC"/>
    <w:rsid w:val="424E57D2"/>
    <w:rsid w:val="42B26C49"/>
    <w:rsid w:val="42BF1683"/>
    <w:rsid w:val="42E73D13"/>
    <w:rsid w:val="432B29DA"/>
    <w:rsid w:val="43341F26"/>
    <w:rsid w:val="43392634"/>
    <w:rsid w:val="433A6FE6"/>
    <w:rsid w:val="43480868"/>
    <w:rsid w:val="4350713C"/>
    <w:rsid w:val="436001D4"/>
    <w:rsid w:val="436653E0"/>
    <w:rsid w:val="437C3CB6"/>
    <w:rsid w:val="43C4431A"/>
    <w:rsid w:val="43CC7E32"/>
    <w:rsid w:val="440351A8"/>
    <w:rsid w:val="442A5CEF"/>
    <w:rsid w:val="44487FB4"/>
    <w:rsid w:val="447B5570"/>
    <w:rsid w:val="44B951CC"/>
    <w:rsid w:val="44CD14E0"/>
    <w:rsid w:val="44DE0939"/>
    <w:rsid w:val="44F20B0B"/>
    <w:rsid w:val="451008ED"/>
    <w:rsid w:val="452847AC"/>
    <w:rsid w:val="452E5F4C"/>
    <w:rsid w:val="45486A8F"/>
    <w:rsid w:val="45612018"/>
    <w:rsid w:val="45715A81"/>
    <w:rsid w:val="458946E9"/>
    <w:rsid w:val="45A47C0E"/>
    <w:rsid w:val="45B2553E"/>
    <w:rsid w:val="45EA49A6"/>
    <w:rsid w:val="4606397B"/>
    <w:rsid w:val="46096429"/>
    <w:rsid w:val="46577FD6"/>
    <w:rsid w:val="46AA5E91"/>
    <w:rsid w:val="46AB7443"/>
    <w:rsid w:val="46D955A7"/>
    <w:rsid w:val="47133957"/>
    <w:rsid w:val="47812EFD"/>
    <w:rsid w:val="47A07E0C"/>
    <w:rsid w:val="48195F66"/>
    <w:rsid w:val="4869579D"/>
    <w:rsid w:val="4870272E"/>
    <w:rsid w:val="488C32A4"/>
    <w:rsid w:val="48903604"/>
    <w:rsid w:val="4905425A"/>
    <w:rsid w:val="491B7088"/>
    <w:rsid w:val="495F1A6B"/>
    <w:rsid w:val="49AD3F5A"/>
    <w:rsid w:val="49DC7715"/>
    <w:rsid w:val="4A023139"/>
    <w:rsid w:val="4A1E2784"/>
    <w:rsid w:val="4A3579D0"/>
    <w:rsid w:val="4A6317A4"/>
    <w:rsid w:val="4A7B576F"/>
    <w:rsid w:val="4AE513BF"/>
    <w:rsid w:val="4AF561A9"/>
    <w:rsid w:val="4B0072DB"/>
    <w:rsid w:val="4B881CFC"/>
    <w:rsid w:val="4BB444F7"/>
    <w:rsid w:val="4C4A0649"/>
    <w:rsid w:val="4C605FD4"/>
    <w:rsid w:val="4C7E5ECA"/>
    <w:rsid w:val="4C876AA5"/>
    <w:rsid w:val="4CC552CC"/>
    <w:rsid w:val="4CED69A2"/>
    <w:rsid w:val="4CFB758B"/>
    <w:rsid w:val="4D0E00FB"/>
    <w:rsid w:val="4D176606"/>
    <w:rsid w:val="4D3576E2"/>
    <w:rsid w:val="4D3F580C"/>
    <w:rsid w:val="4DEC4FB0"/>
    <w:rsid w:val="4E075D8A"/>
    <w:rsid w:val="4E7874D7"/>
    <w:rsid w:val="4E9B7D6C"/>
    <w:rsid w:val="4EC00FAD"/>
    <w:rsid w:val="4F3E40DA"/>
    <w:rsid w:val="4F9843DC"/>
    <w:rsid w:val="4FC62A8C"/>
    <w:rsid w:val="4FCA1D4B"/>
    <w:rsid w:val="4FE20F0D"/>
    <w:rsid w:val="4FE51552"/>
    <w:rsid w:val="502B5150"/>
    <w:rsid w:val="50504C4B"/>
    <w:rsid w:val="509C6E7C"/>
    <w:rsid w:val="509D7EE0"/>
    <w:rsid w:val="50E41FDB"/>
    <w:rsid w:val="51452242"/>
    <w:rsid w:val="5162104E"/>
    <w:rsid w:val="516E07A0"/>
    <w:rsid w:val="51866F47"/>
    <w:rsid w:val="51BB6BC4"/>
    <w:rsid w:val="51C8269D"/>
    <w:rsid w:val="52D715BF"/>
    <w:rsid w:val="53296AF0"/>
    <w:rsid w:val="536F0699"/>
    <w:rsid w:val="53A039CC"/>
    <w:rsid w:val="53A1505A"/>
    <w:rsid w:val="53A63EB0"/>
    <w:rsid w:val="53AA0A87"/>
    <w:rsid w:val="53B96671"/>
    <w:rsid w:val="54063E08"/>
    <w:rsid w:val="543437E8"/>
    <w:rsid w:val="54E57FC4"/>
    <w:rsid w:val="54F73313"/>
    <w:rsid w:val="54F80955"/>
    <w:rsid w:val="55106B84"/>
    <w:rsid w:val="555170A7"/>
    <w:rsid w:val="5587536D"/>
    <w:rsid w:val="559B174B"/>
    <w:rsid w:val="55AB71E2"/>
    <w:rsid w:val="55CE0CF4"/>
    <w:rsid w:val="55FB6735"/>
    <w:rsid w:val="569150BF"/>
    <w:rsid w:val="56A43309"/>
    <w:rsid w:val="56B22A9C"/>
    <w:rsid w:val="56DA167E"/>
    <w:rsid w:val="56FB68BD"/>
    <w:rsid w:val="57136C40"/>
    <w:rsid w:val="57793F65"/>
    <w:rsid w:val="57A43D75"/>
    <w:rsid w:val="57B72A76"/>
    <w:rsid w:val="57C3426C"/>
    <w:rsid w:val="57CE1F93"/>
    <w:rsid w:val="57DC0BDC"/>
    <w:rsid w:val="581744ED"/>
    <w:rsid w:val="58341895"/>
    <w:rsid w:val="588743D1"/>
    <w:rsid w:val="5887701A"/>
    <w:rsid w:val="591308C9"/>
    <w:rsid w:val="5984504A"/>
    <w:rsid w:val="59C0439F"/>
    <w:rsid w:val="5A1F3E12"/>
    <w:rsid w:val="5ABE2233"/>
    <w:rsid w:val="5AFB7F9B"/>
    <w:rsid w:val="5B5F4B3A"/>
    <w:rsid w:val="5B7E39C1"/>
    <w:rsid w:val="5B9147BD"/>
    <w:rsid w:val="5B97644E"/>
    <w:rsid w:val="5BDF5D95"/>
    <w:rsid w:val="5BF775B7"/>
    <w:rsid w:val="5BF77E33"/>
    <w:rsid w:val="5BFE7528"/>
    <w:rsid w:val="5D037D89"/>
    <w:rsid w:val="5D486DBE"/>
    <w:rsid w:val="5D7E25BA"/>
    <w:rsid w:val="5DA72C52"/>
    <w:rsid w:val="5DB07280"/>
    <w:rsid w:val="5E2467F1"/>
    <w:rsid w:val="5EA2166E"/>
    <w:rsid w:val="5ECC14C4"/>
    <w:rsid w:val="5F1A2B43"/>
    <w:rsid w:val="5F8B486C"/>
    <w:rsid w:val="5FB837BB"/>
    <w:rsid w:val="5FF04E35"/>
    <w:rsid w:val="600932A0"/>
    <w:rsid w:val="609B1E7E"/>
    <w:rsid w:val="60B01C16"/>
    <w:rsid w:val="60C81AC4"/>
    <w:rsid w:val="60CC405A"/>
    <w:rsid w:val="60D151F4"/>
    <w:rsid w:val="617A5F38"/>
    <w:rsid w:val="61E215D8"/>
    <w:rsid w:val="61EF57F2"/>
    <w:rsid w:val="621B3775"/>
    <w:rsid w:val="62364782"/>
    <w:rsid w:val="625343FE"/>
    <w:rsid w:val="62CC5E45"/>
    <w:rsid w:val="62E1331E"/>
    <w:rsid w:val="62F053B9"/>
    <w:rsid w:val="633D20F1"/>
    <w:rsid w:val="6394356A"/>
    <w:rsid w:val="63C61B2C"/>
    <w:rsid w:val="63D40BE9"/>
    <w:rsid w:val="64102431"/>
    <w:rsid w:val="6467524F"/>
    <w:rsid w:val="64A5243A"/>
    <w:rsid w:val="64F531DE"/>
    <w:rsid w:val="65373578"/>
    <w:rsid w:val="657607C4"/>
    <w:rsid w:val="65C856B1"/>
    <w:rsid w:val="65EF7EAF"/>
    <w:rsid w:val="66296AAB"/>
    <w:rsid w:val="66EE6144"/>
    <w:rsid w:val="671F124A"/>
    <w:rsid w:val="67491819"/>
    <w:rsid w:val="67505EC7"/>
    <w:rsid w:val="677A33C6"/>
    <w:rsid w:val="67987117"/>
    <w:rsid w:val="67CC700E"/>
    <w:rsid w:val="67F14B8D"/>
    <w:rsid w:val="67F674EC"/>
    <w:rsid w:val="681F6961"/>
    <w:rsid w:val="68610A2F"/>
    <w:rsid w:val="68805514"/>
    <w:rsid w:val="68D42120"/>
    <w:rsid w:val="68F87646"/>
    <w:rsid w:val="69316E2F"/>
    <w:rsid w:val="69396034"/>
    <w:rsid w:val="694E2071"/>
    <w:rsid w:val="69766163"/>
    <w:rsid w:val="697A3B33"/>
    <w:rsid w:val="698F05E7"/>
    <w:rsid w:val="69D44760"/>
    <w:rsid w:val="6A2729DF"/>
    <w:rsid w:val="6A520EC7"/>
    <w:rsid w:val="6A64599A"/>
    <w:rsid w:val="6A812A7F"/>
    <w:rsid w:val="6AF87E20"/>
    <w:rsid w:val="6B0577FC"/>
    <w:rsid w:val="6B322639"/>
    <w:rsid w:val="6B6E2254"/>
    <w:rsid w:val="6BA91925"/>
    <w:rsid w:val="6BD20D5A"/>
    <w:rsid w:val="6C02379C"/>
    <w:rsid w:val="6C4042F3"/>
    <w:rsid w:val="6C432ECA"/>
    <w:rsid w:val="6C4E6C5B"/>
    <w:rsid w:val="6C636C38"/>
    <w:rsid w:val="6CC50D3A"/>
    <w:rsid w:val="6CFD4C04"/>
    <w:rsid w:val="6D1E350D"/>
    <w:rsid w:val="6D737D11"/>
    <w:rsid w:val="6DA01AA1"/>
    <w:rsid w:val="6DB34098"/>
    <w:rsid w:val="6DB545B6"/>
    <w:rsid w:val="6DE02FB4"/>
    <w:rsid w:val="6DFF4C7E"/>
    <w:rsid w:val="6E344FE3"/>
    <w:rsid w:val="6E514CED"/>
    <w:rsid w:val="6EB563D5"/>
    <w:rsid w:val="6ED92677"/>
    <w:rsid w:val="6EF5644E"/>
    <w:rsid w:val="6F210F03"/>
    <w:rsid w:val="6F225983"/>
    <w:rsid w:val="6F2D7E51"/>
    <w:rsid w:val="6F9C3B1E"/>
    <w:rsid w:val="6FDF7A5F"/>
    <w:rsid w:val="6FFC5590"/>
    <w:rsid w:val="706D1DD0"/>
    <w:rsid w:val="70856B87"/>
    <w:rsid w:val="70D527EE"/>
    <w:rsid w:val="710D0055"/>
    <w:rsid w:val="71364657"/>
    <w:rsid w:val="715B5300"/>
    <w:rsid w:val="715F55AE"/>
    <w:rsid w:val="71684A76"/>
    <w:rsid w:val="71A86AE1"/>
    <w:rsid w:val="71C932C3"/>
    <w:rsid w:val="71D27F8A"/>
    <w:rsid w:val="71D32C5D"/>
    <w:rsid w:val="720974AC"/>
    <w:rsid w:val="72553024"/>
    <w:rsid w:val="72773F21"/>
    <w:rsid w:val="72A52C75"/>
    <w:rsid w:val="72BA6AFD"/>
    <w:rsid w:val="73122968"/>
    <w:rsid w:val="731F5D5E"/>
    <w:rsid w:val="73256914"/>
    <w:rsid w:val="739B2D5C"/>
    <w:rsid w:val="73A27AC4"/>
    <w:rsid w:val="73C51AD5"/>
    <w:rsid w:val="73F960C8"/>
    <w:rsid w:val="741933D7"/>
    <w:rsid w:val="741A54D3"/>
    <w:rsid w:val="741E793C"/>
    <w:rsid w:val="745E3944"/>
    <w:rsid w:val="74C458D0"/>
    <w:rsid w:val="75064AAE"/>
    <w:rsid w:val="75856D4C"/>
    <w:rsid w:val="75865B1D"/>
    <w:rsid w:val="758859CA"/>
    <w:rsid w:val="7635099D"/>
    <w:rsid w:val="76E03BF8"/>
    <w:rsid w:val="77762421"/>
    <w:rsid w:val="77B56B1F"/>
    <w:rsid w:val="77BF0F5F"/>
    <w:rsid w:val="77FA58F8"/>
    <w:rsid w:val="780B79FE"/>
    <w:rsid w:val="780F09F4"/>
    <w:rsid w:val="783B7341"/>
    <w:rsid w:val="78512015"/>
    <w:rsid w:val="78A90480"/>
    <w:rsid w:val="78CB1820"/>
    <w:rsid w:val="79631270"/>
    <w:rsid w:val="79923431"/>
    <w:rsid w:val="799E4EA0"/>
    <w:rsid w:val="7A156B79"/>
    <w:rsid w:val="7A364017"/>
    <w:rsid w:val="7A8265E1"/>
    <w:rsid w:val="7A9B43AC"/>
    <w:rsid w:val="7B465D38"/>
    <w:rsid w:val="7B557244"/>
    <w:rsid w:val="7B686D42"/>
    <w:rsid w:val="7B841746"/>
    <w:rsid w:val="7B9712B3"/>
    <w:rsid w:val="7BD43DB5"/>
    <w:rsid w:val="7C1D1851"/>
    <w:rsid w:val="7C254023"/>
    <w:rsid w:val="7C366F78"/>
    <w:rsid w:val="7C4F3DF1"/>
    <w:rsid w:val="7C620452"/>
    <w:rsid w:val="7C6C5AC7"/>
    <w:rsid w:val="7C717F86"/>
    <w:rsid w:val="7C8559CA"/>
    <w:rsid w:val="7CC6544B"/>
    <w:rsid w:val="7CDD0AD2"/>
    <w:rsid w:val="7D0239FF"/>
    <w:rsid w:val="7D5E40CD"/>
    <w:rsid w:val="7DC11FC2"/>
    <w:rsid w:val="7DCD56F2"/>
    <w:rsid w:val="7DE77E0D"/>
    <w:rsid w:val="7DF93B47"/>
    <w:rsid w:val="7E19752B"/>
    <w:rsid w:val="7E385201"/>
    <w:rsid w:val="7E81505E"/>
    <w:rsid w:val="7F001CE7"/>
    <w:rsid w:val="7F876EC1"/>
    <w:rsid w:val="7F8E242F"/>
    <w:rsid w:val="7FE47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qFormat="1"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name="caption" w:locked="1"/>
    <w:lsdException w:qFormat="1" w:uiPriority="99"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iPriority="99"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qFormat="1"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qFormat="1" w:unhideWhenUsed="0" w:uiPriority="0" w:semiHidden="0" w:name="Body Text 2" w:locked="1"/>
    <w:lsdException w:unhideWhenUsed="0" w:uiPriority="0" w:semiHidden="0" w:name="Body Text 3" w:locked="1"/>
    <w:lsdException w:qFormat="1" w:unhideWhenUsed="0" w:uiPriority="0" w:semiHidden="0" w:name="Body Text Indent 2" w:locked="1"/>
    <w:lsdException w:unhideWhenUsed="0" w:uiPriority="0" w:semiHidden="0" w:name="Body Text Indent 3" w:locked="1"/>
    <w:lsdException w:qFormat="1" w:unhideWhenUsed="0" w:uiPriority="0" w:semiHidden="0" w:name="Block Text" w:locked="1"/>
    <w:lsdException w:qFormat="1" w:unhideWhenUsed="0" w:uiPriority="0" w:semiHidden="0" w:name="Hyperlink" w:locked="1"/>
    <w:lsdException w:qFormat="1"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99"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qFormat/>
    <w:locked/>
    <w:uiPriority w:val="0"/>
    <w:pPr>
      <w:keepNext/>
      <w:keepLines/>
      <w:spacing w:line="360" w:lineRule="auto"/>
      <w:outlineLvl w:val="1"/>
    </w:pPr>
    <w:rPr>
      <w:b/>
      <w:bCs/>
      <w:sz w:val="24"/>
      <w:szCs w:val="32"/>
    </w:rPr>
  </w:style>
  <w:style w:type="paragraph" w:styleId="4">
    <w:name w:val="heading 3"/>
    <w:basedOn w:val="1"/>
    <w:next w:val="1"/>
    <w:qFormat/>
    <w:locked/>
    <w:uiPriority w:val="0"/>
    <w:pPr>
      <w:keepNext/>
      <w:keepLines/>
      <w:spacing w:before="260" w:after="260" w:line="416" w:lineRule="auto"/>
      <w:outlineLvl w:val="2"/>
    </w:pPr>
    <w:rPr>
      <w:b/>
      <w:bCs/>
      <w:sz w:val="32"/>
      <w:szCs w:val="32"/>
    </w:rPr>
  </w:style>
  <w:style w:type="paragraph" w:styleId="5">
    <w:name w:val="heading 4"/>
    <w:basedOn w:val="1"/>
    <w:next w:val="1"/>
    <w:qFormat/>
    <w:locked/>
    <w:uiPriority w:val="0"/>
    <w:pPr>
      <w:keepNext/>
      <w:keepLines/>
      <w:spacing w:before="280" w:after="290" w:line="376" w:lineRule="auto"/>
      <w:outlineLvl w:val="3"/>
    </w:pPr>
    <w:rPr>
      <w:rFonts w:ascii="Cambria" w:hAnsi="Cambria"/>
      <w:b/>
      <w:bCs/>
      <w:sz w:val="28"/>
      <w:szCs w:val="28"/>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1"/>
    <w:qFormat/>
    <w:locked/>
    <w:uiPriority w:val="0"/>
    <w:pPr>
      <w:ind w:firstLine="420" w:firstLineChars="200"/>
    </w:pPr>
  </w:style>
  <w:style w:type="paragraph" w:styleId="7">
    <w:name w:val="annotation text"/>
    <w:basedOn w:val="1"/>
    <w:link w:val="43"/>
    <w:semiHidden/>
    <w:qFormat/>
    <w:uiPriority w:val="0"/>
    <w:pPr>
      <w:jc w:val="left"/>
    </w:pPr>
    <w:rPr>
      <w:kern w:val="0"/>
      <w:sz w:val="24"/>
      <w:szCs w:val="20"/>
    </w:rPr>
  </w:style>
  <w:style w:type="paragraph" w:styleId="8">
    <w:name w:val="Body Text"/>
    <w:basedOn w:val="1"/>
    <w:next w:val="9"/>
    <w:link w:val="42"/>
    <w:qFormat/>
    <w:uiPriority w:val="0"/>
    <w:pPr>
      <w:widowControl/>
      <w:snapToGrid w:val="0"/>
      <w:spacing w:before="60" w:after="160" w:line="259" w:lineRule="auto"/>
      <w:ind w:right="113"/>
    </w:pPr>
    <w:rPr>
      <w:kern w:val="0"/>
      <w:sz w:val="18"/>
      <w:szCs w:val="20"/>
    </w:rPr>
  </w:style>
  <w:style w:type="paragraph" w:styleId="9">
    <w:name w:val="toc 5"/>
    <w:basedOn w:val="1"/>
    <w:next w:val="1"/>
    <w:qFormat/>
    <w:locked/>
    <w:uiPriority w:val="0"/>
    <w:pPr>
      <w:ind w:left="840"/>
      <w:jc w:val="left"/>
    </w:pPr>
    <w:rPr>
      <w:sz w:val="18"/>
      <w:szCs w:val="18"/>
    </w:rPr>
  </w:style>
  <w:style w:type="paragraph" w:styleId="10">
    <w:name w:val="Body Text Indent"/>
    <w:basedOn w:val="1"/>
    <w:next w:val="5"/>
    <w:link w:val="44"/>
    <w:qFormat/>
    <w:uiPriority w:val="0"/>
    <w:pPr>
      <w:spacing w:after="120"/>
      <w:ind w:left="420" w:leftChars="200"/>
    </w:pPr>
    <w:rPr>
      <w:kern w:val="0"/>
      <w:sz w:val="24"/>
      <w:szCs w:val="20"/>
    </w:rPr>
  </w:style>
  <w:style w:type="paragraph" w:styleId="11">
    <w:name w:val="Block Text"/>
    <w:basedOn w:val="1"/>
    <w:qFormat/>
    <w:locked/>
    <w:uiPriority w:val="0"/>
    <w:pPr>
      <w:spacing w:after="120"/>
      <w:ind w:left="1440" w:leftChars="700" w:right="700" w:rightChars="700"/>
    </w:pPr>
  </w:style>
  <w:style w:type="paragraph" w:styleId="12">
    <w:name w:val="Plain Text"/>
    <w:basedOn w:val="1"/>
    <w:next w:val="13"/>
    <w:qFormat/>
    <w:locked/>
    <w:uiPriority w:val="0"/>
    <w:pPr>
      <w:spacing w:line="360" w:lineRule="auto"/>
      <w:ind w:firstLine="200" w:firstLineChars="200"/>
    </w:pPr>
    <w:rPr>
      <w:rFonts w:ascii="宋体" w:hAnsi="Courier New" w:eastAsia="仿宋"/>
      <w:sz w:val="28"/>
    </w:rPr>
  </w:style>
  <w:style w:type="paragraph" w:customStyle="1" w:styleId="13">
    <w:name w:val="Default"/>
    <w:basedOn w:val="14"/>
    <w:next w:val="1"/>
    <w:qFormat/>
    <w:uiPriority w:val="0"/>
    <w:pPr>
      <w:autoSpaceDE w:val="0"/>
      <w:autoSpaceDN w:val="0"/>
      <w:jc w:val="left"/>
    </w:pPr>
    <w:rPr>
      <w:rFonts w:hint="eastAsia"/>
      <w:szCs w:val="24"/>
    </w:rPr>
  </w:style>
  <w:style w:type="paragraph" w:customStyle="1" w:styleId="14">
    <w:name w:val="纯文本1"/>
    <w:qFormat/>
    <w:uiPriority w:val="0"/>
    <w:pPr>
      <w:widowControl w:val="0"/>
      <w:adjustRightInd w:val="0"/>
      <w:jc w:val="center"/>
      <w:textAlignment w:val="baseline"/>
    </w:pPr>
    <w:rPr>
      <w:rFonts w:ascii="宋体" w:hAnsi="Courier New" w:eastAsia="宋体" w:cs="Times New Roman"/>
      <w:snapToGrid w:val="0"/>
      <w:sz w:val="24"/>
      <w:lang w:val="en-US" w:eastAsia="zh-CN" w:bidi="ar-SA"/>
    </w:rPr>
  </w:style>
  <w:style w:type="paragraph" w:styleId="15">
    <w:name w:val="List Bullet 5"/>
    <w:basedOn w:val="1"/>
    <w:qFormat/>
    <w:locked/>
    <w:uiPriority w:val="0"/>
    <w:pPr>
      <w:numPr>
        <w:ilvl w:val="0"/>
        <w:numId w:val="1"/>
      </w:numPr>
    </w:pPr>
  </w:style>
  <w:style w:type="paragraph" w:styleId="16">
    <w:name w:val="Date"/>
    <w:basedOn w:val="1"/>
    <w:next w:val="1"/>
    <w:link w:val="45"/>
    <w:qFormat/>
    <w:uiPriority w:val="0"/>
    <w:pPr>
      <w:ind w:left="100" w:leftChars="2500"/>
    </w:pPr>
    <w:rPr>
      <w:kern w:val="0"/>
      <w:sz w:val="24"/>
      <w:szCs w:val="20"/>
    </w:rPr>
  </w:style>
  <w:style w:type="paragraph" w:styleId="17">
    <w:name w:val="Body Text Indent 2"/>
    <w:basedOn w:val="1"/>
    <w:qFormat/>
    <w:locked/>
    <w:uiPriority w:val="0"/>
    <w:pPr>
      <w:spacing w:line="360" w:lineRule="auto"/>
      <w:ind w:firstLine="573"/>
    </w:pPr>
    <w:rPr>
      <w:sz w:val="28"/>
    </w:rPr>
  </w:style>
  <w:style w:type="paragraph" w:styleId="18">
    <w:name w:val="Balloon Text"/>
    <w:basedOn w:val="1"/>
    <w:link w:val="46"/>
    <w:semiHidden/>
    <w:qFormat/>
    <w:uiPriority w:val="0"/>
    <w:rPr>
      <w:kern w:val="0"/>
      <w:sz w:val="18"/>
      <w:szCs w:val="20"/>
    </w:rPr>
  </w:style>
  <w:style w:type="paragraph" w:styleId="19">
    <w:name w:val="footer"/>
    <w:basedOn w:val="1"/>
    <w:link w:val="92"/>
    <w:qFormat/>
    <w:uiPriority w:val="99"/>
    <w:pPr>
      <w:tabs>
        <w:tab w:val="center" w:pos="4153"/>
        <w:tab w:val="right" w:pos="8306"/>
      </w:tabs>
      <w:snapToGrid w:val="0"/>
      <w:jc w:val="left"/>
    </w:pPr>
    <w:rPr>
      <w:kern w:val="0"/>
      <w:sz w:val="18"/>
      <w:szCs w:val="20"/>
    </w:rPr>
  </w:style>
  <w:style w:type="paragraph" w:styleId="20">
    <w:name w:val="header"/>
    <w:basedOn w:val="1"/>
    <w:link w:val="91"/>
    <w:qFormat/>
    <w:uiPriority w:val="0"/>
    <w:pPr>
      <w:pBdr>
        <w:bottom w:val="single" w:color="auto" w:sz="6" w:space="1"/>
      </w:pBdr>
      <w:tabs>
        <w:tab w:val="center" w:pos="4153"/>
        <w:tab w:val="right" w:pos="8306"/>
      </w:tabs>
      <w:snapToGrid w:val="0"/>
      <w:jc w:val="center"/>
    </w:pPr>
    <w:rPr>
      <w:kern w:val="0"/>
      <w:sz w:val="18"/>
      <w:szCs w:val="20"/>
    </w:rPr>
  </w:style>
  <w:style w:type="paragraph" w:styleId="21">
    <w:name w:val="List"/>
    <w:basedOn w:val="1"/>
    <w:next w:val="1"/>
    <w:unhideWhenUsed/>
    <w:qFormat/>
    <w:locked/>
    <w:uiPriority w:val="99"/>
    <w:pPr>
      <w:ind w:left="200" w:hanging="200" w:hangingChars="200"/>
      <w:contextualSpacing/>
    </w:pPr>
  </w:style>
  <w:style w:type="paragraph" w:styleId="22">
    <w:name w:val="table of figures"/>
    <w:basedOn w:val="1"/>
    <w:next w:val="1"/>
    <w:unhideWhenUsed/>
    <w:qFormat/>
    <w:locked/>
    <w:uiPriority w:val="99"/>
    <w:pPr>
      <w:jc w:val="center"/>
    </w:pPr>
    <w:rPr>
      <w:sz w:val="24"/>
    </w:rPr>
  </w:style>
  <w:style w:type="paragraph" w:styleId="23">
    <w:name w:val="Body Text 2"/>
    <w:basedOn w:val="1"/>
    <w:qFormat/>
    <w:locked/>
    <w:uiPriority w:val="0"/>
    <w:pPr>
      <w:spacing w:after="120" w:line="480" w:lineRule="auto"/>
    </w:pPr>
  </w:style>
  <w:style w:type="paragraph" w:styleId="24">
    <w:name w:val="Normal (Web)"/>
    <w:basedOn w:val="1"/>
    <w:link w:val="49"/>
    <w:qFormat/>
    <w:uiPriority w:val="99"/>
    <w:pPr>
      <w:widowControl/>
      <w:spacing w:before="100" w:beforeAutospacing="1" w:after="100" w:afterAutospacing="1"/>
      <w:jc w:val="left"/>
    </w:pPr>
    <w:rPr>
      <w:rFonts w:ascii="宋体" w:hAnsi="宋体"/>
      <w:kern w:val="0"/>
      <w:sz w:val="24"/>
      <w:szCs w:val="20"/>
    </w:rPr>
  </w:style>
  <w:style w:type="paragraph" w:styleId="25">
    <w:name w:val="Title"/>
    <w:basedOn w:val="1"/>
    <w:next w:val="1"/>
    <w:qFormat/>
    <w:locked/>
    <w:uiPriority w:val="0"/>
    <w:pPr>
      <w:spacing w:before="240" w:after="60"/>
      <w:jc w:val="center"/>
      <w:outlineLvl w:val="0"/>
    </w:pPr>
    <w:rPr>
      <w:rFonts w:ascii="Cambria" w:hAnsi="Cambria"/>
      <w:b/>
      <w:bCs/>
      <w:sz w:val="32"/>
      <w:szCs w:val="32"/>
    </w:rPr>
  </w:style>
  <w:style w:type="paragraph" w:styleId="26">
    <w:name w:val="annotation subject"/>
    <w:basedOn w:val="7"/>
    <w:next w:val="7"/>
    <w:link w:val="50"/>
    <w:semiHidden/>
    <w:qFormat/>
    <w:uiPriority w:val="0"/>
    <w:rPr>
      <w:b/>
    </w:rPr>
  </w:style>
  <w:style w:type="paragraph" w:styleId="27">
    <w:name w:val="Body Text First Indent"/>
    <w:basedOn w:val="8"/>
    <w:qFormat/>
    <w:locked/>
    <w:uiPriority w:val="0"/>
    <w:pPr>
      <w:spacing w:after="120"/>
      <w:ind w:firstLine="420" w:firstLineChars="100"/>
    </w:pPr>
    <w:rPr>
      <w:sz w:val="21"/>
    </w:rPr>
  </w:style>
  <w:style w:type="paragraph" w:styleId="28">
    <w:name w:val="Body Text First Indent 2"/>
    <w:basedOn w:val="10"/>
    <w:next w:val="1"/>
    <w:qFormat/>
    <w:locked/>
    <w:uiPriority w:val="0"/>
    <w:pPr>
      <w:topLinePunct/>
      <w:ind w:firstLine="420" w:firstLineChars="200"/>
    </w:pPr>
    <w:rPr>
      <w:rFonts w:eastAsia="华文仿宋"/>
      <w:kern w:val="2"/>
      <w:sz w:val="28"/>
    </w:rPr>
  </w:style>
  <w:style w:type="table" w:styleId="30">
    <w:name w:val="Table Grid"/>
    <w:basedOn w:val="2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qFormat/>
    <w:locked/>
    <w:uiPriority w:val="0"/>
    <w:rPr>
      <w:b/>
    </w:rPr>
  </w:style>
  <w:style w:type="character" w:styleId="33">
    <w:name w:val="page number"/>
    <w:basedOn w:val="31"/>
    <w:qFormat/>
    <w:locked/>
    <w:uiPriority w:val="0"/>
  </w:style>
  <w:style w:type="character" w:styleId="34">
    <w:name w:val="FollowedHyperlink"/>
    <w:basedOn w:val="31"/>
    <w:qFormat/>
    <w:locked/>
    <w:uiPriority w:val="0"/>
    <w:rPr>
      <w:color w:val="954F72"/>
      <w:u w:val="single"/>
    </w:rPr>
  </w:style>
  <w:style w:type="character" w:styleId="35">
    <w:name w:val="Hyperlink"/>
    <w:basedOn w:val="31"/>
    <w:qFormat/>
    <w:locked/>
    <w:uiPriority w:val="0"/>
    <w:rPr>
      <w:color w:val="000000"/>
      <w:u w:val="none"/>
    </w:rPr>
  </w:style>
  <w:style w:type="character" w:styleId="36">
    <w:name w:val="annotation reference"/>
    <w:semiHidden/>
    <w:qFormat/>
    <w:uiPriority w:val="0"/>
    <w:rPr>
      <w:sz w:val="21"/>
    </w:rPr>
  </w:style>
  <w:style w:type="paragraph" w:customStyle="1" w:styleId="37">
    <w:name w:val="表格内容5.21"/>
    <w:basedOn w:val="1"/>
    <w:link w:val="38"/>
    <w:qFormat/>
    <w:uiPriority w:val="0"/>
    <w:pPr>
      <w:widowControl/>
      <w:adjustRightInd w:val="0"/>
      <w:snapToGrid w:val="0"/>
      <w:ind w:left="-30" w:leftChars="-30" w:right="-30" w:rightChars="-30"/>
      <w:jc w:val="center"/>
    </w:pPr>
    <w:rPr>
      <w:kern w:val="0"/>
      <w:szCs w:val="21"/>
    </w:rPr>
  </w:style>
  <w:style w:type="character" w:customStyle="1" w:styleId="38">
    <w:name w:val="表格内容5.21 字符"/>
    <w:link w:val="37"/>
    <w:autoRedefine/>
    <w:qFormat/>
    <w:uiPriority w:val="0"/>
    <w:rPr>
      <w:sz w:val="21"/>
      <w:szCs w:val="21"/>
    </w:rPr>
  </w:style>
  <w:style w:type="paragraph" w:customStyle="1" w:styleId="39">
    <w:name w:val="表图头"/>
    <w:basedOn w:val="1"/>
    <w:qFormat/>
    <w:uiPriority w:val="0"/>
    <w:pPr>
      <w:widowControl/>
      <w:snapToGrid w:val="0"/>
      <w:jc w:val="center"/>
    </w:pPr>
    <w:rPr>
      <w:b/>
      <w:bCs/>
      <w:kern w:val="0"/>
      <w:sz w:val="24"/>
    </w:rPr>
  </w:style>
  <w:style w:type="paragraph" w:customStyle="1" w:styleId="40">
    <w:name w:val="1 表头"/>
    <w:basedOn w:val="1"/>
    <w:qFormat/>
    <w:uiPriority w:val="0"/>
    <w:pPr>
      <w:adjustRightInd w:val="0"/>
      <w:snapToGrid w:val="0"/>
      <w:jc w:val="center"/>
    </w:pPr>
    <w:rPr>
      <w:b/>
      <w:color w:val="000000"/>
      <w:szCs w:val="21"/>
    </w:rPr>
  </w:style>
  <w:style w:type="paragraph" w:customStyle="1" w:styleId="41">
    <w:name w:val="正文1"/>
    <w:basedOn w:val="1"/>
    <w:next w:val="1"/>
    <w:qFormat/>
    <w:uiPriority w:val="0"/>
    <w:pPr>
      <w:adjustRightInd w:val="0"/>
      <w:snapToGrid w:val="0"/>
      <w:spacing w:line="500" w:lineRule="atLeast"/>
      <w:ind w:firstLine="567"/>
    </w:pPr>
    <w:rPr>
      <w:sz w:val="28"/>
    </w:rPr>
  </w:style>
  <w:style w:type="character" w:customStyle="1" w:styleId="42">
    <w:name w:val="正文文本 字符"/>
    <w:link w:val="8"/>
    <w:qFormat/>
    <w:locked/>
    <w:uiPriority w:val="0"/>
    <w:rPr>
      <w:sz w:val="18"/>
    </w:rPr>
  </w:style>
  <w:style w:type="character" w:customStyle="1" w:styleId="43">
    <w:name w:val="批注文字 字符"/>
    <w:link w:val="7"/>
    <w:qFormat/>
    <w:locked/>
    <w:uiPriority w:val="0"/>
    <w:rPr>
      <w:rFonts w:ascii="Times New Roman" w:hAnsi="Times New Roman" w:eastAsia="宋体"/>
      <w:sz w:val="24"/>
    </w:rPr>
  </w:style>
  <w:style w:type="character" w:customStyle="1" w:styleId="44">
    <w:name w:val="正文文本缩进 字符"/>
    <w:link w:val="10"/>
    <w:semiHidden/>
    <w:qFormat/>
    <w:locked/>
    <w:uiPriority w:val="0"/>
    <w:rPr>
      <w:rFonts w:ascii="Times New Roman" w:hAnsi="Times New Roman" w:eastAsia="宋体"/>
      <w:sz w:val="24"/>
    </w:rPr>
  </w:style>
  <w:style w:type="character" w:customStyle="1" w:styleId="45">
    <w:name w:val="日期 字符1"/>
    <w:link w:val="16"/>
    <w:qFormat/>
    <w:locked/>
    <w:uiPriority w:val="0"/>
    <w:rPr>
      <w:rFonts w:ascii="Times New Roman" w:hAnsi="Times New Roman" w:eastAsia="宋体"/>
      <w:sz w:val="24"/>
    </w:rPr>
  </w:style>
  <w:style w:type="character" w:customStyle="1" w:styleId="46">
    <w:name w:val="批注框文本 字符"/>
    <w:link w:val="18"/>
    <w:semiHidden/>
    <w:qFormat/>
    <w:locked/>
    <w:uiPriority w:val="0"/>
    <w:rPr>
      <w:rFonts w:ascii="Times New Roman" w:hAnsi="Times New Roman" w:eastAsia="宋体"/>
      <w:sz w:val="18"/>
    </w:rPr>
  </w:style>
  <w:style w:type="character" w:customStyle="1" w:styleId="47">
    <w:name w:val="页脚 字符1"/>
    <w:qFormat/>
    <w:locked/>
    <w:uiPriority w:val="99"/>
    <w:rPr>
      <w:sz w:val="18"/>
    </w:rPr>
  </w:style>
  <w:style w:type="character" w:customStyle="1" w:styleId="48">
    <w:name w:val="页眉 字符"/>
    <w:qFormat/>
    <w:locked/>
    <w:uiPriority w:val="0"/>
    <w:rPr>
      <w:sz w:val="18"/>
    </w:rPr>
  </w:style>
  <w:style w:type="character" w:customStyle="1" w:styleId="49">
    <w:name w:val="普通(网站) 字符"/>
    <w:link w:val="24"/>
    <w:qFormat/>
    <w:locked/>
    <w:uiPriority w:val="0"/>
    <w:rPr>
      <w:rFonts w:ascii="宋体" w:hAnsi="宋体" w:eastAsia="宋体"/>
      <w:sz w:val="24"/>
    </w:rPr>
  </w:style>
  <w:style w:type="character" w:customStyle="1" w:styleId="50">
    <w:name w:val="批注主题 字符"/>
    <w:link w:val="26"/>
    <w:semiHidden/>
    <w:qFormat/>
    <w:locked/>
    <w:uiPriority w:val="0"/>
    <w:rPr>
      <w:rFonts w:ascii="Times New Roman" w:hAnsi="Times New Roman" w:eastAsia="宋体"/>
      <w:b/>
      <w:kern w:val="2"/>
      <w:sz w:val="24"/>
    </w:rPr>
  </w:style>
  <w:style w:type="paragraph" w:customStyle="1" w:styleId="51">
    <w:name w:val="表格内"/>
    <w:basedOn w:val="1"/>
    <w:qFormat/>
    <w:uiPriority w:val="0"/>
    <w:pPr>
      <w:widowControl/>
      <w:adjustRightInd w:val="0"/>
      <w:snapToGrid w:val="0"/>
      <w:spacing w:after="200" w:line="360" w:lineRule="exact"/>
      <w:jc w:val="center"/>
    </w:pPr>
    <w:rPr>
      <w:rFonts w:ascii="Calibri" w:hAnsi="Calibri" w:eastAsia="微软雅黑"/>
      <w:snapToGrid w:val="0"/>
      <w:kern w:val="0"/>
      <w:sz w:val="22"/>
      <w:szCs w:val="21"/>
    </w:rPr>
  </w:style>
  <w:style w:type="paragraph" w:customStyle="1" w:styleId="52">
    <w:name w:val="表格文字"/>
    <w:basedOn w:val="27"/>
    <w:next w:val="1"/>
    <w:qFormat/>
    <w:uiPriority w:val="0"/>
    <w:pPr>
      <w:overflowPunct w:val="0"/>
      <w:autoSpaceDE w:val="0"/>
      <w:autoSpaceDN w:val="0"/>
      <w:adjustRightInd w:val="0"/>
      <w:spacing w:after="0" w:line="360" w:lineRule="auto"/>
      <w:ind w:firstLine="539" w:firstLineChars="0"/>
      <w:jc w:val="center"/>
      <w:textAlignment w:val="center"/>
    </w:pPr>
    <w:rPr>
      <w:szCs w:val="18"/>
    </w:rPr>
  </w:style>
  <w:style w:type="paragraph" w:customStyle="1" w:styleId="53">
    <w:name w:val="表格"/>
    <w:basedOn w:val="54"/>
    <w:next w:val="1"/>
    <w:link w:val="58"/>
    <w:qFormat/>
    <w:uiPriority w:val="0"/>
    <w:pPr>
      <w:adjustRightInd w:val="0"/>
      <w:snapToGrid w:val="0"/>
      <w:spacing w:beforeLines="10" w:afterLines="10" w:line="259" w:lineRule="auto"/>
      <w:jc w:val="center"/>
    </w:pPr>
    <w:rPr>
      <w:kern w:val="0"/>
      <w:szCs w:val="20"/>
    </w:rPr>
  </w:style>
  <w:style w:type="paragraph" w:customStyle="1" w:styleId="54">
    <w:name w:val="Table Paragraph"/>
    <w:basedOn w:val="1"/>
    <w:qFormat/>
    <w:uiPriority w:val="1"/>
    <w:rPr>
      <w:rFonts w:ascii="宋体" w:hAnsi="宋体" w:cs="宋体"/>
      <w:lang w:val="zh-CN" w:bidi="zh-CN"/>
    </w:rPr>
  </w:style>
  <w:style w:type="paragraph" w:customStyle="1" w:styleId="55">
    <w:name w:val="样式 标题 2 + 首行缩进:  2 字符"/>
    <w:basedOn w:val="3"/>
    <w:next w:val="56"/>
    <w:qFormat/>
    <w:uiPriority w:val="0"/>
    <w:pPr>
      <w:widowControl/>
      <w:spacing w:line="300" w:lineRule="auto"/>
      <w:ind w:left="1320" w:hanging="420"/>
    </w:pPr>
    <w:rPr>
      <w:rFonts w:eastAsia="黑体"/>
      <w:b w:val="0"/>
      <w:sz w:val="30"/>
    </w:rPr>
  </w:style>
  <w:style w:type="paragraph" w:customStyle="1" w:styleId="56">
    <w:name w:val="图号"/>
    <w:next w:val="57"/>
    <w:qFormat/>
    <w:uiPriority w:val="0"/>
    <w:pPr>
      <w:widowControl w:val="0"/>
      <w:spacing w:line="529" w:lineRule="exact"/>
      <w:ind w:left="198"/>
    </w:pPr>
    <w:rPr>
      <w:rFonts w:ascii="宋体" w:hAnsi="Times New Roman" w:eastAsia="宋体" w:cs="Times New Roman"/>
      <w:b/>
      <w:sz w:val="24"/>
      <w:lang w:val="en-US" w:eastAsia="zh-CN" w:bidi="ar-SA"/>
    </w:rPr>
  </w:style>
  <w:style w:type="paragraph" w:customStyle="1" w:styleId="57">
    <w:name w:val="Char Char Char Char Char Char Char Char Char Char Char Char Char Char Char Char Char Char Char Char Char Char"/>
    <w:basedOn w:val="1"/>
    <w:next w:val="1"/>
    <w:qFormat/>
    <w:uiPriority w:val="0"/>
    <w:pPr>
      <w:spacing w:line="360" w:lineRule="auto"/>
      <w:ind w:firstLine="200"/>
    </w:pPr>
    <w:rPr>
      <w:rFonts w:ascii="宋体"/>
      <w:sz w:val="24"/>
    </w:rPr>
  </w:style>
  <w:style w:type="character" w:customStyle="1" w:styleId="58">
    <w:name w:val="表格 Char"/>
    <w:link w:val="53"/>
    <w:qFormat/>
    <w:locked/>
    <w:uiPriority w:val="0"/>
    <w:rPr>
      <w:rFonts w:ascii="宋体"/>
      <w:sz w:val="21"/>
    </w:rPr>
  </w:style>
  <w:style w:type="character" w:customStyle="1" w:styleId="59">
    <w:name w:val="页脚 字符"/>
    <w:basedOn w:val="31"/>
    <w:qFormat/>
    <w:uiPriority w:val="99"/>
  </w:style>
  <w:style w:type="character" w:customStyle="1" w:styleId="60">
    <w:name w:val="正文文本 字符1"/>
    <w:semiHidden/>
    <w:qFormat/>
    <w:uiPriority w:val="0"/>
    <w:rPr>
      <w:rFonts w:ascii="Times New Roman" w:hAnsi="Times New Roman" w:eastAsia="宋体"/>
      <w:sz w:val="24"/>
    </w:rPr>
  </w:style>
  <w:style w:type="character" w:customStyle="1" w:styleId="61">
    <w:name w:val="正文(首行缩进) Char"/>
    <w:link w:val="62"/>
    <w:qFormat/>
    <w:uiPriority w:val="0"/>
    <w:rPr>
      <w:rFonts w:eastAsia="宋体"/>
      <w:bCs/>
      <w:color w:val="000000"/>
      <w:kern w:val="24"/>
      <w:sz w:val="24"/>
      <w:szCs w:val="24"/>
    </w:rPr>
  </w:style>
  <w:style w:type="paragraph" w:customStyle="1" w:styleId="62">
    <w:name w:val="正文(首行缩进)"/>
    <w:basedOn w:val="1"/>
    <w:next w:val="3"/>
    <w:link w:val="61"/>
    <w:qFormat/>
    <w:uiPriority w:val="0"/>
    <w:pPr>
      <w:spacing w:line="360" w:lineRule="auto"/>
      <w:ind w:firstLine="480" w:firstLineChars="200"/>
    </w:pPr>
    <w:rPr>
      <w:bCs/>
      <w:color w:val="000000"/>
      <w:kern w:val="24"/>
      <w:sz w:val="24"/>
    </w:rPr>
  </w:style>
  <w:style w:type="character" w:customStyle="1" w:styleId="63">
    <w:name w:val="日期 字符"/>
    <w:semiHidden/>
    <w:qFormat/>
    <w:uiPriority w:val="0"/>
    <w:rPr>
      <w:rFonts w:ascii="Times New Roman" w:hAnsi="Times New Roman" w:eastAsia="宋体"/>
      <w:sz w:val="24"/>
    </w:rPr>
  </w:style>
  <w:style w:type="character" w:customStyle="1" w:styleId="64">
    <w:name w:val="批注文字 字符1"/>
    <w:semiHidden/>
    <w:qFormat/>
    <w:uiPriority w:val="0"/>
    <w:rPr>
      <w:rFonts w:ascii="Times New Roman" w:hAnsi="Times New Roman" w:eastAsia="宋体"/>
      <w:sz w:val="24"/>
    </w:rPr>
  </w:style>
  <w:style w:type="paragraph" w:styleId="65">
    <w:name w:val="No Spacing"/>
    <w:basedOn w:val="21"/>
    <w:next w:val="1"/>
    <w:qFormat/>
    <w:uiPriority w:val="1"/>
    <w:pPr>
      <w:ind w:left="0" w:firstLine="0" w:firstLineChars="0"/>
      <w:jc w:val="center"/>
    </w:pPr>
  </w:style>
  <w:style w:type="paragraph" w:customStyle="1" w:styleId="66">
    <w:name w:val="0"/>
    <w:basedOn w:val="67"/>
    <w:qFormat/>
    <w:uiPriority w:val="0"/>
    <w:pPr>
      <w:overflowPunct w:val="0"/>
      <w:snapToGrid w:val="0"/>
      <w:jc w:val="center"/>
    </w:pPr>
    <w:rPr>
      <w:rFonts w:ascii="Arial" w:hAnsi="Arial" w:cs="Arial"/>
      <w:bCs/>
      <w:snapToGrid w:val="0"/>
      <w:kern w:val="0"/>
      <w:szCs w:val="28"/>
    </w:rPr>
  </w:style>
  <w:style w:type="paragraph" w:customStyle="1" w:styleId="67">
    <w:name w:val="Char"/>
    <w:basedOn w:val="1"/>
    <w:qFormat/>
    <w:uiPriority w:val="0"/>
  </w:style>
  <w:style w:type="paragraph" w:customStyle="1" w:styleId="68">
    <w:name w:val="准 正文 左侧:  2 字符 + 首行缩进:  2 字符"/>
    <w:basedOn w:val="1"/>
    <w:qFormat/>
    <w:uiPriority w:val="0"/>
    <w:pPr>
      <w:spacing w:line="360" w:lineRule="auto"/>
      <w:ind w:firstLine="480" w:firstLineChars="200"/>
    </w:pPr>
    <w:rPr>
      <w:rFonts w:cs="宋体"/>
      <w:sz w:val="24"/>
    </w:rPr>
  </w:style>
  <w:style w:type="paragraph" w:customStyle="1" w:styleId="69">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0">
    <w:name w:val="文本"/>
    <w:basedOn w:val="23"/>
    <w:next w:val="23"/>
    <w:qFormat/>
    <w:uiPriority w:val="0"/>
    <w:pPr>
      <w:adjustRightInd w:val="0"/>
      <w:snapToGrid w:val="0"/>
      <w:spacing w:line="540" w:lineRule="exact"/>
      <w:ind w:firstLine="200" w:firstLineChars="200"/>
    </w:pPr>
    <w:rPr>
      <w:rFonts w:ascii="宋体" w:hAnsi="Calibri"/>
      <w:sz w:val="28"/>
      <w:szCs w:val="22"/>
    </w:rPr>
  </w:style>
  <w:style w:type="paragraph" w:customStyle="1" w:styleId="71">
    <w:name w:val="表内容"/>
    <w:next w:val="1"/>
    <w:qFormat/>
    <w:uiPriority w:val="99"/>
    <w:pPr>
      <w:jc w:val="center"/>
    </w:pPr>
    <w:rPr>
      <w:rFonts w:ascii="Times New Roman" w:hAnsi="Times New Roman" w:eastAsia="宋体" w:cs="Times New Roman"/>
      <w:sz w:val="21"/>
      <w:lang w:val="en-US" w:eastAsia="zh-CN" w:bidi="ar-SA"/>
    </w:rPr>
  </w:style>
  <w:style w:type="paragraph" w:customStyle="1" w:styleId="72">
    <w:name w:val="表题"/>
    <w:basedOn w:val="1"/>
    <w:next w:val="1"/>
    <w:qFormat/>
    <w:uiPriority w:val="0"/>
    <w:pPr>
      <w:spacing w:before="50" w:beforeLines="50"/>
      <w:jc w:val="center"/>
    </w:pPr>
    <w:rPr>
      <w:b/>
    </w:rPr>
  </w:style>
  <w:style w:type="paragraph" w:customStyle="1" w:styleId="73">
    <w:name w:val="表格2"/>
    <w:basedOn w:val="53"/>
    <w:qFormat/>
    <w:uiPriority w:val="0"/>
    <w:pPr>
      <w:spacing w:afterLines="0" w:line="400" w:lineRule="exact"/>
    </w:pPr>
    <w:rPr>
      <w:rFonts w:ascii="Times New Roman" w:hAnsi="Times New Roman" w:cs="Times New Roman"/>
    </w:rPr>
  </w:style>
  <w:style w:type="paragraph" w:customStyle="1" w:styleId="74">
    <w:name w:val="样式13"/>
    <w:qFormat/>
    <w:uiPriority w:val="0"/>
    <w:pPr>
      <w:topLinePunct/>
      <w:jc w:val="both"/>
    </w:pPr>
    <w:rPr>
      <w:rFonts w:ascii="Times New Roman" w:hAnsi="Times New Roman" w:eastAsia="宋体" w:cs="Times New Roman"/>
      <w:bCs/>
      <w:color w:val="000000"/>
      <w:sz w:val="21"/>
      <w:szCs w:val="21"/>
      <w:lang w:val="en-US" w:eastAsia="zh-CN" w:bidi="ar-SA"/>
    </w:rPr>
  </w:style>
  <w:style w:type="paragraph" w:customStyle="1" w:styleId="75">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76">
    <w:name w:val="li_正文"/>
    <w:basedOn w:val="1"/>
    <w:qFormat/>
    <w:uiPriority w:val="0"/>
    <w:pPr>
      <w:ind w:firstLine="200" w:firstLineChars="200"/>
      <w:jc w:val="left"/>
    </w:pPr>
    <w:rPr>
      <w:rFonts w:ascii="Calibri" w:hAnsi="Calibri"/>
      <w:sz w:val="28"/>
      <w:szCs w:val="28"/>
    </w:rPr>
  </w:style>
  <w:style w:type="paragraph" w:customStyle="1" w:styleId="77">
    <w:name w:val="无间隔1"/>
    <w:qFormat/>
    <w:uiPriority w:val="0"/>
    <w:pPr>
      <w:widowControl w:val="0"/>
      <w:tabs>
        <w:tab w:val="right" w:leader="dot" w:pos="8494"/>
      </w:tabs>
      <w:snapToGrid w:val="0"/>
    </w:pPr>
    <w:rPr>
      <w:rFonts w:ascii="宋体" w:hAnsi="宋体" w:eastAsia="宋体" w:cs="Times New Roman"/>
      <w:bCs/>
      <w:kern w:val="2"/>
      <w:sz w:val="24"/>
      <w:szCs w:val="36"/>
      <w:lang w:val="en-US" w:eastAsia="zh-CN" w:bidi="ar-SA"/>
    </w:rPr>
  </w:style>
  <w:style w:type="paragraph" w:customStyle="1" w:styleId="78">
    <w:name w:val="样式 首行缩进:  2 字符1"/>
    <w:basedOn w:val="1"/>
    <w:qFormat/>
    <w:uiPriority w:val="0"/>
    <w:pPr>
      <w:adjustRightInd w:val="0"/>
      <w:snapToGrid w:val="0"/>
      <w:spacing w:line="360" w:lineRule="auto"/>
      <w:ind w:firstLine="480"/>
    </w:pPr>
    <w:rPr>
      <w:rFonts w:cs="宋体"/>
    </w:rPr>
  </w:style>
  <w:style w:type="paragraph" w:customStyle="1" w:styleId="79">
    <w:name w:val="样式 标题 1一级标题 + 段前: 0.5 行 段后: 0.5 行"/>
    <w:basedOn w:val="2"/>
    <w:qFormat/>
    <w:uiPriority w:val="99"/>
    <w:pPr>
      <w:spacing w:line="320" w:lineRule="exact"/>
      <w:outlineLvl w:val="9"/>
    </w:pPr>
    <w:rPr>
      <w:spacing w:val="-6"/>
      <w:sz w:val="21"/>
      <w:szCs w:val="21"/>
    </w:rPr>
  </w:style>
  <w:style w:type="paragraph" w:customStyle="1" w:styleId="80">
    <w:name w:val="样式 表内容 + 行距: 固定值 28 磅"/>
    <w:basedOn w:val="71"/>
    <w:qFormat/>
    <w:uiPriority w:val="0"/>
    <w:rPr>
      <w:rFonts w:hAnsi="宋体" w:cs="宋体"/>
      <w:spacing w:val="5"/>
    </w:rPr>
  </w:style>
  <w:style w:type="paragraph" w:customStyle="1" w:styleId="81">
    <w:name w:val="报告表正文"/>
    <w:basedOn w:val="1"/>
    <w:qFormat/>
    <w:uiPriority w:val="0"/>
    <w:pPr>
      <w:adjustRightInd w:val="0"/>
      <w:spacing w:line="312" w:lineRule="auto"/>
      <w:ind w:left="113" w:right="113" w:firstLine="482"/>
      <w:jc w:val="left"/>
      <w:textAlignment w:val="baseline"/>
    </w:pPr>
    <w:rPr>
      <w:kern w:val="0"/>
      <w:sz w:val="24"/>
      <w:szCs w:val="20"/>
    </w:rPr>
  </w:style>
  <w:style w:type="paragraph" w:customStyle="1" w:styleId="82">
    <w:name w:val="表头及表尾"/>
    <w:qFormat/>
    <w:uiPriority w:val="0"/>
    <w:pPr>
      <w:tabs>
        <w:tab w:val="center" w:pos="4200"/>
        <w:tab w:val="right" w:pos="8400"/>
      </w:tabs>
      <w:adjustRightInd w:val="0"/>
      <w:snapToGrid w:val="0"/>
      <w:spacing w:line="360" w:lineRule="auto"/>
      <w:jc w:val="center"/>
    </w:pPr>
    <w:rPr>
      <w:rFonts w:ascii="Times New Roman" w:hAnsi="Times New Roman" w:eastAsia="宋体" w:cs="Times New Roman"/>
      <w:b/>
      <w:sz w:val="21"/>
      <w:szCs w:val="21"/>
      <w:lang w:val="en-US" w:eastAsia="zh-CN" w:bidi="ar-SA"/>
    </w:rPr>
  </w:style>
  <w:style w:type="table" w:customStyle="1" w:styleId="83">
    <w:name w:val="Table Normal"/>
    <w:unhideWhenUsed/>
    <w:qFormat/>
    <w:uiPriority w:val="0"/>
    <w:tblPr>
      <w:tblCellMar>
        <w:top w:w="0" w:type="dxa"/>
        <w:left w:w="0" w:type="dxa"/>
        <w:bottom w:w="0" w:type="dxa"/>
        <w:right w:w="0" w:type="dxa"/>
      </w:tblCellMar>
    </w:tblPr>
  </w:style>
  <w:style w:type="paragraph" w:customStyle="1" w:styleId="84">
    <w:name w:val="标题三！！！！！！！"/>
    <w:basedOn w:val="4"/>
    <w:qFormat/>
    <w:uiPriority w:val="0"/>
    <w:pPr>
      <w:keepNext w:val="0"/>
      <w:keepLines w:val="0"/>
      <w:spacing w:before="0" w:after="0" w:line="500" w:lineRule="exact"/>
    </w:pPr>
    <w:rPr>
      <w:rFonts w:ascii="宋体" w:hAnsi="宋体" w:cs="宋体"/>
      <w:bCs w:val="0"/>
      <w:sz w:val="28"/>
      <w:szCs w:val="28"/>
    </w:rPr>
  </w:style>
  <w:style w:type="paragraph" w:customStyle="1" w:styleId="85">
    <w:name w:val="表格后空行"/>
    <w:basedOn w:val="1"/>
    <w:qFormat/>
    <w:uiPriority w:val="0"/>
    <w:pPr>
      <w:widowControl/>
      <w:spacing w:line="240" w:lineRule="exact"/>
      <w:textAlignment w:val="baseline"/>
    </w:pPr>
    <w:rPr>
      <w:rFonts w:ascii="宋体" w:cs="宋体"/>
      <w:color w:val="000000"/>
      <w:kern w:val="0"/>
      <w:sz w:val="18"/>
      <w:szCs w:val="20"/>
      <w:u w:color="000000"/>
    </w:rPr>
  </w:style>
  <w:style w:type="paragraph" w:customStyle="1" w:styleId="86">
    <w:name w:val="表格标题"/>
    <w:basedOn w:val="87"/>
    <w:link w:val="103"/>
    <w:qFormat/>
    <w:uiPriority w:val="0"/>
    <w:pPr>
      <w:tabs>
        <w:tab w:val="left" w:pos="0"/>
        <w:tab w:val="center" w:pos="4153"/>
        <w:tab w:val="right" w:pos="8306"/>
      </w:tabs>
      <w:adjustRightInd w:val="0"/>
      <w:spacing w:line="240" w:lineRule="auto"/>
      <w:ind w:firstLine="0" w:firstLineChars="0"/>
      <w:jc w:val="center"/>
    </w:pPr>
    <w:rPr>
      <w:bCs/>
      <w:spacing w:val="6"/>
      <w:sz w:val="24"/>
      <w:szCs w:val="24"/>
    </w:rPr>
  </w:style>
  <w:style w:type="paragraph" w:customStyle="1" w:styleId="87">
    <w:name w:val="表头"/>
    <w:basedOn w:val="19"/>
    <w:next w:val="53"/>
    <w:qFormat/>
    <w:uiPriority w:val="0"/>
    <w:pPr>
      <w:tabs>
        <w:tab w:val="left" w:pos="0"/>
      </w:tabs>
      <w:wordWrap w:val="0"/>
      <w:spacing w:line="500" w:lineRule="exact"/>
      <w:ind w:right="17" w:firstLine="413" w:firstLineChars="196"/>
    </w:pPr>
    <w:rPr>
      <w:rFonts w:ascii="宋体" w:hAnsi="宋体"/>
      <w:b/>
      <w:szCs w:val="21"/>
    </w:rPr>
  </w:style>
  <w:style w:type="paragraph" w:customStyle="1" w:styleId="88">
    <w:name w:val="其他"/>
    <w:basedOn w:val="1"/>
    <w:qFormat/>
    <w:uiPriority w:val="0"/>
    <w:pPr>
      <w:jc w:val="center"/>
    </w:pPr>
    <w:rPr>
      <w:rFonts w:ascii="宋体" w:hAnsi="宋体" w:cs="宋体"/>
      <w:sz w:val="22"/>
      <w:szCs w:val="22"/>
    </w:rPr>
  </w:style>
  <w:style w:type="paragraph" w:customStyle="1" w:styleId="89">
    <w:name w:val="表格文本"/>
    <w:basedOn w:val="1"/>
    <w:qFormat/>
    <w:uiPriority w:val="0"/>
    <w:pPr>
      <w:adjustRightInd w:val="0"/>
      <w:snapToGrid w:val="0"/>
      <w:jc w:val="center"/>
    </w:pPr>
    <w:rPr>
      <w:szCs w:val="22"/>
    </w:rPr>
  </w:style>
  <w:style w:type="character" w:customStyle="1" w:styleId="90">
    <w:name w:val="15"/>
    <w:basedOn w:val="31"/>
    <w:qFormat/>
    <w:uiPriority w:val="0"/>
    <w:rPr>
      <w:rFonts w:hint="default" w:ascii="Times New Roman" w:hAnsi="Times New Roman" w:cs="Times New Roman"/>
      <w:color w:val="4D4D4D"/>
    </w:rPr>
  </w:style>
  <w:style w:type="character" w:customStyle="1" w:styleId="91">
    <w:name w:val="页眉 字符1"/>
    <w:basedOn w:val="31"/>
    <w:link w:val="20"/>
    <w:qFormat/>
    <w:uiPriority w:val="0"/>
    <w:rPr>
      <w:rFonts w:hint="default" w:ascii="Arial Unicode MS" w:hAnsi="Arial Unicode MS" w:eastAsia="Arial Unicode MS" w:cs="Arial Unicode MS"/>
    </w:rPr>
  </w:style>
  <w:style w:type="character" w:customStyle="1" w:styleId="92">
    <w:name w:val="页脚 字符2"/>
    <w:basedOn w:val="31"/>
    <w:link w:val="19"/>
    <w:qFormat/>
    <w:uiPriority w:val="0"/>
    <w:rPr>
      <w:rFonts w:hint="default" w:ascii="Arial Unicode MS" w:hAnsi="Arial Unicode MS" w:eastAsia="Arial Unicode MS" w:cs="Arial Unicode MS"/>
    </w:rPr>
  </w:style>
  <w:style w:type="paragraph" w:customStyle="1" w:styleId="93">
    <w:name w:val="表格标题5.21"/>
    <w:basedOn w:val="1"/>
    <w:qFormat/>
    <w:uiPriority w:val="0"/>
    <w:pPr>
      <w:adjustRightInd w:val="0"/>
      <w:snapToGrid w:val="0"/>
      <w:jc w:val="center"/>
      <w:textAlignment w:val="baseline"/>
    </w:pPr>
    <w:rPr>
      <w:rFonts w:ascii="黑体" w:hAnsi="黑体" w:eastAsia="黑体" w:cs="宋体"/>
      <w:snapToGrid w:val="0"/>
      <w:kern w:val="0"/>
      <w:sz w:val="24"/>
    </w:rPr>
  </w:style>
  <w:style w:type="paragraph" w:customStyle="1" w:styleId="94">
    <w:name w:val="_Style 2"/>
    <w:basedOn w:val="1"/>
    <w:qFormat/>
    <w:uiPriority w:val="99"/>
    <w:pPr>
      <w:ind w:firstLine="420"/>
    </w:pPr>
    <w:rPr>
      <w:rFonts w:ascii="Calibri" w:hAnsi="Calibri"/>
    </w:rPr>
  </w:style>
  <w:style w:type="paragraph" w:customStyle="1" w:styleId="95">
    <w:name w:val="Table Text"/>
    <w:basedOn w:val="1"/>
    <w:semiHidden/>
    <w:qFormat/>
    <w:uiPriority w:val="0"/>
    <w:rPr>
      <w:rFonts w:ascii="宋体" w:hAnsi="宋体" w:cs="宋体"/>
      <w:sz w:val="24"/>
      <w:lang w:eastAsia="en-US"/>
    </w:rPr>
  </w:style>
  <w:style w:type="paragraph" w:customStyle="1" w:styleId="96">
    <w:name w:val="YJ正文*"/>
    <w:basedOn w:val="1"/>
    <w:qFormat/>
    <w:uiPriority w:val="0"/>
    <w:pPr>
      <w:spacing w:line="520" w:lineRule="exact"/>
      <w:ind w:firstLine="480" w:firstLineChars="200"/>
    </w:pPr>
    <w:rPr>
      <w:rFonts w:ascii="宋体" w:hAnsi="宋体"/>
      <w:sz w:val="24"/>
    </w:rPr>
  </w:style>
  <w:style w:type="paragraph" w:customStyle="1" w:styleId="97">
    <w:name w:val="正文文本缩进 21"/>
    <w:basedOn w:val="1"/>
    <w:qFormat/>
    <w:uiPriority w:val="0"/>
    <w:pPr>
      <w:spacing w:line="480" w:lineRule="auto"/>
      <w:ind w:left="420" w:leftChars="200"/>
    </w:pPr>
  </w:style>
  <w:style w:type="paragraph" w:customStyle="1" w:styleId="98">
    <w:name w:val="正文26-5.21"/>
    <w:basedOn w:val="1"/>
    <w:link w:val="102"/>
    <w:qFormat/>
    <w:uiPriority w:val="0"/>
    <w:pPr>
      <w:adjustRightInd w:val="0"/>
      <w:snapToGrid w:val="0"/>
      <w:spacing w:line="520" w:lineRule="exact"/>
      <w:ind w:firstLine="480" w:firstLineChars="200"/>
      <w:textAlignment w:val="baseline"/>
    </w:pPr>
    <w:rPr>
      <w:rFonts w:cs="宋体"/>
      <w:snapToGrid w:val="0"/>
      <w:sz w:val="24"/>
    </w:rPr>
  </w:style>
  <w:style w:type="paragraph" w:customStyle="1" w:styleId="99">
    <w:name w:val="表格标题-yj"/>
    <w:basedOn w:val="1"/>
    <w:qFormat/>
    <w:uiPriority w:val="0"/>
    <w:pPr>
      <w:adjustRightInd w:val="0"/>
      <w:snapToGrid w:val="0"/>
      <w:jc w:val="center"/>
      <w:textAlignment w:val="baseline"/>
    </w:pPr>
    <w:rPr>
      <w:b/>
      <w:bCs/>
      <w:snapToGrid w:val="0"/>
      <w:kern w:val="0"/>
      <w:sz w:val="24"/>
    </w:rPr>
  </w:style>
  <w:style w:type="paragraph" w:customStyle="1" w:styleId="100">
    <w:name w:val="MEL表字-书"/>
    <w:basedOn w:val="1"/>
    <w:qFormat/>
    <w:uiPriority w:val="0"/>
    <w:pPr>
      <w:spacing w:line="300" w:lineRule="exact"/>
      <w:jc w:val="center"/>
    </w:pPr>
    <w:rPr>
      <w:rFonts w:ascii="宋体" w:hAnsi="宋体"/>
      <w:kern w:val="0"/>
      <w:szCs w:val="21"/>
    </w:rPr>
  </w:style>
  <w:style w:type="paragraph" w:customStyle="1" w:styleId="101">
    <w:name w:val="表格标题-报告书"/>
    <w:basedOn w:val="1"/>
    <w:qFormat/>
    <w:uiPriority w:val="0"/>
    <w:pPr>
      <w:keepNext/>
      <w:adjustRightInd w:val="0"/>
      <w:snapToGrid w:val="0"/>
      <w:spacing w:line="520" w:lineRule="exact"/>
      <w:jc w:val="center"/>
      <w:textAlignment w:val="baseline"/>
    </w:pPr>
    <w:rPr>
      <w:rFonts w:eastAsia="黑体" w:cs="宋体"/>
      <w:snapToGrid w:val="0"/>
      <w:szCs w:val="22"/>
    </w:rPr>
  </w:style>
  <w:style w:type="character" w:customStyle="1" w:styleId="102">
    <w:name w:val="正文26-5.21 字符"/>
    <w:link w:val="98"/>
    <w:autoRedefine/>
    <w:qFormat/>
    <w:uiPriority w:val="0"/>
    <w:rPr>
      <w:rFonts w:cs="宋体"/>
      <w:snapToGrid w:val="0"/>
      <w:kern w:val="2"/>
      <w:sz w:val="24"/>
      <w:szCs w:val="24"/>
    </w:rPr>
  </w:style>
  <w:style w:type="character" w:customStyle="1" w:styleId="103">
    <w:name w:val="表格标题 Char4"/>
    <w:link w:val="86"/>
    <w:autoRedefine/>
    <w:qFormat/>
    <w:uiPriority w:val="0"/>
    <w:rPr>
      <w:rFonts w:ascii="宋体" w:hAnsi="宋体" w:eastAsia="宋体"/>
      <w:b/>
      <w:bCs/>
      <w:spacing w:val="6"/>
      <w:sz w:val="24"/>
      <w:szCs w:val="24"/>
    </w:rPr>
  </w:style>
  <w:style w:type="paragraph" w:customStyle="1" w:styleId="104">
    <w:name w:val="报告表表格文字（五号居中）"/>
    <w:basedOn w:val="1"/>
    <w:qFormat/>
    <w:uiPriority w:val="0"/>
    <w:pPr>
      <w:wordWrap w:val="0"/>
      <w:adjustRightInd w:val="0"/>
      <w:snapToGrid w:val="0"/>
      <w:jc w:val="center"/>
    </w:pPr>
    <w:rPr>
      <w:rFonts w:ascii="宋体" w:hAnsi="宋体"/>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7e7b95-87aa-4940-ab96-626209f7dc29}">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12</Pages>
  <Words>3079</Words>
  <Characters>3340</Characters>
  <Lines>79</Lines>
  <Paragraphs>22</Paragraphs>
  <TotalTime>576</TotalTime>
  <ScaleCrop>false</ScaleCrop>
  <LinksUpToDate>false</LinksUpToDate>
  <CharactersWithSpaces>3394</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2026-03-16T02:39:00Z</dcterms:created>
  <dc:creator>jc</dc:creator>
  <cp:lastModifiedBy>ℳ๓₯㎕.老街。</cp:lastModifiedBy>
  <cp:lastPrinted>2023-08-09T03:30:00Z</cp:lastPrinted>
  <dcterms:modified xsi:type="dcterms:W3CDTF">2026-07-22T01:56:42Z</dcterms:modified>
  <dc:title>附件2</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D4C8530189124BFFADB59955D7A1264F_13</vt:lpwstr>
  </property>
  <property fmtid="{D5CDD505-2E9C-101B-9397-08002B2CF9AE}" pid="4" name="KSOTemplateDocerSaveRecord">
    <vt:lpwstr>eyJoZGlkIjoiMDE5MzY4NTVmNWNkM2FiOTE3MzcxMWViN2E1MTkyMzYiLCJ1c2VySWQiOiI1MDc3ODA1MzIifQ==</vt:lpwstr>
  </property>
</Properties>
</file>