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2DEDB">
      <w:pPr>
        <w:rPr>
          <w:rFonts w:hint="eastAsia" w:ascii="仿宋_GB2312" w:hAnsi="仿宋_GB2312" w:eastAsia="仿宋_GB2312" w:cs="仿宋_GB2312"/>
          <w:color w:val="000000" w:themeColor="text1"/>
          <w:sz w:val="36"/>
          <w:szCs w:val="36"/>
          <w:highlight w:val="none"/>
          <w14:textFill>
            <w14:solidFill>
              <w14:schemeClr w14:val="tx1"/>
            </w14:solidFill>
          </w14:textFill>
        </w:rPr>
      </w:pPr>
    </w:p>
    <w:p w14:paraId="1D7C1648">
      <w:pPr>
        <w:rPr>
          <w:rFonts w:hint="eastAsia" w:ascii="仿宋_GB2312" w:hAnsi="仿宋_GB2312" w:eastAsia="仿宋_GB2312" w:cs="仿宋_GB2312"/>
          <w:color w:val="000000" w:themeColor="text1"/>
          <w:sz w:val="36"/>
          <w:szCs w:val="36"/>
          <w:highlight w:val="none"/>
          <w14:textFill>
            <w14:solidFill>
              <w14:schemeClr w14:val="tx1"/>
            </w14:solidFill>
          </w14:textFill>
        </w:rPr>
      </w:pPr>
    </w:p>
    <w:p w14:paraId="3C6F8DC4">
      <w:pPr>
        <w:rPr>
          <w:rFonts w:hint="eastAsia" w:ascii="仿宋_GB2312" w:hAnsi="仿宋_GB2312" w:eastAsia="仿宋_GB2312" w:cs="仿宋_GB2312"/>
          <w:color w:val="000000" w:themeColor="text1"/>
          <w:sz w:val="36"/>
          <w:szCs w:val="36"/>
          <w:highlight w:val="none"/>
          <w14:textFill>
            <w14:solidFill>
              <w14:schemeClr w14:val="tx1"/>
            </w14:solidFill>
          </w14:textFill>
        </w:rPr>
      </w:pPr>
    </w:p>
    <w:p w14:paraId="1E9E73BB">
      <w:pPr>
        <w:rPr>
          <w:rFonts w:hint="eastAsia" w:ascii="仿宋_GB2312" w:hAnsi="仿宋_GB2312" w:eastAsia="仿宋_GB2312" w:cs="仿宋_GB2312"/>
          <w:color w:val="000000" w:themeColor="text1"/>
          <w:sz w:val="36"/>
          <w:szCs w:val="36"/>
          <w:highlight w:val="none"/>
          <w14:textFill>
            <w14:solidFill>
              <w14:schemeClr w14:val="tx1"/>
            </w14:solidFill>
          </w14:textFill>
        </w:rPr>
      </w:pPr>
    </w:p>
    <w:p w14:paraId="3FCA8EB9">
      <w:pPr>
        <w:rPr>
          <w:rFonts w:hint="eastAsia" w:ascii="仿宋_GB2312" w:hAnsi="仿宋_GB2312" w:eastAsia="仿宋_GB2312" w:cs="仿宋_GB2312"/>
          <w:color w:val="000000" w:themeColor="text1"/>
          <w:sz w:val="36"/>
          <w:szCs w:val="36"/>
          <w:highlight w:val="none"/>
          <w14:textFill>
            <w14:solidFill>
              <w14:schemeClr w14:val="tx1"/>
            </w14:solidFill>
          </w14:textFill>
        </w:rPr>
      </w:pPr>
    </w:p>
    <w:p w14:paraId="58D2151D">
      <w:pPr>
        <w:adjustRightInd w:val="0"/>
        <w:snapToGrid w:val="0"/>
        <w:jc w:val="center"/>
        <w:outlineLvl w:val="0"/>
        <w:rPr>
          <w:rFonts w:ascii="方正小标宋_GBK" w:eastAsia="方正小标宋_GBK"/>
          <w:bCs/>
          <w:color w:val="000000" w:themeColor="text1"/>
          <w:sz w:val="72"/>
          <w:szCs w:val="72"/>
          <w:highlight w:val="none"/>
          <w14:textFill>
            <w14:solidFill>
              <w14:schemeClr w14:val="tx1"/>
            </w14:solidFill>
          </w14:textFill>
        </w:rPr>
      </w:pPr>
      <w:bookmarkStart w:id="0" w:name="_Toc17057"/>
      <w:bookmarkStart w:id="1" w:name="_Toc11494"/>
      <w:bookmarkStart w:id="2" w:name="_Toc16224"/>
      <w:bookmarkStart w:id="3" w:name="_Toc6355"/>
      <w:bookmarkStart w:id="4" w:name="_Toc10221"/>
      <w:bookmarkStart w:id="5" w:name="_Toc9783"/>
      <w:r>
        <w:rPr>
          <w:rFonts w:hint="eastAsia" w:ascii="方正小标宋_GBK" w:eastAsia="方正小标宋_GBK"/>
          <w:bCs/>
          <w:color w:val="000000" w:themeColor="text1"/>
          <w:sz w:val="72"/>
          <w:szCs w:val="72"/>
          <w:highlight w:val="none"/>
          <w14:textFill>
            <w14:solidFill>
              <w14:schemeClr w14:val="tx1"/>
            </w14:solidFill>
          </w14:textFill>
        </w:rPr>
        <w:t>建设项目环境影响报告表</w:t>
      </w:r>
      <w:bookmarkEnd w:id="0"/>
      <w:bookmarkEnd w:id="1"/>
      <w:bookmarkEnd w:id="2"/>
      <w:bookmarkEnd w:id="3"/>
      <w:bookmarkEnd w:id="4"/>
      <w:bookmarkEnd w:id="5"/>
    </w:p>
    <w:p w14:paraId="0E80E56F">
      <w:pPr>
        <w:adjustRightInd w:val="0"/>
        <w:snapToGrid w:val="0"/>
        <w:spacing w:before="192" w:beforeLines="80"/>
        <w:jc w:val="center"/>
        <w:rPr>
          <w:rFonts w:ascii="楷体_GB2312" w:eastAsia="楷体_GB2312"/>
          <w:bCs/>
          <w:color w:val="000000" w:themeColor="text1"/>
          <w:sz w:val="48"/>
          <w:szCs w:val="48"/>
          <w:highlight w:val="none"/>
          <w14:textFill>
            <w14:solidFill>
              <w14:schemeClr w14:val="tx1"/>
            </w14:solidFill>
          </w14:textFill>
        </w:rPr>
      </w:pPr>
      <w:r>
        <w:rPr>
          <w:rFonts w:hint="eastAsia" w:ascii="楷体_GB2312" w:eastAsia="楷体_GB2312"/>
          <w:bCs/>
          <w:color w:val="000000" w:themeColor="text1"/>
          <w:sz w:val="48"/>
          <w:szCs w:val="48"/>
          <w:highlight w:val="none"/>
          <w14:textFill>
            <w14:solidFill>
              <w14:schemeClr w14:val="tx1"/>
            </w14:solidFill>
          </w14:textFill>
        </w:rPr>
        <w:t>（生态影响类）</w:t>
      </w:r>
    </w:p>
    <w:p w14:paraId="295A060E">
      <w:pPr>
        <w:spacing w:line="360" w:lineRule="auto"/>
        <w:jc w:val="center"/>
        <w:rPr>
          <w:rFonts w:eastAsia="仿宋"/>
          <w:color w:val="000000" w:themeColor="text1"/>
          <w:sz w:val="52"/>
          <w:szCs w:val="52"/>
          <w:highlight w:val="none"/>
          <w14:textFill>
            <w14:solidFill>
              <w14:schemeClr w14:val="tx1"/>
            </w14:solidFill>
          </w14:textFill>
        </w:rPr>
      </w:pPr>
      <w:r>
        <w:rPr>
          <w:rFonts w:hint="eastAsia" w:eastAsia="仿宋"/>
          <w:color w:val="000000" w:themeColor="text1"/>
          <w:sz w:val="40"/>
          <w:szCs w:val="40"/>
          <w:highlight w:val="none"/>
          <w:lang w:eastAsia="zh-CN"/>
          <w14:textFill>
            <w14:solidFill>
              <w14:schemeClr w14:val="tx1"/>
            </w14:solidFill>
          </w14:textFill>
        </w:rPr>
        <w:t>（</w:t>
      </w:r>
      <w:r>
        <w:rPr>
          <w:rFonts w:hint="eastAsia" w:eastAsia="仿宋"/>
          <w:color w:val="000000" w:themeColor="text1"/>
          <w:sz w:val="40"/>
          <w:szCs w:val="40"/>
          <w:highlight w:val="none"/>
          <w:lang w:val="en-US" w:eastAsia="zh-CN"/>
          <w14:textFill>
            <w14:solidFill>
              <w14:schemeClr w14:val="tx1"/>
            </w14:solidFill>
          </w14:textFill>
        </w:rPr>
        <w:t>公示稿</w:t>
      </w:r>
      <w:r>
        <w:rPr>
          <w:rFonts w:hint="eastAsia" w:eastAsia="仿宋"/>
          <w:color w:val="000000" w:themeColor="text1"/>
          <w:sz w:val="40"/>
          <w:szCs w:val="40"/>
          <w:highlight w:val="none"/>
          <w:lang w:eastAsia="zh-CN"/>
          <w14:textFill>
            <w14:solidFill>
              <w14:schemeClr w14:val="tx1"/>
            </w14:solidFill>
          </w14:textFill>
        </w:rPr>
        <w:t>）</w:t>
      </w:r>
    </w:p>
    <w:p w14:paraId="16CBDD59">
      <w:pPr>
        <w:pStyle w:val="31"/>
        <w:rPr>
          <w:color w:val="000000" w:themeColor="text1"/>
          <w:highlight w:val="none"/>
          <w14:textFill>
            <w14:solidFill>
              <w14:schemeClr w14:val="tx1"/>
            </w14:solidFill>
          </w14:textFill>
        </w:rPr>
      </w:pPr>
    </w:p>
    <w:p w14:paraId="25F75701">
      <w:pPr>
        <w:rPr>
          <w:color w:val="000000" w:themeColor="text1"/>
          <w:highlight w:val="none"/>
          <w14:textFill>
            <w14:solidFill>
              <w14:schemeClr w14:val="tx1"/>
            </w14:solidFill>
          </w14:textFill>
        </w:rPr>
      </w:pPr>
    </w:p>
    <w:p w14:paraId="1CD199A2">
      <w:pPr>
        <w:ind w:firstLine="1040"/>
        <w:rPr>
          <w:rFonts w:eastAsia="仿宋"/>
          <w:color w:val="000000" w:themeColor="text1"/>
          <w:sz w:val="44"/>
          <w:szCs w:val="44"/>
          <w:highlight w:val="none"/>
          <w14:textFill>
            <w14:solidFill>
              <w14:schemeClr w14:val="tx1"/>
            </w14:solidFill>
          </w14:textFill>
        </w:rPr>
      </w:pPr>
    </w:p>
    <w:p w14:paraId="2FFF8E48">
      <w:pPr>
        <w:ind w:firstLine="1040"/>
        <w:rPr>
          <w:rFonts w:eastAsia="仿宋"/>
          <w:color w:val="000000" w:themeColor="text1"/>
          <w:sz w:val="44"/>
          <w:szCs w:val="44"/>
          <w:highlight w:val="none"/>
          <w14:textFill>
            <w14:solidFill>
              <w14:schemeClr w14:val="tx1"/>
            </w14:solidFill>
          </w14:textFill>
        </w:rPr>
      </w:pPr>
    </w:p>
    <w:p w14:paraId="7A021CFF">
      <w:pPr>
        <w:pStyle w:val="31"/>
        <w:rPr>
          <w:color w:val="000000" w:themeColor="text1"/>
          <w:highlight w:val="none"/>
          <w14:textFill>
            <w14:solidFill>
              <w14:schemeClr w14:val="tx1"/>
            </w14:solidFill>
          </w14:textFill>
        </w:rPr>
      </w:pPr>
    </w:p>
    <w:p w14:paraId="3E1F4F5C">
      <w:pPr>
        <w:rPr>
          <w:color w:val="000000" w:themeColor="text1"/>
          <w:highlight w:val="none"/>
          <w14:textFill>
            <w14:solidFill>
              <w14:schemeClr w14:val="tx1"/>
            </w14:solidFill>
          </w14:textFill>
        </w:rPr>
      </w:pPr>
    </w:p>
    <w:p w14:paraId="5234457A">
      <w:pPr>
        <w:pStyle w:val="31"/>
        <w:rPr>
          <w:color w:val="000000" w:themeColor="text1"/>
          <w:highlight w:val="none"/>
          <w14:textFill>
            <w14:solidFill>
              <w14:schemeClr w14:val="tx1"/>
            </w14:solidFill>
          </w14:textFill>
        </w:rPr>
      </w:pPr>
    </w:p>
    <w:p w14:paraId="3A5A36FB">
      <w:pPr>
        <w:ind w:firstLine="1040"/>
        <w:rPr>
          <w:rFonts w:eastAsia="仿宋"/>
          <w:color w:val="000000" w:themeColor="text1"/>
          <w:sz w:val="44"/>
          <w:szCs w:val="44"/>
          <w:highlight w:val="none"/>
          <w14:textFill>
            <w14:solidFill>
              <w14:schemeClr w14:val="tx1"/>
            </w14:solidFill>
          </w14:textFill>
        </w:rPr>
      </w:pPr>
    </w:p>
    <w:p w14:paraId="31FC16F9">
      <w:pPr>
        <w:ind w:firstLine="1040"/>
        <w:rPr>
          <w:rFonts w:eastAsia="仿宋"/>
          <w:color w:val="000000" w:themeColor="text1"/>
          <w:sz w:val="44"/>
          <w:szCs w:val="44"/>
          <w:highlight w:val="none"/>
          <w14:textFill>
            <w14:solidFill>
              <w14:schemeClr w14:val="tx1"/>
            </w14:solidFill>
          </w14:textFill>
        </w:rPr>
      </w:pPr>
    </w:p>
    <w:p w14:paraId="2F0A157E">
      <w:pPr>
        <w:adjustRightInd w:val="0"/>
        <w:snapToGrid w:val="0"/>
        <w:spacing w:line="288" w:lineRule="auto"/>
        <w:ind w:left="2293" w:leftChars="304" w:hanging="1655" w:hangingChars="460"/>
        <w:rPr>
          <w:rFonts w:hint="eastAsia" w:ascii="仿宋" w:hAnsi="仿宋" w:eastAsia="仿宋" w:cs="仿宋"/>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项目名称：</w:t>
      </w:r>
      <w:r>
        <w:rPr>
          <w:rFonts w:hint="eastAsia" w:ascii="仿宋" w:hAnsi="仿宋" w:eastAsia="仿宋" w:cs="仿宋"/>
          <w:color w:val="000000" w:themeColor="text1"/>
          <w:sz w:val="36"/>
          <w:szCs w:val="36"/>
          <w:highlight w:val="none"/>
          <w:u w:val="single"/>
          <w:lang w:eastAsia="zh-CN"/>
          <w14:textFill>
            <w14:solidFill>
              <w14:schemeClr w14:val="tx1"/>
            </w14:solidFill>
          </w14:textFill>
        </w:rPr>
        <w:t>奥宇托克逊县10万千瓦/40万千瓦时电化学独立储能项目</w:t>
      </w:r>
      <w:r>
        <w:rPr>
          <w:rFonts w:hint="eastAsia" w:ascii="仿宋" w:hAnsi="仿宋" w:eastAsia="仿宋" w:cs="仿宋"/>
          <w:color w:val="000000" w:themeColor="text1"/>
          <w:sz w:val="36"/>
          <w:szCs w:val="36"/>
          <w:highlight w:val="none"/>
          <w:u w:val="single"/>
          <w14:textFill>
            <w14:solidFill>
              <w14:schemeClr w14:val="tx1"/>
            </w14:solidFill>
          </w14:textFill>
        </w:rPr>
        <w:t xml:space="preserve">       </w:t>
      </w:r>
      <w:r>
        <w:rPr>
          <w:rFonts w:hint="eastAsia" w:ascii="仿宋" w:hAnsi="仿宋" w:eastAsia="仿宋" w:cs="仿宋"/>
          <w:color w:val="000000" w:themeColor="text1"/>
          <w:sz w:val="36"/>
          <w:szCs w:val="36"/>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6"/>
          <w:szCs w:val="36"/>
          <w:highlight w:val="none"/>
          <w:u w:val="single"/>
          <w14:textFill>
            <w14:solidFill>
              <w14:schemeClr w14:val="tx1"/>
            </w14:solidFill>
          </w14:textFill>
        </w:rPr>
        <w:t xml:space="preserve">         </w:t>
      </w:r>
    </w:p>
    <w:p w14:paraId="30E73DBE">
      <w:pPr>
        <w:adjustRightInd w:val="0"/>
        <w:snapToGrid w:val="0"/>
        <w:spacing w:line="288" w:lineRule="auto"/>
        <w:ind w:firstLine="720" w:firstLineChars="200"/>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建设单位（盖章）：</w:t>
      </w:r>
      <w:r>
        <w:rPr>
          <w:rFonts w:hint="eastAsia" w:ascii="仿宋" w:hAnsi="仿宋" w:eastAsia="仿宋" w:cs="仿宋"/>
          <w:color w:val="000000" w:themeColor="text1"/>
          <w:sz w:val="36"/>
          <w:szCs w:val="36"/>
          <w:highlight w:val="none"/>
          <w:u w:val="single"/>
          <w:lang w:eastAsia="zh-CN"/>
          <w14:textFill>
            <w14:solidFill>
              <w14:schemeClr w14:val="tx1"/>
            </w14:solidFill>
          </w14:textFill>
        </w:rPr>
        <w:t>托克逊奥宇储能有限公司</w:t>
      </w:r>
      <w:r>
        <w:rPr>
          <w:rFonts w:hint="eastAsia" w:ascii="仿宋" w:hAnsi="仿宋" w:eastAsia="仿宋" w:cs="仿宋"/>
          <w:color w:val="000000" w:themeColor="text1"/>
          <w:sz w:val="36"/>
          <w:szCs w:val="36"/>
          <w:highlight w:val="none"/>
          <w:u w:val="single"/>
          <w14:textFill>
            <w14:solidFill>
              <w14:schemeClr w14:val="tx1"/>
            </w14:solidFill>
          </w14:textFill>
        </w:rPr>
        <w:t xml:space="preserve">      </w:t>
      </w:r>
    </w:p>
    <w:p w14:paraId="323879FE">
      <w:pPr>
        <w:adjustRightInd w:val="0"/>
        <w:snapToGrid w:val="0"/>
        <w:spacing w:line="288" w:lineRule="auto"/>
        <w:ind w:firstLine="720" w:firstLineChars="200"/>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编制日期：</w:t>
      </w:r>
      <w:r>
        <w:rPr>
          <w:rFonts w:hint="eastAsia" w:ascii="仿宋" w:hAnsi="仿宋" w:eastAsia="仿宋" w:cs="仿宋"/>
          <w:color w:val="000000" w:themeColor="text1"/>
          <w:sz w:val="36"/>
          <w:szCs w:val="36"/>
          <w:highlight w:val="none"/>
          <w:u w:val="single"/>
          <w14:textFill>
            <w14:solidFill>
              <w14:schemeClr w14:val="tx1"/>
            </w14:solidFill>
          </w14:textFill>
        </w:rPr>
        <w:t xml:space="preserve">            202</w:t>
      </w:r>
      <w:r>
        <w:rPr>
          <w:rFonts w:hint="eastAsia" w:ascii="仿宋" w:hAnsi="仿宋" w:eastAsia="仿宋" w:cs="仿宋"/>
          <w:color w:val="000000" w:themeColor="text1"/>
          <w:sz w:val="36"/>
          <w:szCs w:val="36"/>
          <w:highlight w:val="none"/>
          <w:u w:val="single"/>
          <w:lang w:val="en-US" w:eastAsia="zh-CN"/>
          <w14:textFill>
            <w14:solidFill>
              <w14:schemeClr w14:val="tx1"/>
            </w14:solidFill>
          </w14:textFill>
        </w:rPr>
        <w:t>6</w:t>
      </w:r>
      <w:r>
        <w:rPr>
          <w:rFonts w:hint="eastAsia" w:ascii="仿宋" w:hAnsi="仿宋" w:eastAsia="仿宋" w:cs="仿宋"/>
          <w:color w:val="000000" w:themeColor="text1"/>
          <w:sz w:val="36"/>
          <w:szCs w:val="36"/>
          <w:highlight w:val="none"/>
          <w:u w:val="single"/>
          <w14:textFill>
            <w14:solidFill>
              <w14:schemeClr w14:val="tx1"/>
            </w14:solidFill>
          </w14:textFill>
        </w:rPr>
        <w:t>年</w:t>
      </w:r>
      <w:r>
        <w:rPr>
          <w:rFonts w:hint="eastAsia" w:ascii="仿宋" w:hAnsi="仿宋" w:eastAsia="仿宋" w:cs="仿宋"/>
          <w:color w:val="000000" w:themeColor="text1"/>
          <w:sz w:val="36"/>
          <w:szCs w:val="36"/>
          <w:highlight w:val="none"/>
          <w:u w:val="single"/>
          <w:lang w:val="en-US" w:eastAsia="zh-CN"/>
          <w14:textFill>
            <w14:solidFill>
              <w14:schemeClr w14:val="tx1"/>
            </w14:solidFill>
          </w14:textFill>
        </w:rPr>
        <w:t>8</w:t>
      </w:r>
      <w:r>
        <w:rPr>
          <w:rFonts w:hint="eastAsia" w:ascii="仿宋" w:hAnsi="仿宋" w:eastAsia="仿宋" w:cs="仿宋"/>
          <w:color w:val="000000" w:themeColor="text1"/>
          <w:sz w:val="36"/>
          <w:szCs w:val="36"/>
          <w:highlight w:val="none"/>
          <w:u w:val="single"/>
          <w14:textFill>
            <w14:solidFill>
              <w14:schemeClr w14:val="tx1"/>
            </w14:solidFill>
          </w14:textFill>
        </w:rPr>
        <w:t xml:space="preserve">月             </w:t>
      </w:r>
      <w:bookmarkStart w:id="6" w:name="_Hlk57884087"/>
    </w:p>
    <w:p w14:paraId="3BACC231">
      <w:pPr>
        <w:adjustRightInd w:val="0"/>
        <w:snapToGrid w:val="0"/>
        <w:spacing w:line="288" w:lineRule="auto"/>
        <w:ind w:firstLine="1040"/>
        <w:rPr>
          <w:rFonts w:ascii="Calibri" w:hAnsi="Calibri" w:eastAsia="仿宋_GB2312"/>
          <w:color w:val="000000" w:themeColor="text1"/>
          <w:sz w:val="36"/>
          <w:szCs w:val="36"/>
          <w:highlight w:val="none"/>
          <w14:textFill>
            <w14:solidFill>
              <w14:schemeClr w14:val="tx1"/>
            </w14:solidFill>
          </w14:textFill>
        </w:rPr>
      </w:pPr>
    </w:p>
    <w:p w14:paraId="6DA29F20">
      <w:pPr>
        <w:pStyle w:val="31"/>
        <w:rPr>
          <w:color w:val="000000" w:themeColor="text1"/>
          <w:highlight w:val="none"/>
          <w14:textFill>
            <w14:solidFill>
              <w14:schemeClr w14:val="tx1"/>
            </w14:solidFill>
          </w14:textFill>
        </w:rPr>
      </w:pPr>
    </w:p>
    <w:p w14:paraId="12BF79DA">
      <w:pPr>
        <w:adjustRightInd w:val="0"/>
        <w:snapToGrid w:val="0"/>
        <w:spacing w:line="288" w:lineRule="auto"/>
        <w:rPr>
          <w:rFonts w:ascii="仿宋_GB2312" w:eastAsia="仿宋_GB2312"/>
          <w:color w:val="000000" w:themeColor="text1"/>
          <w:sz w:val="36"/>
          <w:szCs w:val="36"/>
          <w:highlight w:val="none"/>
          <w14:textFill>
            <w14:solidFill>
              <w14:schemeClr w14:val="tx1"/>
            </w14:solidFill>
          </w14:textFill>
        </w:rPr>
      </w:pPr>
    </w:p>
    <w:bookmarkEnd w:id="6"/>
    <w:p w14:paraId="56B250F9">
      <w:pPr>
        <w:adjustRightInd w:val="0"/>
        <w:snapToGrid w:val="0"/>
        <w:spacing w:line="288" w:lineRule="auto"/>
        <w:jc w:val="center"/>
        <w:rPr>
          <w:rFonts w:eastAsia="仿宋_GB2312"/>
          <w:color w:val="000000" w:themeColor="text1"/>
          <w:sz w:val="36"/>
          <w:szCs w:val="36"/>
          <w:highlight w:val="none"/>
          <w14:textFill>
            <w14:solidFill>
              <w14:schemeClr w14:val="tx1"/>
            </w14:solidFill>
          </w14:textFill>
        </w:rPr>
      </w:pPr>
      <w:bookmarkStart w:id="7" w:name="_Toc17740"/>
      <w:bookmarkStart w:id="8" w:name="_Toc12004"/>
      <w:bookmarkStart w:id="9" w:name="_Toc29213"/>
      <w:bookmarkStart w:id="10" w:name="_Toc28619"/>
      <w:bookmarkStart w:id="11" w:name="_Toc22415"/>
      <w:bookmarkStart w:id="12" w:name="_Toc3150"/>
      <w:r>
        <w:rPr>
          <w:rFonts w:hint="eastAsia" w:ascii="楷体_GB2312" w:eastAsia="楷体_GB2312"/>
          <w:color w:val="000000" w:themeColor="text1"/>
          <w:sz w:val="36"/>
          <w:szCs w:val="36"/>
          <w:highlight w:val="none"/>
          <w14:textFill>
            <w14:solidFill>
              <w14:schemeClr w14:val="tx1"/>
            </w14:solidFill>
          </w14:textFill>
        </w:rPr>
        <w:t>中华人民共和国生态环境部制</w:t>
      </w:r>
      <w:bookmarkEnd w:id="7"/>
      <w:bookmarkEnd w:id="8"/>
      <w:bookmarkEnd w:id="9"/>
      <w:bookmarkEnd w:id="10"/>
      <w:bookmarkEnd w:id="11"/>
      <w:bookmarkEnd w:id="12"/>
    </w:p>
    <w:p w14:paraId="11D943D1">
      <w:pPr>
        <w:adjustRightInd w:val="0"/>
        <w:snapToGrid w:val="0"/>
        <w:spacing w:line="288" w:lineRule="auto"/>
        <w:ind w:left="1600" w:hanging="1600" w:hangingChars="500"/>
        <w:jc w:val="center"/>
        <w:rPr>
          <w:rFonts w:eastAsia="仿宋_GB2312"/>
          <w:color w:val="000000" w:themeColor="text1"/>
          <w:sz w:val="32"/>
          <w:szCs w:val="32"/>
          <w:highlight w:val="none"/>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21821ED3">
      <w:pPr>
        <w:pStyle w:val="27"/>
        <w:snapToGrid w:val="0"/>
        <w:spacing w:before="0" w:beforeAutospacing="0" w:after="0" w:afterAutospacing="0"/>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13" w:name="_Toc7397"/>
      <w:bookmarkStart w:id="14" w:name="_Toc6399"/>
      <w:r>
        <w:rPr>
          <w:rFonts w:hint="eastAsia" w:ascii="黑体" w:hAnsi="黑体" w:eastAsia="黑体"/>
          <w:snapToGrid w:val="0"/>
          <w:color w:val="000000" w:themeColor="text1"/>
          <w:sz w:val="30"/>
          <w:szCs w:val="30"/>
          <w:highlight w:val="none"/>
          <w14:textFill>
            <w14:solidFill>
              <w14:schemeClr w14:val="tx1"/>
            </w14:solidFill>
          </w14:textFill>
        </w:rPr>
        <w:t>一、建设项目基本情况</w:t>
      </w:r>
      <w:bookmarkEnd w:id="13"/>
      <w:bookmarkEnd w:id="14"/>
    </w:p>
    <w:tbl>
      <w:tblPr>
        <w:tblStyle w:val="32"/>
        <w:tblW w:w="9040" w:type="dxa"/>
        <w:tblInd w:w="1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75"/>
        <w:gridCol w:w="1404"/>
        <w:gridCol w:w="2068"/>
        <w:gridCol w:w="1900"/>
        <w:gridCol w:w="2893"/>
      </w:tblGrid>
      <w:tr w14:paraId="26C35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2179" w:type="dxa"/>
            <w:gridSpan w:val="2"/>
            <w:tcMar>
              <w:top w:w="16" w:type="dxa"/>
              <w:left w:w="16" w:type="dxa"/>
              <w:right w:w="16" w:type="dxa"/>
            </w:tcMar>
            <w:vAlign w:val="center"/>
          </w:tcPr>
          <w:p w14:paraId="17E55AF9">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建设项目名称</w:t>
            </w:r>
          </w:p>
        </w:tc>
        <w:tc>
          <w:tcPr>
            <w:tcW w:w="6861" w:type="dxa"/>
            <w:gridSpan w:val="3"/>
            <w:vAlign w:val="center"/>
          </w:tcPr>
          <w:p w14:paraId="54DFBF86">
            <w:pPr>
              <w:keepNext w:val="0"/>
              <w:keepLines w:val="0"/>
              <w:pageBreakBefore w:val="0"/>
              <w:kinsoku/>
              <w:overflowPunct/>
              <w:bidi w:val="0"/>
              <w:adjustRightInd w:val="0"/>
              <w:snapToGrid w:val="0"/>
              <w:spacing w:line="280" w:lineRule="exact"/>
              <w:jc w:val="center"/>
              <w:textAlignment w:val="auto"/>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奥宇托克逊县10万千瓦/40万千瓦时电化学独立储能项目</w:t>
            </w:r>
          </w:p>
        </w:tc>
      </w:tr>
      <w:tr w14:paraId="5AF6A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2179" w:type="dxa"/>
            <w:gridSpan w:val="2"/>
            <w:tcMar>
              <w:top w:w="16" w:type="dxa"/>
              <w:left w:w="16" w:type="dxa"/>
              <w:right w:w="16" w:type="dxa"/>
            </w:tcMar>
            <w:vAlign w:val="center"/>
          </w:tcPr>
          <w:p w14:paraId="2E51CA88">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项目代码</w:t>
            </w:r>
          </w:p>
        </w:tc>
        <w:tc>
          <w:tcPr>
            <w:tcW w:w="6861" w:type="dxa"/>
            <w:gridSpan w:val="3"/>
            <w:vAlign w:val="center"/>
          </w:tcPr>
          <w:p w14:paraId="12D39B3A">
            <w:pPr>
              <w:keepNext w:val="0"/>
              <w:keepLines w:val="0"/>
              <w:pageBreakBefore w:val="0"/>
              <w:kinsoku/>
              <w:overflowPunct/>
              <w:bidi w:val="0"/>
              <w:adjustRightInd w:val="0"/>
              <w:snapToGrid w:val="0"/>
              <w:spacing w:line="280" w:lineRule="exact"/>
              <w:jc w:val="center"/>
              <w:textAlignment w:val="auto"/>
              <w:rPr>
                <w:rFonts w:hint="default" w:eastAsia="宋体"/>
                <w:color w:val="000000" w:themeColor="text1"/>
                <w:sz w:val="24"/>
                <w:highlight w:val="none"/>
                <w:lang w:val="en-US" w:eastAsia="zh-CN"/>
                <w14:textFill>
                  <w14:solidFill>
                    <w14:schemeClr w14:val="tx1"/>
                  </w14:solidFill>
                </w14:textFill>
              </w:rPr>
            </w:pPr>
            <w:r>
              <w:rPr>
                <w:rFonts w:hint="default" w:eastAsia="宋体"/>
                <w:color w:val="000000" w:themeColor="text1"/>
                <w:sz w:val="24"/>
                <w:highlight w:val="none"/>
                <w:lang w:val="en-US" w:eastAsia="zh-CN"/>
                <w14:textFill>
                  <w14:solidFill>
                    <w14:schemeClr w14:val="tx1"/>
                  </w14:solidFill>
                </w14:textFill>
              </w:rPr>
              <w:t>2501-650422-04-01-362051</w:t>
            </w:r>
          </w:p>
        </w:tc>
      </w:tr>
      <w:tr w14:paraId="628DD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179" w:type="dxa"/>
            <w:gridSpan w:val="2"/>
            <w:tcMar>
              <w:top w:w="16" w:type="dxa"/>
              <w:left w:w="16" w:type="dxa"/>
              <w:right w:w="16" w:type="dxa"/>
            </w:tcMar>
            <w:vAlign w:val="center"/>
          </w:tcPr>
          <w:p w14:paraId="2078D842">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建设项目行业类别</w:t>
            </w:r>
          </w:p>
        </w:tc>
        <w:tc>
          <w:tcPr>
            <w:tcW w:w="2068" w:type="dxa"/>
            <w:vAlign w:val="center"/>
          </w:tcPr>
          <w:p w14:paraId="570D2974">
            <w:pPr>
              <w:keepNext w:val="0"/>
              <w:keepLines w:val="0"/>
              <w:pageBreakBefore w:val="0"/>
              <w:kinsoku/>
              <w:overflowPunct/>
              <w:bidi w:val="0"/>
              <w:adjustRightInd w:val="0"/>
              <w:snapToGrid w:val="0"/>
              <w:spacing w:line="280" w:lineRule="exact"/>
              <w:ind w:right="-63" w:rightChars="-30"/>
              <w:jc w:val="left"/>
              <w:textAlignment w:val="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五十五 核与辐射- 161输变电工程-其他</w:t>
            </w:r>
          </w:p>
        </w:tc>
        <w:tc>
          <w:tcPr>
            <w:tcW w:w="1900" w:type="dxa"/>
            <w:vAlign w:val="center"/>
          </w:tcPr>
          <w:p w14:paraId="2EFC19F0">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用地（用海）面积（m</w:t>
            </w:r>
            <w:r>
              <w:rPr>
                <w:color w:val="000000" w:themeColor="text1"/>
                <w:sz w:val="24"/>
                <w:highlight w:val="none"/>
                <w:vertAlign w:val="superscript"/>
                <w14:textFill>
                  <w14:solidFill>
                    <w14:schemeClr w14:val="tx1"/>
                  </w14:solidFill>
                </w14:textFill>
              </w:rPr>
              <w:t>2</w:t>
            </w:r>
            <w:r>
              <w:rPr>
                <w:color w:val="000000" w:themeColor="text1"/>
                <w:sz w:val="24"/>
                <w:highlight w:val="none"/>
                <w14:textFill>
                  <w14:solidFill>
                    <w14:schemeClr w14:val="tx1"/>
                  </w14:solidFill>
                </w14:textFill>
              </w:rPr>
              <w:t>）/长度（km）</w:t>
            </w:r>
          </w:p>
        </w:tc>
        <w:tc>
          <w:tcPr>
            <w:tcW w:w="2893" w:type="dxa"/>
            <w:vAlign w:val="center"/>
          </w:tcPr>
          <w:p w14:paraId="4F039718">
            <w:pPr>
              <w:keepNext w:val="0"/>
              <w:keepLines w:val="0"/>
              <w:pageBreakBefore w:val="0"/>
              <w:kinsoku/>
              <w:overflowPunct/>
              <w:bidi w:val="0"/>
              <w:adjustRightInd w:val="0"/>
              <w:snapToGrid w:val="0"/>
              <w:spacing w:line="280" w:lineRule="exact"/>
              <w:jc w:val="center"/>
              <w:textAlignment w:val="auto"/>
              <w:rPr>
                <w:color w:val="0000FF"/>
                <w:sz w:val="24"/>
                <w:highlight w:val="none"/>
                <w:vertAlign w:val="superscript"/>
              </w:rPr>
            </w:pPr>
            <w:r>
              <w:rPr>
                <w:rFonts w:hint="eastAsia"/>
                <w:color w:val="000000" w:themeColor="text1"/>
                <w:sz w:val="24"/>
                <w:highlight w:val="none"/>
                <w14:textFill>
                  <w14:solidFill>
                    <w14:schemeClr w14:val="tx1"/>
                  </w14:solidFill>
                </w14:textFill>
              </w:rPr>
              <w:t>永久占地：</w:t>
            </w:r>
            <w:r>
              <w:rPr>
                <w:rFonts w:hint="eastAsia"/>
                <w:color w:val="0000FF"/>
                <w:sz w:val="24"/>
                <w:highlight w:val="none"/>
                <w:lang w:val="en-US" w:eastAsia="zh-CN"/>
              </w:rPr>
              <w:t>33350</w:t>
            </w:r>
            <w:r>
              <w:rPr>
                <w:color w:val="0000FF"/>
                <w:sz w:val="24"/>
                <w:highlight w:val="none"/>
              </w:rPr>
              <w:t>m</w:t>
            </w:r>
            <w:r>
              <w:rPr>
                <w:color w:val="0000FF"/>
                <w:sz w:val="24"/>
                <w:highlight w:val="none"/>
                <w:vertAlign w:val="superscript"/>
              </w:rPr>
              <w:t>2</w:t>
            </w:r>
          </w:p>
          <w:p w14:paraId="187BDB04">
            <w:pPr>
              <w:keepNext w:val="0"/>
              <w:keepLines w:val="0"/>
              <w:pageBreakBefore w:val="0"/>
              <w:kinsoku/>
              <w:overflowPunct/>
              <w:bidi w:val="0"/>
              <w:adjustRightInd w:val="0"/>
              <w:snapToGrid w:val="0"/>
              <w:spacing w:line="280" w:lineRule="exact"/>
              <w:jc w:val="center"/>
              <w:textAlignment w:val="auto"/>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vertAlign w:val="baseline"/>
                <w:lang w:val="en-US" w:eastAsia="zh-CN"/>
                <w14:textFill>
                  <w14:solidFill>
                    <w14:schemeClr w14:val="tx1"/>
                  </w14:solidFill>
                </w14:textFill>
              </w:rPr>
              <w:t>线路</w:t>
            </w:r>
            <w:r>
              <w:rPr>
                <w:rFonts w:hint="eastAsia" w:ascii="Times New Roman" w:hAnsi="Times New Roman" w:cs="Times New Roman"/>
                <w:color w:val="000000" w:themeColor="text1"/>
                <w:sz w:val="24"/>
                <w:szCs w:val="24"/>
                <w:lang w:val="en-US" w:eastAsia="zh-CN"/>
                <w14:textFill>
                  <w14:solidFill>
                    <w14:schemeClr w14:val="tx1"/>
                  </w14:solidFill>
                </w14:textFill>
              </w:rPr>
              <w:t>总长度：3.3km</w:t>
            </w:r>
          </w:p>
        </w:tc>
      </w:tr>
      <w:tr w14:paraId="2206B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179" w:type="dxa"/>
            <w:gridSpan w:val="2"/>
            <w:tcMar>
              <w:top w:w="16" w:type="dxa"/>
              <w:left w:w="16" w:type="dxa"/>
              <w:right w:w="16" w:type="dxa"/>
            </w:tcMar>
            <w:vAlign w:val="center"/>
          </w:tcPr>
          <w:p w14:paraId="77B98570">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建设性质</w:t>
            </w:r>
          </w:p>
        </w:tc>
        <w:tc>
          <w:tcPr>
            <w:tcW w:w="2068" w:type="dxa"/>
            <w:vAlign w:val="center"/>
          </w:tcPr>
          <w:p w14:paraId="234123EF">
            <w:pPr>
              <w:keepNext w:val="0"/>
              <w:keepLines w:val="0"/>
              <w:pageBreakBefore w:val="0"/>
              <w:kinsoku/>
              <w:overflowPunct/>
              <w:bidi w:val="0"/>
              <w:adjustRightInd w:val="0"/>
              <w:snapToGrid w:val="0"/>
              <w:spacing w:line="28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☑新建（迁建）</w:t>
            </w:r>
          </w:p>
          <w:p w14:paraId="150C4040">
            <w:pPr>
              <w:keepNext w:val="0"/>
              <w:keepLines w:val="0"/>
              <w:pageBreakBefore w:val="0"/>
              <w:kinsoku/>
              <w:overflowPunct/>
              <w:bidi w:val="0"/>
              <w:adjustRightInd w:val="0"/>
              <w:snapToGrid w:val="0"/>
              <w:spacing w:line="28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□改建</w:t>
            </w:r>
          </w:p>
          <w:p w14:paraId="1209821D">
            <w:pPr>
              <w:keepNext w:val="0"/>
              <w:keepLines w:val="0"/>
              <w:pageBreakBefore w:val="0"/>
              <w:kinsoku/>
              <w:overflowPunct/>
              <w:bidi w:val="0"/>
              <w:adjustRightInd w:val="0"/>
              <w:snapToGrid w:val="0"/>
              <w:spacing w:line="28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□扩建</w:t>
            </w:r>
          </w:p>
          <w:p w14:paraId="11D1421E">
            <w:pPr>
              <w:keepNext w:val="0"/>
              <w:keepLines w:val="0"/>
              <w:pageBreakBefore w:val="0"/>
              <w:kinsoku/>
              <w:overflowPunct/>
              <w:bidi w:val="0"/>
              <w:adjustRightInd w:val="0"/>
              <w:snapToGrid w:val="0"/>
              <w:spacing w:line="280" w:lineRule="exact"/>
              <w:jc w:val="left"/>
              <w:textAlignment w:val="auto"/>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□技术改造</w:t>
            </w:r>
          </w:p>
        </w:tc>
        <w:tc>
          <w:tcPr>
            <w:tcW w:w="1900" w:type="dxa"/>
            <w:vAlign w:val="center"/>
          </w:tcPr>
          <w:p w14:paraId="23E2397D">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建设项目</w:t>
            </w:r>
          </w:p>
          <w:p w14:paraId="38C439EA">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申报情形</w:t>
            </w:r>
          </w:p>
        </w:tc>
        <w:tc>
          <w:tcPr>
            <w:tcW w:w="2893" w:type="dxa"/>
            <w:vAlign w:val="center"/>
          </w:tcPr>
          <w:p w14:paraId="5AEEA71D">
            <w:pPr>
              <w:keepNext w:val="0"/>
              <w:keepLines w:val="0"/>
              <w:pageBreakBefore w:val="0"/>
              <w:kinsoku/>
              <w:overflowPunct/>
              <w:bidi w:val="0"/>
              <w:adjustRightInd w:val="0"/>
              <w:snapToGrid w:val="0"/>
              <w:spacing w:line="28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☑首次申报项目</w:t>
            </w:r>
          </w:p>
          <w:p w14:paraId="108DECF6">
            <w:pPr>
              <w:keepNext w:val="0"/>
              <w:keepLines w:val="0"/>
              <w:pageBreakBefore w:val="0"/>
              <w:kinsoku/>
              <w:overflowPunct/>
              <w:bidi w:val="0"/>
              <w:adjustRightInd w:val="0"/>
              <w:snapToGrid w:val="0"/>
              <w:spacing w:line="280" w:lineRule="exact"/>
              <w:ind w:right="-63" w:rightChars="-30"/>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□不予批准后再次申报项目</w:t>
            </w:r>
          </w:p>
          <w:p w14:paraId="2FC862A6">
            <w:pPr>
              <w:keepNext w:val="0"/>
              <w:keepLines w:val="0"/>
              <w:pageBreakBefore w:val="0"/>
              <w:kinsoku/>
              <w:overflowPunct/>
              <w:bidi w:val="0"/>
              <w:adjustRightInd w:val="0"/>
              <w:snapToGrid w:val="0"/>
              <w:spacing w:line="280" w:lineRule="exact"/>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□超五年重新审核项目</w:t>
            </w:r>
          </w:p>
          <w:p w14:paraId="357D4682">
            <w:pPr>
              <w:keepNext w:val="0"/>
              <w:keepLines w:val="0"/>
              <w:pageBreakBefore w:val="0"/>
              <w:kinsoku/>
              <w:overflowPunct/>
              <w:bidi w:val="0"/>
              <w:adjustRightInd w:val="0"/>
              <w:snapToGrid w:val="0"/>
              <w:spacing w:line="280" w:lineRule="exact"/>
              <w:textAlignment w:val="auto"/>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□重大变动重新报批项目</w:t>
            </w:r>
          </w:p>
        </w:tc>
      </w:tr>
      <w:tr w14:paraId="47EF3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8" w:hRule="atLeast"/>
        </w:trPr>
        <w:tc>
          <w:tcPr>
            <w:tcW w:w="2179" w:type="dxa"/>
            <w:gridSpan w:val="2"/>
            <w:tcMar>
              <w:top w:w="16" w:type="dxa"/>
              <w:left w:w="16" w:type="dxa"/>
              <w:right w:w="16" w:type="dxa"/>
            </w:tcMar>
            <w:vAlign w:val="center"/>
          </w:tcPr>
          <w:p w14:paraId="76E6A6D2">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项目审批（核准</w:t>
            </w:r>
            <w:r>
              <w:rPr>
                <w:rFonts w:ascii="宋体" w:hAnsi="宋体" w:cs="宋体"/>
                <w:color w:val="000000" w:themeColor="text1"/>
                <w:sz w:val="24"/>
                <w:highlight w:val="none"/>
                <w14:textFill>
                  <w14:solidFill>
                    <w14:schemeClr w14:val="tx1"/>
                  </w14:solidFill>
                </w14:textFill>
              </w:rPr>
              <w:t>/</w:t>
            </w:r>
          </w:p>
          <w:p w14:paraId="099AC36C">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备案）部门（选填）</w:t>
            </w:r>
          </w:p>
        </w:tc>
        <w:tc>
          <w:tcPr>
            <w:tcW w:w="2068" w:type="dxa"/>
            <w:vAlign w:val="center"/>
          </w:tcPr>
          <w:p w14:paraId="1147C6E7">
            <w:pPr>
              <w:keepNext w:val="0"/>
              <w:keepLines w:val="0"/>
              <w:pageBreakBefore w:val="0"/>
              <w:kinsoku/>
              <w:overflowPunct/>
              <w:bidi w:val="0"/>
              <w:adjustRightInd w:val="0"/>
              <w:snapToGrid w:val="0"/>
              <w:spacing w:line="280" w:lineRule="exact"/>
              <w:ind w:left="42" w:leftChars="20"/>
              <w:jc w:val="center"/>
              <w:textAlignment w:val="auto"/>
              <w:rPr>
                <w:rFonts w:hint="eastAsia" w:eastAsia="宋体"/>
                <w:color w:val="000000" w:themeColor="text1"/>
                <w:sz w:val="24"/>
                <w:highlight w:val="none"/>
                <w:lang w:val="en-US" w:eastAsia="zh-CN"/>
                <w14:textFill>
                  <w14:solidFill>
                    <w14:schemeClr w14:val="tx1"/>
                  </w14:solidFill>
                </w14:textFill>
              </w:rPr>
            </w:pPr>
            <w:r>
              <w:rPr>
                <w:rFonts w:hint="eastAsia" w:eastAsia="宋体"/>
                <w:color w:val="000000" w:themeColor="text1"/>
                <w:sz w:val="24"/>
                <w:highlight w:val="none"/>
                <w:lang w:val="en-US" w:eastAsia="zh-CN"/>
                <w14:textFill>
                  <w14:solidFill>
                    <w14:schemeClr w14:val="tx1"/>
                  </w14:solidFill>
                </w14:textFill>
              </w:rPr>
              <w:t>吐鲁番市发展和改革委员会</w:t>
            </w:r>
          </w:p>
        </w:tc>
        <w:tc>
          <w:tcPr>
            <w:tcW w:w="1900" w:type="dxa"/>
            <w:vAlign w:val="center"/>
          </w:tcPr>
          <w:p w14:paraId="09A63608">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项目审批（核准/</w:t>
            </w:r>
          </w:p>
          <w:p w14:paraId="48738787">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备案）文号（选填）</w:t>
            </w:r>
          </w:p>
        </w:tc>
        <w:tc>
          <w:tcPr>
            <w:tcW w:w="2893" w:type="dxa"/>
            <w:vAlign w:val="center"/>
          </w:tcPr>
          <w:p w14:paraId="13232FD8">
            <w:pPr>
              <w:keepNext w:val="0"/>
              <w:keepLines w:val="0"/>
              <w:pageBreakBefore w:val="0"/>
              <w:kinsoku/>
              <w:overflowPunct/>
              <w:bidi w:val="0"/>
              <w:adjustRightInd w:val="0"/>
              <w:snapToGrid w:val="0"/>
              <w:spacing w:line="280" w:lineRule="exact"/>
              <w:jc w:val="center"/>
              <w:textAlignment w:val="auto"/>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备案证号：</w:t>
            </w:r>
            <w:r>
              <w:rPr>
                <w:rFonts w:hint="default" w:eastAsia="宋体"/>
                <w:color w:val="000000" w:themeColor="text1"/>
                <w:sz w:val="24"/>
                <w:highlight w:val="none"/>
                <w:lang w:val="en-US" w:eastAsia="zh-CN"/>
                <w14:textFill>
                  <w14:solidFill>
                    <w14:schemeClr w14:val="tx1"/>
                  </w14:solidFill>
                </w14:textFill>
              </w:rPr>
              <w:t>2501140901650400000113</w:t>
            </w:r>
          </w:p>
        </w:tc>
      </w:tr>
      <w:tr w14:paraId="24D6A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2179" w:type="dxa"/>
            <w:gridSpan w:val="2"/>
            <w:tcMar>
              <w:top w:w="16" w:type="dxa"/>
              <w:left w:w="16" w:type="dxa"/>
              <w:right w:w="16" w:type="dxa"/>
            </w:tcMar>
            <w:vAlign w:val="center"/>
          </w:tcPr>
          <w:p w14:paraId="3F268A08">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总投资（万元）</w:t>
            </w:r>
          </w:p>
        </w:tc>
        <w:tc>
          <w:tcPr>
            <w:tcW w:w="2068" w:type="dxa"/>
            <w:vAlign w:val="center"/>
          </w:tcPr>
          <w:p w14:paraId="448A2634">
            <w:pPr>
              <w:keepNext w:val="0"/>
              <w:keepLines w:val="0"/>
              <w:pageBreakBefore w:val="0"/>
              <w:kinsoku/>
              <w:overflowPunct/>
              <w:bidi w:val="0"/>
              <w:adjustRightInd w:val="0"/>
              <w:snapToGrid w:val="0"/>
              <w:spacing w:line="280" w:lineRule="exact"/>
              <w:jc w:val="center"/>
              <w:textAlignment w:val="auto"/>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36028</w:t>
            </w:r>
          </w:p>
        </w:tc>
        <w:tc>
          <w:tcPr>
            <w:tcW w:w="1900" w:type="dxa"/>
            <w:tcMar>
              <w:top w:w="16" w:type="dxa"/>
              <w:left w:w="16" w:type="dxa"/>
              <w:right w:w="16" w:type="dxa"/>
            </w:tcMar>
            <w:vAlign w:val="center"/>
          </w:tcPr>
          <w:p w14:paraId="02E875CE">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环保投资（万元）</w:t>
            </w:r>
          </w:p>
        </w:tc>
        <w:tc>
          <w:tcPr>
            <w:tcW w:w="2893" w:type="dxa"/>
            <w:vAlign w:val="center"/>
          </w:tcPr>
          <w:p w14:paraId="2AFC1C4E">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102</w:t>
            </w:r>
          </w:p>
        </w:tc>
      </w:tr>
      <w:tr w14:paraId="1B4E4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2179" w:type="dxa"/>
            <w:gridSpan w:val="2"/>
            <w:tcMar>
              <w:top w:w="16" w:type="dxa"/>
              <w:left w:w="16" w:type="dxa"/>
              <w:right w:w="16" w:type="dxa"/>
            </w:tcMar>
            <w:vAlign w:val="center"/>
          </w:tcPr>
          <w:p w14:paraId="59B38091">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环保投资占比（</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p>
        </w:tc>
        <w:tc>
          <w:tcPr>
            <w:tcW w:w="2068" w:type="dxa"/>
            <w:vAlign w:val="center"/>
          </w:tcPr>
          <w:p w14:paraId="56582CCA">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28</w:t>
            </w:r>
            <w:r>
              <w:rPr>
                <w:rFonts w:hint="eastAsia"/>
                <w:color w:val="000000" w:themeColor="text1"/>
                <w:sz w:val="24"/>
                <w:highlight w:val="none"/>
                <w14:textFill>
                  <w14:solidFill>
                    <w14:schemeClr w14:val="tx1"/>
                  </w14:solidFill>
                </w14:textFill>
              </w:rPr>
              <w:t>%</w:t>
            </w:r>
          </w:p>
        </w:tc>
        <w:tc>
          <w:tcPr>
            <w:tcW w:w="1900" w:type="dxa"/>
            <w:tcMar>
              <w:top w:w="16" w:type="dxa"/>
              <w:left w:w="16" w:type="dxa"/>
              <w:right w:w="16" w:type="dxa"/>
            </w:tcMar>
            <w:vAlign w:val="center"/>
          </w:tcPr>
          <w:p w14:paraId="0FBB33BA">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施工工期</w:t>
            </w:r>
          </w:p>
        </w:tc>
        <w:tc>
          <w:tcPr>
            <w:tcW w:w="2893" w:type="dxa"/>
            <w:vAlign w:val="center"/>
          </w:tcPr>
          <w:p w14:paraId="1BBC2118">
            <w:pPr>
              <w:keepNext w:val="0"/>
              <w:keepLines w:val="0"/>
              <w:pageBreakBefore w:val="0"/>
              <w:kinsoku/>
              <w:overflowPunct/>
              <w:bidi w:val="0"/>
              <w:adjustRightInd w:val="0"/>
              <w:snapToGrid w:val="0"/>
              <w:spacing w:line="280" w:lineRule="exact"/>
              <w:jc w:val="center"/>
              <w:textAlignment w:val="auto"/>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12</w:t>
            </w:r>
            <w:r>
              <w:rPr>
                <w:color w:val="000000" w:themeColor="text1"/>
                <w:sz w:val="24"/>
                <w:highlight w:val="none"/>
                <w14:textFill>
                  <w14:solidFill>
                    <w14:schemeClr w14:val="tx1"/>
                  </w14:solidFill>
                </w14:textFill>
              </w:rPr>
              <w:t>个月</w:t>
            </w:r>
          </w:p>
        </w:tc>
      </w:tr>
      <w:tr w14:paraId="035573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2179" w:type="dxa"/>
            <w:gridSpan w:val="2"/>
            <w:tcMar>
              <w:top w:w="16" w:type="dxa"/>
              <w:left w:w="16" w:type="dxa"/>
              <w:right w:w="16" w:type="dxa"/>
            </w:tcMar>
            <w:vAlign w:val="center"/>
          </w:tcPr>
          <w:p w14:paraId="248EBE05">
            <w:pPr>
              <w:keepNext w:val="0"/>
              <w:keepLines w:val="0"/>
              <w:pageBreakBefore w:val="0"/>
              <w:kinsoku/>
              <w:overflowPunct/>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是否开工建设</w:t>
            </w:r>
          </w:p>
        </w:tc>
        <w:tc>
          <w:tcPr>
            <w:tcW w:w="6861" w:type="dxa"/>
            <w:gridSpan w:val="3"/>
            <w:vAlign w:val="center"/>
          </w:tcPr>
          <w:p w14:paraId="131C90E6">
            <w:pPr>
              <w:keepNext w:val="0"/>
              <w:keepLines w:val="0"/>
              <w:pageBreakBefore w:val="0"/>
              <w:kinsoku/>
              <w:overflowPunct/>
              <w:bidi w:val="0"/>
              <w:adjustRightInd w:val="0"/>
              <w:snapToGrid w:val="0"/>
              <w:spacing w:line="280" w:lineRule="exact"/>
              <w:ind w:firstLine="105"/>
              <w:jc w:val="lef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☑否</w:t>
            </w:r>
          </w:p>
          <w:p w14:paraId="49EF7B2E">
            <w:pPr>
              <w:keepNext w:val="0"/>
              <w:keepLines w:val="0"/>
              <w:pageBreakBefore w:val="0"/>
              <w:kinsoku/>
              <w:overflowPunct/>
              <w:bidi w:val="0"/>
              <w:adjustRightInd w:val="0"/>
              <w:snapToGrid w:val="0"/>
              <w:spacing w:line="280" w:lineRule="exact"/>
              <w:ind w:firstLine="92"/>
              <w:jc w:val="left"/>
              <w:textAlignment w:val="auto"/>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w:t>
            </w:r>
            <w:r>
              <w:rPr>
                <w:rFonts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 xml:space="preserve">       </w:t>
            </w:r>
          </w:p>
        </w:tc>
      </w:tr>
      <w:tr w14:paraId="66A74F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47" w:hRule="atLeast"/>
        </w:trPr>
        <w:tc>
          <w:tcPr>
            <w:tcW w:w="2179" w:type="dxa"/>
            <w:gridSpan w:val="2"/>
            <w:tcMar>
              <w:top w:w="17" w:type="dxa"/>
              <w:left w:w="108" w:type="dxa"/>
              <w:right w:w="108" w:type="dxa"/>
            </w:tcMar>
            <w:vAlign w:val="center"/>
          </w:tcPr>
          <w:p w14:paraId="0035E1F1">
            <w:pPr>
              <w:keepNext w:val="0"/>
              <w:keepLines w:val="0"/>
              <w:pageBreakBefore w:val="0"/>
              <w:kinsoku/>
              <w:overflowPunct/>
              <w:autoSpaceDE w:val="0"/>
              <w:autoSpaceDN w:val="0"/>
              <w:bidi w:val="0"/>
              <w:adjustRightInd w:val="0"/>
              <w:snapToGrid w:val="0"/>
              <w:spacing w:line="280" w:lineRule="exact"/>
              <w:jc w:val="center"/>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专项评价</w:t>
            </w:r>
          </w:p>
          <w:p w14:paraId="2E29832A">
            <w:pPr>
              <w:keepNext w:val="0"/>
              <w:keepLines w:val="0"/>
              <w:pageBreakBefore w:val="0"/>
              <w:kinsoku/>
              <w:overflowPunct/>
              <w:autoSpaceDE w:val="0"/>
              <w:autoSpaceDN w:val="0"/>
              <w:bidi w:val="0"/>
              <w:adjustRightInd w:val="0"/>
              <w:snapToGrid w:val="0"/>
              <w:spacing w:line="280" w:lineRule="exact"/>
              <w:jc w:val="center"/>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设置情况</w:t>
            </w:r>
          </w:p>
        </w:tc>
        <w:tc>
          <w:tcPr>
            <w:tcW w:w="6861" w:type="dxa"/>
            <w:gridSpan w:val="3"/>
            <w:tcMar>
              <w:top w:w="17" w:type="dxa"/>
              <w:left w:w="108" w:type="dxa"/>
              <w:right w:w="108" w:type="dxa"/>
            </w:tcMar>
            <w:vAlign w:val="center"/>
          </w:tcPr>
          <w:p w14:paraId="0999A6F9">
            <w:pPr>
              <w:keepNext w:val="0"/>
              <w:keepLines w:val="0"/>
              <w:pageBreakBefore w:val="0"/>
              <w:kinsoku/>
              <w:overflowPunct/>
              <w:autoSpaceDE w:val="0"/>
              <w:autoSpaceDN w:val="0"/>
              <w:bidi w:val="0"/>
              <w:adjustRightInd w:val="0"/>
              <w:snapToGrid w:val="0"/>
              <w:spacing w:line="280" w:lineRule="exact"/>
              <w:ind w:firstLine="480" w:firstLineChars="200"/>
              <w:textAlignment w:val="auto"/>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根据《环境影响评价技术导则输变电》</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HT24-2020</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附录B输变电建设项目环境影响报告表的格式和要求</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应设电磁环境影响专题评价，其评价等级、评价内容与格式按照本标准有关电磁</w:t>
            </w:r>
            <w:r>
              <w:rPr>
                <w:rFonts w:hint="eastAsia"/>
                <w:color w:val="000000" w:themeColor="text1"/>
                <w:kern w:val="0"/>
                <w:sz w:val="24"/>
                <w:highlight w:val="none"/>
                <w14:textFill>
                  <w14:solidFill>
                    <w14:schemeClr w14:val="tx1"/>
                  </w14:solidFill>
                </w14:textFill>
              </w:rPr>
              <w:t>环境影响评价</w:t>
            </w:r>
            <w:r>
              <w:rPr>
                <w:color w:val="000000" w:themeColor="text1"/>
                <w:kern w:val="0"/>
                <w:sz w:val="24"/>
                <w:highlight w:val="none"/>
                <w14:textFill>
                  <w14:solidFill>
                    <w14:schemeClr w14:val="tx1"/>
                  </w14:solidFill>
                </w14:textFill>
              </w:rPr>
              <w:t>要求进行</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，本项目</w:t>
            </w:r>
            <w:r>
              <w:rPr>
                <w:rFonts w:hint="eastAsia"/>
                <w:color w:val="000000" w:themeColor="text1"/>
                <w:kern w:val="0"/>
                <w:sz w:val="24"/>
                <w:highlight w:val="none"/>
                <w14:textFill>
                  <w14:solidFill>
                    <w14:schemeClr w14:val="tx1"/>
                  </w14:solidFill>
                </w14:textFill>
              </w:rPr>
              <w:t>规划建设10万kW/40万kWh磷酸铁锂形式的储能电站，配套新建110kV升压站1座</w:t>
            </w:r>
            <w:r>
              <w:rPr>
                <w:rFonts w:hint="eastAsia"/>
                <w:color w:val="000000" w:themeColor="text1"/>
                <w:kern w:val="0"/>
                <w:sz w:val="24"/>
                <w:highlight w:val="none"/>
                <w:lang w:eastAsia="zh-CN"/>
                <w14:textFill>
                  <w14:solidFill>
                    <w14:schemeClr w14:val="tx1"/>
                  </w14:solidFill>
                </w14:textFill>
              </w:rPr>
              <w:t>、</w:t>
            </w:r>
            <w:r>
              <w:rPr>
                <w:rFonts w:hint="eastAsia"/>
                <w:color w:val="000000" w:themeColor="text1"/>
                <w:kern w:val="0"/>
                <w:sz w:val="24"/>
                <w:highlight w:val="none"/>
                <w14:textFill>
                  <w14:solidFill>
                    <w14:schemeClr w14:val="tx1"/>
                  </w14:solidFill>
                </w14:textFill>
              </w:rPr>
              <w:t>相关生活区</w:t>
            </w:r>
            <w:r>
              <w:rPr>
                <w:rFonts w:hint="eastAsia"/>
                <w:color w:val="000000" w:themeColor="text1"/>
                <w:kern w:val="0"/>
                <w:sz w:val="24"/>
                <w:highlight w:val="none"/>
                <w:lang w:val="en-US" w:eastAsia="zh-CN"/>
                <w14:textFill>
                  <w14:solidFill>
                    <w14:schemeClr w14:val="tx1"/>
                  </w14:solidFill>
                </w14:textFill>
              </w:rPr>
              <w:t>及</w:t>
            </w:r>
            <w:r>
              <w:rPr>
                <w:rFonts w:hint="eastAsia"/>
                <w:color w:val="000000" w:themeColor="text1"/>
                <w:kern w:val="0"/>
                <w:sz w:val="24"/>
                <w:highlight w:val="none"/>
                <w14:textFill>
                  <w14:solidFill>
                    <w14:schemeClr w14:val="tx1"/>
                  </w14:solidFill>
                </w14:textFill>
              </w:rPr>
              <w:t>110kV</w:t>
            </w:r>
            <w:r>
              <w:rPr>
                <w:rFonts w:hint="eastAsia"/>
                <w:color w:val="000000" w:themeColor="text1"/>
                <w:kern w:val="0"/>
                <w:sz w:val="24"/>
                <w:highlight w:val="none"/>
                <w:lang w:val="en-US" w:eastAsia="zh-CN"/>
                <w14:textFill>
                  <w14:solidFill>
                    <w14:schemeClr w14:val="tx1"/>
                  </w14:solidFill>
                </w14:textFill>
              </w:rPr>
              <w:t>输电线路3.3km</w:t>
            </w:r>
            <w:r>
              <w:rPr>
                <w:rFonts w:hint="eastAsia"/>
                <w:color w:val="000000" w:themeColor="text1"/>
                <w:kern w:val="0"/>
                <w:sz w:val="24"/>
                <w:highlight w:val="none"/>
                <w:lang w:eastAsia="zh-CN"/>
                <w14:textFill>
                  <w14:solidFill>
                    <w14:schemeClr w14:val="tx1"/>
                  </w14:solidFill>
                </w14:textFill>
              </w:rPr>
              <w:t>，</w:t>
            </w:r>
            <w:r>
              <w:rPr>
                <w:color w:val="000000" w:themeColor="text1"/>
                <w:kern w:val="0"/>
                <w:sz w:val="24"/>
                <w:highlight w:val="none"/>
                <w14:textFill>
                  <w14:solidFill>
                    <w14:schemeClr w14:val="tx1"/>
                  </w14:solidFill>
                </w14:textFill>
              </w:rPr>
              <w:t>属于编制环境影响报告表的建设项目，因此设置电磁环境影响专题评价</w:t>
            </w:r>
            <w:r>
              <w:rPr>
                <w:rFonts w:hint="eastAsia"/>
                <w:color w:val="000000" w:themeColor="text1"/>
                <w:kern w:val="0"/>
                <w:sz w:val="24"/>
                <w:highlight w:val="none"/>
                <w14:textFill>
                  <w14:solidFill>
                    <w14:schemeClr w14:val="tx1"/>
                  </w14:solidFill>
                </w14:textFill>
              </w:rPr>
              <w:t>。</w:t>
            </w:r>
          </w:p>
        </w:tc>
      </w:tr>
      <w:tr w14:paraId="6533D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8" w:hRule="atLeast"/>
        </w:trPr>
        <w:tc>
          <w:tcPr>
            <w:tcW w:w="2179" w:type="dxa"/>
            <w:gridSpan w:val="2"/>
            <w:tcMar>
              <w:top w:w="17" w:type="dxa"/>
              <w:left w:w="108" w:type="dxa"/>
              <w:right w:w="108" w:type="dxa"/>
            </w:tcMar>
            <w:vAlign w:val="center"/>
          </w:tcPr>
          <w:p w14:paraId="3BA5F381">
            <w:pPr>
              <w:keepNext w:val="0"/>
              <w:keepLines w:val="0"/>
              <w:pageBreakBefore w:val="0"/>
              <w:kinsoku/>
              <w:overflowPunct/>
              <w:autoSpaceDE w:val="0"/>
              <w:autoSpaceDN w:val="0"/>
              <w:bidi w:val="0"/>
              <w:adjustRightInd w:val="0"/>
              <w:snapToGrid w:val="0"/>
              <w:spacing w:line="280" w:lineRule="exact"/>
              <w:jc w:val="center"/>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规划情况</w:t>
            </w:r>
          </w:p>
        </w:tc>
        <w:tc>
          <w:tcPr>
            <w:tcW w:w="6861" w:type="dxa"/>
            <w:gridSpan w:val="3"/>
            <w:tcMar>
              <w:top w:w="17" w:type="dxa"/>
              <w:left w:w="108" w:type="dxa"/>
              <w:right w:w="108" w:type="dxa"/>
            </w:tcMar>
            <w:vAlign w:val="center"/>
          </w:tcPr>
          <w:p w14:paraId="16B1F146">
            <w:pPr>
              <w:keepNext w:val="0"/>
              <w:keepLines w:val="0"/>
              <w:pageBreakBefore w:val="0"/>
              <w:widowControl w:val="0"/>
              <w:suppressLineNumbers w:val="0"/>
              <w:kinsoku/>
              <w:wordWrap w:val="0"/>
              <w:overflowPunct/>
              <w:topLinePunct/>
              <w:autoSpaceDE w:val="0"/>
              <w:autoSpaceDN w:val="0"/>
              <w:bidi w:val="0"/>
              <w:adjustRightInd/>
              <w:snapToGrid/>
              <w:spacing w:before="0" w:beforeAutospacing="0" w:after="0" w:afterAutospacing="0" w:line="280" w:lineRule="exact"/>
              <w:ind w:left="0" w:leftChars="0" w:right="0" w:rightChars="0"/>
              <w:jc w:val="center"/>
              <w:textAlignment w:val="auto"/>
              <w:rPr>
                <w:rFonts w:hint="eastAsia" w:eastAsia="宋体"/>
                <w:color w:val="000000" w:themeColor="text1"/>
                <w:highlight w:val="none"/>
                <w:lang w:val="en-US" w:eastAsia="zh-CN"/>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无</w:t>
            </w:r>
          </w:p>
        </w:tc>
      </w:tr>
      <w:tr w14:paraId="0F8CB6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2" w:hRule="atLeast"/>
        </w:trPr>
        <w:tc>
          <w:tcPr>
            <w:tcW w:w="2179" w:type="dxa"/>
            <w:gridSpan w:val="2"/>
            <w:tcMar>
              <w:top w:w="16" w:type="dxa"/>
              <w:left w:w="16" w:type="dxa"/>
              <w:right w:w="16" w:type="dxa"/>
            </w:tcMar>
            <w:vAlign w:val="center"/>
          </w:tcPr>
          <w:p w14:paraId="10CB4762">
            <w:pPr>
              <w:keepNext w:val="0"/>
              <w:keepLines w:val="0"/>
              <w:pageBreakBefore w:val="0"/>
              <w:kinsoku/>
              <w:overflowPunct/>
              <w:autoSpaceDE w:val="0"/>
              <w:autoSpaceDN w:val="0"/>
              <w:bidi w:val="0"/>
              <w:adjustRightInd w:val="0"/>
              <w:snapToGrid w:val="0"/>
              <w:spacing w:line="28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规划环境影响</w:t>
            </w:r>
          </w:p>
          <w:p w14:paraId="617E392A">
            <w:pPr>
              <w:keepNext w:val="0"/>
              <w:keepLines w:val="0"/>
              <w:pageBreakBefore w:val="0"/>
              <w:kinsoku/>
              <w:overflowPunct/>
              <w:autoSpaceDE w:val="0"/>
              <w:autoSpaceDN w:val="0"/>
              <w:bidi w:val="0"/>
              <w:adjustRightInd w:val="0"/>
              <w:snapToGrid w:val="0"/>
              <w:spacing w:line="280" w:lineRule="exact"/>
              <w:jc w:val="center"/>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评价情况</w:t>
            </w:r>
          </w:p>
        </w:tc>
        <w:tc>
          <w:tcPr>
            <w:tcW w:w="6861" w:type="dxa"/>
            <w:gridSpan w:val="3"/>
            <w:tcMar>
              <w:top w:w="16" w:type="dxa"/>
              <w:left w:w="16" w:type="dxa"/>
              <w:right w:w="16" w:type="dxa"/>
            </w:tcMar>
            <w:vAlign w:val="center"/>
          </w:tcPr>
          <w:p w14:paraId="35F29180">
            <w:pPr>
              <w:pStyle w:val="102"/>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无</w:t>
            </w:r>
          </w:p>
        </w:tc>
      </w:tr>
      <w:tr w14:paraId="2C2D4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2179" w:type="dxa"/>
            <w:gridSpan w:val="2"/>
            <w:tcMar>
              <w:top w:w="17" w:type="dxa"/>
              <w:left w:w="108" w:type="dxa"/>
              <w:right w:w="108" w:type="dxa"/>
            </w:tcMar>
            <w:vAlign w:val="center"/>
          </w:tcPr>
          <w:p w14:paraId="243E2001">
            <w:pPr>
              <w:keepNext w:val="0"/>
              <w:keepLines w:val="0"/>
              <w:pageBreakBefore w:val="0"/>
              <w:kinsoku/>
              <w:overflowPunct/>
              <w:autoSpaceDE w:val="0"/>
              <w:autoSpaceDN w:val="0"/>
              <w:bidi w:val="0"/>
              <w:adjustRightInd w:val="0"/>
              <w:snapToGrid w:val="0"/>
              <w:spacing w:line="280" w:lineRule="exact"/>
              <w:jc w:val="center"/>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规划及</w:t>
            </w:r>
            <w:r>
              <w:rPr>
                <w:rFonts w:hint="eastAsia" w:ascii="宋体" w:hAnsi="宋体" w:cs="宋体"/>
                <w:color w:val="000000" w:themeColor="text1"/>
                <w:sz w:val="24"/>
                <w:highlight w:val="none"/>
                <w14:textFill>
                  <w14:solidFill>
                    <w14:schemeClr w14:val="tx1"/>
                  </w14:solidFill>
                </w14:textFill>
              </w:rPr>
              <w:t>规划环境影响评价</w:t>
            </w:r>
            <w:r>
              <w:rPr>
                <w:rFonts w:hint="eastAsia" w:ascii="宋体" w:hAnsi="宋体" w:cs="宋体"/>
                <w:color w:val="000000" w:themeColor="text1"/>
                <w:kern w:val="0"/>
                <w:sz w:val="24"/>
                <w:highlight w:val="none"/>
                <w14:textFill>
                  <w14:solidFill>
                    <w14:schemeClr w14:val="tx1"/>
                  </w14:solidFill>
                </w14:textFill>
              </w:rPr>
              <w:t>符合性分析</w:t>
            </w:r>
          </w:p>
        </w:tc>
        <w:tc>
          <w:tcPr>
            <w:tcW w:w="6861" w:type="dxa"/>
            <w:gridSpan w:val="3"/>
            <w:tcMar>
              <w:top w:w="17" w:type="dxa"/>
              <w:left w:w="108" w:type="dxa"/>
              <w:right w:w="108" w:type="dxa"/>
            </w:tcMar>
            <w:vAlign w:val="center"/>
          </w:tcPr>
          <w:p w14:paraId="1963FEA9">
            <w:pPr>
              <w:keepNext w:val="0"/>
              <w:keepLines w:val="0"/>
              <w:pageBreakBefore w:val="0"/>
              <w:widowControl w:val="0"/>
              <w:suppressLineNumbers w:val="0"/>
              <w:kinsoku/>
              <w:wordWrap w:val="0"/>
              <w:overflowPunct/>
              <w:topLinePunct/>
              <w:autoSpaceDE w:val="0"/>
              <w:autoSpaceDN w:val="0"/>
              <w:bidi w:val="0"/>
              <w:adjustRightInd/>
              <w:snapToGrid/>
              <w:spacing w:before="0" w:beforeAutospacing="0" w:after="0" w:afterAutospacing="0" w:line="280" w:lineRule="exact"/>
              <w:ind w:left="0" w:leftChars="0" w:right="0" w:rightChars="0"/>
              <w:jc w:val="center"/>
              <w:textAlignment w:val="auto"/>
              <w:rPr>
                <w:rFonts w:hint="eastAsia"/>
                <w:color w:val="000000" w:themeColor="text1"/>
                <w:kern w:val="0"/>
                <w:sz w:val="24"/>
                <w:highlight w:val="none"/>
                <w:lang w:val="en-US" w:eastAsia="zh-CN"/>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无</w:t>
            </w:r>
          </w:p>
        </w:tc>
      </w:tr>
      <w:tr w14:paraId="14960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75" w:type="dxa"/>
            <w:tcMar>
              <w:top w:w="0" w:type="dxa"/>
              <w:left w:w="108" w:type="dxa"/>
              <w:right w:w="108" w:type="dxa"/>
            </w:tcMar>
            <w:vAlign w:val="center"/>
          </w:tcPr>
          <w:p w14:paraId="60669EA2">
            <w:pPr>
              <w:keepNext w:val="0"/>
              <w:keepLines w:val="0"/>
              <w:pageBreakBefore w:val="0"/>
              <w:kinsoku/>
              <w:wordWrap/>
              <w:overflowPunct/>
              <w:topLinePunct w:val="0"/>
              <w:autoSpaceDE w:val="0"/>
              <w:autoSpaceDN w:val="0"/>
              <w:bidi w:val="0"/>
              <w:adjustRightInd w:val="0"/>
              <w:snapToGrid w:val="0"/>
              <w:spacing w:line="320" w:lineRule="exact"/>
              <w:jc w:val="center"/>
              <w:textAlignment w:val="auto"/>
              <w:rPr>
                <w:rFonts w:hint="eastAsia" w:ascii="宋体" w:hAnsi="宋体" w:cs="宋体"/>
                <w:color w:val="000000" w:themeColor="text1"/>
                <w:kern w:val="0"/>
                <w:szCs w:val="21"/>
                <w:highlight w:val="none"/>
                <w14:textFill>
                  <w14:solidFill>
                    <w14:schemeClr w14:val="tx1"/>
                  </w14:solidFill>
                </w14:textFill>
              </w:rPr>
            </w:pPr>
            <w:bookmarkStart w:id="15" w:name="_Hlk56690880"/>
            <w:r>
              <w:rPr>
                <w:rFonts w:hint="eastAsia" w:ascii="宋体" w:hAnsi="宋体" w:cs="宋体"/>
                <w:color w:val="000000" w:themeColor="text1"/>
                <w:kern w:val="0"/>
                <w:sz w:val="24"/>
                <w:highlight w:val="none"/>
                <w14:textFill>
                  <w14:solidFill>
                    <w14:schemeClr w14:val="tx1"/>
                  </w14:solidFill>
                </w14:textFill>
              </w:rPr>
              <w:t>其他符合性分析</w:t>
            </w:r>
            <w:bookmarkEnd w:id="15"/>
          </w:p>
        </w:tc>
        <w:tc>
          <w:tcPr>
            <w:tcW w:w="8265" w:type="dxa"/>
            <w:gridSpan w:val="4"/>
            <w:tcMar>
              <w:top w:w="0" w:type="dxa"/>
              <w:left w:w="108" w:type="dxa"/>
              <w:right w:w="108" w:type="dxa"/>
            </w:tcMar>
            <w:vAlign w:val="center"/>
          </w:tcPr>
          <w:p w14:paraId="5BE083FE">
            <w:pPr>
              <w:keepNext w:val="0"/>
              <w:keepLines w:val="0"/>
              <w:pageBreakBefore w:val="0"/>
              <w:widowControl/>
              <w:kinsoku/>
              <w:wordWrap/>
              <w:overflowPunct/>
              <w:topLinePunct w:val="0"/>
              <w:bidi w:val="0"/>
              <w:adjustRightInd/>
              <w:snapToGrid/>
              <w:spacing w:line="320" w:lineRule="exact"/>
              <w:textAlignment w:val="auto"/>
              <w:rPr>
                <w:b/>
                <w:bCs/>
                <w:color w:val="000000" w:themeColor="text1"/>
                <w:kern w:val="0"/>
                <w:sz w:val="24"/>
                <w:highlight w:val="none"/>
                <w:lang w:bidi="ar"/>
                <w14:textFill>
                  <w14:solidFill>
                    <w14:schemeClr w14:val="tx1"/>
                  </w14:solidFill>
                </w14:textFill>
              </w:rPr>
            </w:pPr>
            <w:r>
              <w:rPr>
                <w:b/>
                <w:bCs/>
                <w:color w:val="000000" w:themeColor="text1"/>
                <w:kern w:val="0"/>
                <w:sz w:val="24"/>
                <w:highlight w:val="none"/>
                <w:lang w:bidi="ar"/>
                <w14:textFill>
                  <w14:solidFill>
                    <w14:schemeClr w14:val="tx1"/>
                  </w14:solidFill>
                </w14:textFill>
              </w:rPr>
              <w:t>1、产业政策符合性分析</w:t>
            </w:r>
          </w:p>
          <w:p w14:paraId="4F348AA1">
            <w:pPr>
              <w:keepNext w:val="0"/>
              <w:keepLines w:val="0"/>
              <w:pageBreakBefore w:val="0"/>
              <w:widowControl/>
              <w:kinsoku/>
              <w:wordWrap/>
              <w:overflowPunct/>
              <w:topLinePunct w:val="0"/>
              <w:bidi w:val="0"/>
              <w:adjustRightInd/>
              <w:snapToGrid/>
              <w:spacing w:line="320" w:lineRule="exact"/>
              <w:ind w:firstLine="480" w:firstLineChars="200"/>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kern w:val="0"/>
                <w:sz w:val="24"/>
                <w:highlight w:val="none"/>
                <w:lang w:val="en-US" w:eastAsia="zh-CN" w:bidi="ar"/>
                <w14:textFill>
                  <w14:solidFill>
                    <w14:schemeClr w14:val="tx1"/>
                  </w14:solidFill>
                </w14:textFill>
              </w:rPr>
              <w:t>本项目</w:t>
            </w:r>
            <w:r>
              <w:rPr>
                <w:rFonts w:hint="eastAsia"/>
                <w:color w:val="000000" w:themeColor="text1"/>
                <w:kern w:val="0"/>
                <w:sz w:val="24"/>
                <w:highlight w:val="none"/>
                <w:lang w:eastAsia="zh-CN" w:bidi="ar"/>
                <w14:textFill>
                  <w14:solidFill>
                    <w14:schemeClr w14:val="tx1"/>
                  </w14:solidFill>
                </w14:textFill>
              </w:rPr>
              <w:t>属于国家鼓励类项目，</w:t>
            </w:r>
            <w:r>
              <w:rPr>
                <w:rFonts w:hint="eastAsia"/>
                <w:color w:val="000000" w:themeColor="text1"/>
                <w:kern w:val="0"/>
                <w:sz w:val="24"/>
                <w:highlight w:val="none"/>
                <w:lang w:val="en-US" w:eastAsia="zh-CN" w:bidi="ar"/>
                <w14:textFill>
                  <w14:solidFill>
                    <w14:schemeClr w14:val="tx1"/>
                  </w14:solidFill>
                </w14:textFill>
              </w:rPr>
              <w:t>符合国家及地方产业政策。</w:t>
            </w:r>
          </w:p>
          <w:p w14:paraId="2DB716C9">
            <w:pPr>
              <w:keepNext w:val="0"/>
              <w:keepLines w:val="0"/>
              <w:pageBreakBefore w:val="0"/>
              <w:kinsoku/>
              <w:wordWrap/>
              <w:overflowPunct/>
              <w:topLinePunct w:val="0"/>
              <w:autoSpaceDE w:val="0"/>
              <w:autoSpaceDN w:val="0"/>
              <w:bidi w:val="0"/>
              <w:adjustRightInd/>
              <w:snapToGrid/>
              <w:spacing w:line="320" w:lineRule="exact"/>
              <w:textAlignment w:val="auto"/>
              <w:rPr>
                <w:b/>
                <w:bCs/>
                <w:color w:val="000000" w:themeColor="text1"/>
                <w:sz w:val="24"/>
                <w:highlight w:val="none"/>
                <w14:textFill>
                  <w14:solidFill>
                    <w14:schemeClr w14:val="tx1"/>
                  </w14:solidFill>
                </w14:textFill>
              </w:rPr>
            </w:pPr>
            <w:r>
              <w:rPr>
                <w:b/>
                <w:bCs/>
                <w:color w:val="000000" w:themeColor="text1"/>
                <w:kern w:val="0"/>
                <w:sz w:val="24"/>
                <w:highlight w:val="none"/>
                <w14:textFill>
                  <w14:solidFill>
                    <w14:schemeClr w14:val="tx1"/>
                  </w14:solidFill>
                </w14:textFill>
              </w:rPr>
              <w:t>2、</w:t>
            </w:r>
            <w:r>
              <w:rPr>
                <w:rFonts w:hint="eastAsia"/>
                <w:b/>
                <w:bCs/>
                <w:color w:val="000000" w:themeColor="text1"/>
                <w:kern w:val="0"/>
                <w:sz w:val="24"/>
                <w:highlight w:val="none"/>
                <w14:textFill>
                  <w14:solidFill>
                    <w14:schemeClr w14:val="tx1"/>
                  </w14:solidFill>
                </w14:textFill>
              </w:rPr>
              <w:t>“</w:t>
            </w:r>
            <w:r>
              <w:rPr>
                <w:rFonts w:hint="eastAsia"/>
                <w:b/>
                <w:bCs/>
                <w:color w:val="000000" w:themeColor="text1"/>
                <w:kern w:val="0"/>
                <w:sz w:val="24"/>
                <w:highlight w:val="none"/>
                <w:lang w:val="en-US" w:eastAsia="zh-CN"/>
                <w14:textFill>
                  <w14:solidFill>
                    <w14:schemeClr w14:val="tx1"/>
                  </w14:solidFill>
                </w14:textFill>
              </w:rPr>
              <w:t>生态环境分区管控</w:t>
            </w:r>
            <w:r>
              <w:rPr>
                <w:rFonts w:hint="eastAsia"/>
                <w:b/>
                <w:bCs/>
                <w:color w:val="000000" w:themeColor="text1"/>
                <w:kern w:val="0"/>
                <w:sz w:val="24"/>
                <w:highlight w:val="none"/>
                <w14:textFill>
                  <w14:solidFill>
                    <w14:schemeClr w14:val="tx1"/>
                  </w14:solidFill>
                </w14:textFill>
              </w:rPr>
              <w:t>”</w:t>
            </w:r>
            <w:r>
              <w:rPr>
                <w:b/>
                <w:bCs/>
                <w:color w:val="000000" w:themeColor="text1"/>
                <w:kern w:val="0"/>
                <w:sz w:val="24"/>
                <w:highlight w:val="none"/>
                <w14:textFill>
                  <w14:solidFill>
                    <w14:schemeClr w14:val="tx1"/>
                  </w14:solidFill>
                </w14:textFill>
              </w:rPr>
              <w:t>符合性分析</w:t>
            </w:r>
          </w:p>
          <w:p w14:paraId="3A3582D0">
            <w:pPr>
              <w:pStyle w:val="64"/>
              <w:keepNext w:val="0"/>
              <w:keepLines w:val="0"/>
              <w:pageBreakBefore w:val="0"/>
              <w:tabs>
                <w:tab w:val="left" w:pos="4584"/>
              </w:tabs>
              <w:kinsoku/>
              <w:wordWrap/>
              <w:overflowPunct/>
              <w:topLinePunct w:val="0"/>
              <w:bidi w:val="0"/>
              <w:adjustRightInd/>
              <w:snapToGrid/>
              <w:spacing w:line="320" w:lineRule="exact"/>
              <w:ind w:firstLine="480" w:firstLineChars="200"/>
              <w:textAlignment w:val="auto"/>
              <w:rPr>
                <w:color w:val="000000" w:themeColor="text1"/>
                <w:szCs w:val="21"/>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本项目符合</w:t>
            </w:r>
            <w:r>
              <w:rPr>
                <w:rFonts w:hint="eastAsia"/>
                <w:color w:val="000000" w:themeColor="text1"/>
                <w:sz w:val="24"/>
                <w:highlight w:val="none"/>
                <w14:textFill>
                  <w14:solidFill>
                    <w14:schemeClr w14:val="tx1"/>
                  </w14:solidFill>
                </w14:textFill>
              </w:rPr>
              <w:t>《新疆维吾尔自治区生态环境分区管控动态更新成果》（新环环评发〔2024〕157号</w:t>
            </w:r>
            <w:r>
              <w:rPr>
                <w:rFonts w:hint="eastAsia"/>
                <w:color w:val="000000" w:themeColor="text1"/>
                <w:sz w:val="24"/>
                <w:highlight w:val="none"/>
                <w:lang w:eastAsia="zh-CN"/>
                <w14:textFill>
                  <w14:solidFill>
                    <w14:schemeClr w14:val="tx1"/>
                  </w14:solidFill>
                </w14:textFill>
              </w:rPr>
              <w:t>）和</w:t>
            </w:r>
            <w:r>
              <w:rPr>
                <w:rFonts w:hint="eastAsia"/>
                <w:color w:val="000000" w:themeColor="text1"/>
                <w:highlight w:val="none"/>
                <w14:textFill>
                  <w14:solidFill>
                    <w14:schemeClr w14:val="tx1"/>
                  </w14:solidFill>
                </w14:textFill>
              </w:rPr>
              <w:t>《吐鲁番市生态环境分区管控成果动态更新情况说明》相关要求</w:t>
            </w:r>
            <w:r>
              <w:rPr>
                <w:rFonts w:hint="eastAsia"/>
                <w:color w:val="000000" w:themeColor="text1"/>
                <w:szCs w:val="21"/>
                <w:highlight w:val="none"/>
                <w14:textFill>
                  <w14:solidFill>
                    <w14:schemeClr w14:val="tx1"/>
                  </w14:solidFill>
                </w14:textFill>
              </w:rPr>
              <w:t>。</w:t>
            </w:r>
          </w:p>
          <w:p w14:paraId="31E83882">
            <w:pPr>
              <w:pStyle w:val="64"/>
              <w:keepNext w:val="0"/>
              <w:keepLines w:val="0"/>
              <w:pageBreakBefore w:val="0"/>
              <w:numPr>
                <w:ilvl w:val="0"/>
                <w:numId w:val="2"/>
              </w:numPr>
              <w:tabs>
                <w:tab w:val="left" w:pos="4584"/>
              </w:tabs>
              <w:kinsoku/>
              <w:wordWrap/>
              <w:overflowPunct/>
              <w:topLinePunct w:val="0"/>
              <w:bidi w:val="0"/>
              <w:adjustRightInd/>
              <w:snapToGrid/>
              <w:spacing w:line="320" w:lineRule="exact"/>
              <w:ind w:firstLine="0" w:firstLineChars="0"/>
              <w:textAlignment w:val="auto"/>
              <w:rPr>
                <w:b/>
                <w:bCs/>
                <w:snapToGrid/>
                <w:color w:val="000000" w:themeColor="text1"/>
                <w:highlight w:val="none"/>
                <w14:textFill>
                  <w14:solidFill>
                    <w14:schemeClr w14:val="tx1"/>
                  </w14:solidFill>
                </w14:textFill>
              </w:rPr>
            </w:pPr>
            <w:r>
              <w:rPr>
                <w:b/>
                <w:bCs/>
                <w:snapToGrid/>
                <w:color w:val="000000" w:themeColor="text1"/>
                <w:highlight w:val="none"/>
                <w14:textFill>
                  <w14:solidFill>
                    <w14:schemeClr w14:val="tx1"/>
                  </w14:solidFill>
                </w14:textFill>
              </w:rPr>
              <w:t>与《输变电建设项目环境保护要求》的符合性分析</w:t>
            </w:r>
          </w:p>
          <w:p w14:paraId="32966FC3">
            <w:pPr>
              <w:keepNext w:val="0"/>
              <w:keepLines w:val="0"/>
              <w:pageBreakBefore w:val="0"/>
              <w:numPr>
                <w:ilvl w:val="0"/>
                <w:numId w:val="0"/>
              </w:numPr>
              <w:kinsoku/>
              <w:wordWrap/>
              <w:overflowPunct/>
              <w:topLinePunct w:val="0"/>
              <w:bidi w:val="0"/>
              <w:adjustRightInd/>
              <w:snapToGrid/>
              <w:spacing w:line="320" w:lineRule="exact"/>
              <w:ind w:firstLine="480" w:firstLineChars="200"/>
              <w:textAlignment w:val="auto"/>
              <w:rPr>
                <w:rFonts w:hint="eastAsia"/>
                <w:color w:val="000000" w:themeColor="text1"/>
                <w:sz w:val="24"/>
                <w:highlight w:val="none"/>
                <w:lang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本项目符合《输变电建设项目环境保护要求》。</w:t>
            </w:r>
          </w:p>
          <w:p w14:paraId="48D2114B">
            <w:pPr>
              <w:pStyle w:val="64"/>
              <w:keepNext w:val="0"/>
              <w:keepLines w:val="0"/>
              <w:pageBreakBefore w:val="0"/>
              <w:tabs>
                <w:tab w:val="left" w:pos="4584"/>
              </w:tabs>
              <w:kinsoku/>
              <w:wordWrap/>
              <w:overflowPunct/>
              <w:topLinePunct w:val="0"/>
              <w:bidi w:val="0"/>
              <w:adjustRightInd/>
              <w:snapToGrid/>
              <w:spacing w:before="120" w:beforeLines="50" w:line="320" w:lineRule="exact"/>
              <w:ind w:firstLine="0" w:firstLineChars="0"/>
              <w:jc w:val="left"/>
              <w:textAlignment w:val="auto"/>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4、其他符合性分析</w:t>
            </w:r>
          </w:p>
          <w:p w14:paraId="458C5A1E">
            <w:pPr>
              <w:pStyle w:val="64"/>
              <w:keepNext w:val="0"/>
              <w:keepLines w:val="0"/>
              <w:pageBreakBefore w:val="0"/>
              <w:tabs>
                <w:tab w:val="left" w:pos="4584"/>
              </w:tabs>
              <w:kinsoku/>
              <w:wordWrap/>
              <w:overflowPunct/>
              <w:topLinePunct w:val="0"/>
              <w:bidi w:val="0"/>
              <w:adjustRightInd/>
              <w:snapToGrid/>
              <w:spacing w:line="320" w:lineRule="exact"/>
              <w:ind w:firstLine="480" w:firstLineChars="200"/>
              <w:jc w:val="left"/>
              <w:textAlignment w:val="auto"/>
              <w:rPr>
                <w:rFonts w:hint="eastAsia"/>
                <w:color w:val="000000" w:themeColor="text1"/>
                <w14:textFill>
                  <w14:solidFill>
                    <w14:schemeClr w14:val="tx1"/>
                  </w14:solidFill>
                </w14:textFill>
              </w:rPr>
            </w:pPr>
            <w:r>
              <w:rPr>
                <w:color w:val="000000" w:themeColor="text1"/>
                <w:szCs w:val="21"/>
                <w:highlight w:val="none"/>
                <w14:textFill>
                  <w14:solidFill>
                    <w14:schemeClr w14:val="tx1"/>
                  </w14:solidFill>
                </w14:textFill>
              </w:rPr>
              <w:t>本项目</w:t>
            </w:r>
            <w:r>
              <w:rPr>
                <w:rFonts w:hint="eastAsia"/>
                <w:color w:val="000000" w:themeColor="text1"/>
                <w:szCs w:val="21"/>
                <w:highlight w:val="none"/>
                <w:lang w:eastAsia="zh-CN"/>
                <w14:textFill>
                  <w14:solidFill>
                    <w14:schemeClr w14:val="tx1"/>
                  </w14:solidFill>
                </w14:textFill>
              </w:rPr>
              <w:t>符合</w:t>
            </w:r>
            <w:r>
              <w:rPr>
                <w:color w:val="000000" w:themeColor="text1"/>
                <w:szCs w:val="21"/>
                <w:highlight w:val="none"/>
                <w14:textFill>
                  <w14:solidFill>
                    <w14:schemeClr w14:val="tx1"/>
                  </w14:solidFill>
                </w14:textFill>
              </w:rPr>
              <w:t>其他相关法律法规、政策规划。</w:t>
            </w:r>
          </w:p>
        </w:tc>
      </w:tr>
    </w:tbl>
    <w:p w14:paraId="4B066A82">
      <w:pPr>
        <w:spacing w:line="360" w:lineRule="auto"/>
        <w:rPr>
          <w:rFonts w:eastAsia="黑体"/>
          <w:color w:val="000000" w:themeColor="text1"/>
          <w:sz w:val="30"/>
          <w:highlight w:val="none"/>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5C537BF5">
      <w:pPr>
        <w:pStyle w:val="27"/>
        <w:spacing w:after="0" w:afterAutospacing="0"/>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16" w:name="_Toc15700"/>
      <w:bookmarkStart w:id="17" w:name="_Toc5541"/>
      <w:r>
        <w:rPr>
          <w:rFonts w:hint="eastAsia" w:ascii="黑体" w:hAnsi="黑体" w:eastAsia="黑体"/>
          <w:snapToGrid w:val="0"/>
          <w:color w:val="000000" w:themeColor="text1"/>
          <w:sz w:val="30"/>
          <w:szCs w:val="30"/>
          <w:highlight w:val="none"/>
          <w14:textFill>
            <w14:solidFill>
              <w14:schemeClr w14:val="tx1"/>
            </w14:solidFill>
          </w14:textFill>
        </w:rPr>
        <w:t>二、建设内容</w:t>
      </w:r>
      <w:bookmarkEnd w:id="16"/>
      <w:bookmarkEnd w:id="17"/>
    </w:p>
    <w:tbl>
      <w:tblPr>
        <w:tblStyle w:val="32"/>
        <w:tblW w:w="90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7"/>
        <w:gridCol w:w="8605"/>
      </w:tblGrid>
      <w:tr w14:paraId="623F8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97" w:hRule="atLeast"/>
          <w:jc w:val="center"/>
        </w:trPr>
        <w:tc>
          <w:tcPr>
            <w:tcW w:w="710" w:type="dxa"/>
            <w:vAlign w:val="center"/>
          </w:tcPr>
          <w:p w14:paraId="09C742B2">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地理位置</w:t>
            </w:r>
          </w:p>
        </w:tc>
        <w:tc>
          <w:tcPr>
            <w:tcW w:w="8382" w:type="dxa"/>
            <w:vAlign w:val="center"/>
          </w:tcPr>
          <w:p w14:paraId="1C99C2F8">
            <w:pPr>
              <w:adjustRightInd w:val="0"/>
              <w:snapToGrid w:val="0"/>
              <w:spacing w:before="120" w:beforeLines="50" w:line="336" w:lineRule="auto"/>
              <w:ind w:firstLine="480" w:firstLineChars="20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olor w:val="000000" w:themeColor="text1"/>
                <w:kern w:val="0"/>
                <w:sz w:val="24"/>
                <w:highlight w:val="none"/>
                <w14:textFill>
                  <w14:solidFill>
                    <w14:schemeClr w14:val="tx1"/>
                  </w14:solidFill>
                </w14:textFill>
              </w:rPr>
              <w:t>本项目位于新疆维吾尔自治区吐鲁番市</w:t>
            </w:r>
            <w:r>
              <w:rPr>
                <w:rFonts w:hint="eastAsia"/>
                <w:color w:val="000000" w:themeColor="text1"/>
                <w:kern w:val="0"/>
                <w:sz w:val="24"/>
                <w:highlight w:val="none"/>
                <w:lang w:val="en-US" w:eastAsia="zh-CN"/>
                <w14:textFill>
                  <w14:solidFill>
                    <w14:schemeClr w14:val="tx1"/>
                  </w14:solidFill>
                </w14:textFill>
              </w:rPr>
              <w:t>托克逊</w:t>
            </w:r>
            <w:r>
              <w:rPr>
                <w:rFonts w:hint="eastAsia"/>
                <w:color w:val="000000" w:themeColor="text1"/>
                <w:kern w:val="0"/>
                <w:sz w:val="24"/>
                <w:highlight w:val="none"/>
                <w14:textFill>
                  <w14:solidFill>
                    <w14:schemeClr w14:val="tx1"/>
                  </w14:solidFill>
                </w14:textFill>
              </w:rPr>
              <w:t>县</w:t>
            </w:r>
            <w:r>
              <w:rPr>
                <w:rFonts w:hint="eastAsia"/>
                <w:color w:val="000000" w:themeColor="text1"/>
                <w:kern w:val="0"/>
                <w:sz w:val="24"/>
                <w:highlight w:val="none"/>
                <w:lang w:val="en-US" w:eastAsia="zh-CN"/>
                <w14:textFill>
                  <w14:solidFill>
                    <w14:schemeClr w14:val="tx1"/>
                  </w14:solidFill>
                </w14:textFill>
              </w:rPr>
              <w:t>南</w:t>
            </w:r>
            <w:r>
              <w:rPr>
                <w:rFonts w:hint="eastAsia"/>
                <w:color w:val="000000" w:themeColor="text1"/>
                <w:kern w:val="0"/>
                <w:sz w:val="24"/>
                <w:highlight w:val="none"/>
                <w14:textFill>
                  <w14:solidFill>
                    <w14:schemeClr w14:val="tx1"/>
                  </w14:solidFill>
                </w14:textFill>
              </w:rPr>
              <w:t>侧</w:t>
            </w:r>
            <w:r>
              <w:rPr>
                <w:rFonts w:hint="eastAsia"/>
                <w:color w:val="000000" w:themeColor="text1"/>
                <w:kern w:val="0"/>
                <w:sz w:val="24"/>
                <w:highlight w:val="none"/>
                <w:lang w:val="en-US" w:eastAsia="zh-CN"/>
                <w14:textFill>
                  <w14:solidFill>
                    <w14:schemeClr w14:val="tx1"/>
                  </w14:solidFill>
                </w14:textFill>
              </w:rPr>
              <w:t>7</w:t>
            </w:r>
            <w:r>
              <w:rPr>
                <w:rFonts w:hint="eastAsia"/>
                <w:color w:val="000000" w:themeColor="text1"/>
                <w:kern w:val="0"/>
                <w:sz w:val="24"/>
                <w:highlight w:val="none"/>
                <w14:textFill>
                  <w14:solidFill>
                    <w14:schemeClr w14:val="tx1"/>
                  </w14:solidFill>
                </w14:textFill>
              </w:rPr>
              <w:t>km处，</w:t>
            </w:r>
            <w:r>
              <w:rPr>
                <w:rFonts w:hint="eastAsia"/>
                <w:color w:val="000000" w:themeColor="text1"/>
                <w:kern w:val="0"/>
                <w:sz w:val="24"/>
                <w:highlight w:val="none"/>
                <w:lang w:val="en-US" w:eastAsia="zh-CN"/>
                <w14:textFill>
                  <w14:solidFill>
                    <w14:schemeClr w14:val="tx1"/>
                  </w14:solidFill>
                </w14:textFill>
              </w:rPr>
              <w:t>建设10万kW/40万kWh磷酸铁锂形式的独立储能电站、配套110kV</w:t>
            </w:r>
            <w:r>
              <w:rPr>
                <w:rFonts w:hint="eastAsia"/>
                <w:color w:val="000000" w:themeColor="text1"/>
                <w:kern w:val="0"/>
                <w:sz w:val="24"/>
                <w:highlight w:val="none"/>
                <w14:textFill>
                  <w14:solidFill>
                    <w14:schemeClr w14:val="tx1"/>
                  </w14:solidFill>
                </w14:textFill>
              </w:rPr>
              <w:t>升压站</w:t>
            </w:r>
            <w:r>
              <w:rPr>
                <w:rFonts w:hint="eastAsia"/>
                <w:color w:val="000000" w:themeColor="text1"/>
                <w:kern w:val="0"/>
                <w:sz w:val="24"/>
                <w:highlight w:val="none"/>
                <w:lang w:val="en-US" w:eastAsia="zh-CN"/>
                <w14:textFill>
                  <w14:solidFill>
                    <w14:schemeClr w14:val="tx1"/>
                  </w14:solidFill>
                </w14:textFill>
              </w:rPr>
              <w:t>工程及110kV输电线路3.3km</w:t>
            </w:r>
            <w:r>
              <w:rPr>
                <w:rFonts w:hint="eastAsia"/>
                <w:color w:val="000000" w:themeColor="text1"/>
                <w:kern w:val="0"/>
                <w:sz w:val="24"/>
                <w:highlight w:val="none"/>
                <w:lang w:eastAsia="zh-CN"/>
                <w14:textFill>
                  <w14:solidFill>
                    <w14:schemeClr w14:val="tx1"/>
                  </w14:solidFill>
                </w14:textFill>
              </w:rPr>
              <w:t>，</w:t>
            </w:r>
            <w:r>
              <w:rPr>
                <w:rFonts w:hint="eastAsia"/>
                <w:color w:val="000000" w:themeColor="text1"/>
                <w:kern w:val="0"/>
                <w:sz w:val="24"/>
                <w:highlight w:val="none"/>
                <w14:textFill>
                  <w14:solidFill>
                    <w14:schemeClr w14:val="tx1"/>
                  </w14:solidFill>
                </w14:textFill>
              </w:rPr>
              <w:t>新建110kV线路自拟建的110kV升压站起，至托克逊工业园220kV变止</w:t>
            </w:r>
            <w:r>
              <w:rPr>
                <w:rFonts w:hint="eastAsia"/>
                <w:color w:val="000000" w:themeColor="text1"/>
                <w:kern w:val="0"/>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项目四周现状为空地，西侧300m为托克逊能源重化工工业园区、南侧550m为骆驼再生资源有限公司，北侧1.1km为托克逊南湖村公路。</w:t>
            </w:r>
          </w:p>
        </w:tc>
      </w:tr>
      <w:tr w14:paraId="06D80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vAlign w:val="center"/>
          </w:tcPr>
          <w:p w14:paraId="394F2F06">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项目组成及规模</w:t>
            </w:r>
          </w:p>
        </w:tc>
        <w:tc>
          <w:tcPr>
            <w:tcW w:w="8382" w:type="dxa"/>
            <w:vAlign w:val="center"/>
          </w:tcPr>
          <w:p w14:paraId="2DCBD5CB">
            <w:pPr>
              <w:adjustRightInd w:val="0"/>
              <w:snapToGrid w:val="0"/>
              <w:spacing w:before="120" w:beforeLines="50" w:line="360" w:lineRule="auto"/>
              <w:jc w:val="left"/>
              <w:rPr>
                <w:b/>
                <w:bCs/>
                <w:color w:val="000000" w:themeColor="text1"/>
                <w:sz w:val="24"/>
                <w:szCs w:val="32"/>
                <w:highlight w:val="none"/>
                <w14:textFill>
                  <w14:solidFill>
                    <w14:schemeClr w14:val="tx1"/>
                  </w14:solidFill>
                </w14:textFill>
              </w:rPr>
            </w:pPr>
            <w:r>
              <w:rPr>
                <w:rFonts w:hint="eastAsia"/>
                <w:b/>
                <w:bCs/>
                <w:color w:val="000000" w:themeColor="text1"/>
                <w:sz w:val="24"/>
                <w:szCs w:val="32"/>
                <w:highlight w:val="none"/>
                <w14:textFill>
                  <w14:solidFill>
                    <w14:schemeClr w14:val="tx1"/>
                  </w14:solidFill>
                </w14:textFill>
              </w:rPr>
              <w:t>1、项目组成及规模</w:t>
            </w:r>
          </w:p>
          <w:p w14:paraId="7FD593B3">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新建1座10万kW/40万kWh磷酸铁锂形式的独立储能电站、配套110kV</w:t>
            </w:r>
            <w:r>
              <w:rPr>
                <w:rFonts w:hint="eastAsia"/>
                <w:color w:val="000000" w:themeColor="text1"/>
                <w:kern w:val="0"/>
                <w:sz w:val="24"/>
                <w:highlight w:val="none"/>
                <w14:textFill>
                  <w14:solidFill>
                    <w14:schemeClr w14:val="tx1"/>
                  </w14:solidFill>
                </w14:textFill>
              </w:rPr>
              <w:t>升压站</w:t>
            </w:r>
            <w:r>
              <w:rPr>
                <w:rFonts w:hint="eastAsia"/>
                <w:color w:val="000000" w:themeColor="text1"/>
                <w:kern w:val="0"/>
                <w:sz w:val="24"/>
                <w:highlight w:val="none"/>
                <w:lang w:val="en-US" w:eastAsia="zh-CN"/>
                <w14:textFill>
                  <w14:solidFill>
                    <w14:schemeClr w14:val="tx1"/>
                  </w14:solidFill>
                </w14:textFill>
              </w:rPr>
              <w:t>1座及110kV输电线路3.3km。升压站</w:t>
            </w:r>
            <w:r>
              <w:rPr>
                <w:rFonts w:hint="eastAsia"/>
                <w:color w:val="000000" w:themeColor="text1"/>
                <w:sz w:val="24"/>
                <w:highlight w:val="none"/>
                <w14:textFill>
                  <w14:solidFill>
                    <w14:schemeClr w14:val="tx1"/>
                  </w14:solidFill>
                </w14:textFill>
              </w:rPr>
              <w:t>为有人值守站</w:t>
            </w:r>
            <w:r>
              <w:rPr>
                <w:rFonts w:hint="eastAsia"/>
                <w:color w:val="000000" w:themeColor="text1"/>
                <w:sz w:val="24"/>
                <w:highlight w:val="none"/>
                <w:lang w:eastAsia="zh-CN"/>
                <w14:textFill>
                  <w14:solidFill>
                    <w14:schemeClr w14:val="tx1"/>
                  </w14:solidFill>
                </w14:textFill>
              </w:rPr>
              <w:t>，</w:t>
            </w:r>
            <w:r>
              <w:rPr>
                <w:rFonts w:hint="eastAsia"/>
                <w:color w:val="000000" w:themeColor="text1"/>
                <w:kern w:val="0"/>
                <w:sz w:val="24"/>
                <w:highlight w:val="none"/>
                <w14:textFill>
                  <w14:solidFill>
                    <w14:schemeClr w14:val="tx1"/>
                  </w14:solidFill>
                </w14:textFill>
              </w:rPr>
              <w:t>110kV线路自拟建的110kV升压站起，至托克逊工业园220kV变止</w:t>
            </w:r>
            <w:r>
              <w:rPr>
                <w:rFonts w:hint="eastAsia"/>
                <w:color w:val="000000" w:themeColor="text1"/>
                <w:sz w:val="24"/>
                <w:highlight w:val="none"/>
                <w14:textFill>
                  <w14:solidFill>
                    <w14:schemeClr w14:val="tx1"/>
                  </w14:solidFill>
                </w14:textFill>
              </w:rPr>
              <w:t>。110kV升压站生产区布置有主变、35kV配电舱、SVG预制舱、二次设备舱、110</w:t>
            </w:r>
            <w:r>
              <w:rPr>
                <w:rFonts w:hint="eastAsia"/>
                <w:color w:val="000000" w:themeColor="text1"/>
                <w:sz w:val="24"/>
                <w:highlight w:val="none"/>
                <w:lang w:val="en-US" w:eastAsia="zh-CN"/>
                <w14:textFill>
                  <w14:solidFill>
                    <w14:schemeClr w14:val="tx1"/>
                  </w14:solidFill>
                </w14:textFill>
              </w:rPr>
              <w:t>k</w:t>
            </w:r>
            <w:r>
              <w:rPr>
                <w:rFonts w:hint="eastAsia"/>
                <w:color w:val="000000" w:themeColor="text1"/>
                <w:sz w:val="24"/>
                <w:highlight w:val="none"/>
                <w14:textFill>
                  <w14:solidFill>
                    <w14:schemeClr w14:val="tx1"/>
                  </w14:solidFill>
                </w14:textFill>
              </w:rPr>
              <w:t>VGIS舱、事故油池、接地变等，生活区布置有生产用房、附属用房及泵房、污水处理、成品地埋式消防泵站等构筑物；储能区布置有储能舱、PCS</w:t>
            </w:r>
            <w:r>
              <w:rPr>
                <w:rFonts w:hint="eastAsia"/>
                <w:color w:val="000000" w:themeColor="text1"/>
                <w:sz w:val="24"/>
                <w:highlight w:val="none"/>
                <w:lang w:val="en-US" w:eastAsia="zh-CN"/>
                <w14:textFill>
                  <w14:solidFill>
                    <w14:schemeClr w14:val="tx1"/>
                  </w14:solidFill>
                </w14:textFill>
              </w:rPr>
              <w:t>升压一体</w:t>
            </w:r>
            <w:r>
              <w:rPr>
                <w:rFonts w:hint="eastAsia"/>
                <w:color w:val="000000" w:themeColor="text1"/>
                <w:sz w:val="24"/>
                <w:highlight w:val="none"/>
                <w14:textFill>
                  <w14:solidFill>
                    <w14:schemeClr w14:val="tx1"/>
                  </w14:solidFill>
                </w14:textFill>
              </w:rPr>
              <w:t>舱等构筑物。本项目概况汇总，见表2-</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w:t>
            </w:r>
          </w:p>
          <w:p w14:paraId="3F903AC1">
            <w:pPr>
              <w:pStyle w:val="60"/>
              <w:overflowPunct w:val="0"/>
              <w:adjustRightInd/>
              <w:spacing w:before="120" w:beforeLines="50" w:afterLines="0" w:line="240" w:lineRule="auto"/>
              <w:ind w:firstLine="482"/>
              <w:rPr>
                <w:rFonts w:ascii="Times New Roman"/>
                <w:color w:val="000000" w:themeColor="text1"/>
                <w:sz w:val="24"/>
                <w:szCs w:val="24"/>
                <w:highlight w:val="none"/>
                <w14:textFill>
                  <w14:solidFill>
                    <w14:schemeClr w14:val="tx1"/>
                  </w14:solidFill>
                </w14:textFill>
              </w:rPr>
            </w:pPr>
            <w:r>
              <w:rPr>
                <w:rFonts w:ascii="Times New Roman"/>
                <w:b/>
                <w:bCs/>
                <w:color w:val="000000" w:themeColor="text1"/>
                <w:sz w:val="24"/>
                <w:szCs w:val="24"/>
                <w:highlight w:val="none"/>
                <w14:textFill>
                  <w14:solidFill>
                    <w14:schemeClr w14:val="tx1"/>
                  </w14:solidFill>
                </w14:textFill>
              </w:rPr>
              <w:t>表</w:t>
            </w:r>
            <w:r>
              <w:rPr>
                <w:rFonts w:hint="eastAsia" w:ascii="Times New Roman"/>
                <w:b/>
                <w:bCs/>
                <w:color w:val="000000" w:themeColor="text1"/>
                <w:sz w:val="24"/>
                <w:szCs w:val="24"/>
                <w:highlight w:val="none"/>
                <w14:textFill>
                  <w14:solidFill>
                    <w14:schemeClr w14:val="tx1"/>
                  </w14:solidFill>
                </w14:textFill>
              </w:rPr>
              <w:t>2-</w:t>
            </w:r>
            <w:r>
              <w:rPr>
                <w:rFonts w:hint="eastAsia" w:ascii="Times New Roman"/>
                <w:b/>
                <w:bCs/>
                <w:color w:val="000000" w:themeColor="text1"/>
                <w:sz w:val="24"/>
                <w:szCs w:val="24"/>
                <w:highlight w:val="none"/>
                <w:lang w:val="en-US" w:eastAsia="zh-CN"/>
                <w14:textFill>
                  <w14:solidFill>
                    <w14:schemeClr w14:val="tx1"/>
                  </w14:solidFill>
                </w14:textFill>
              </w:rPr>
              <w:t>1</w:t>
            </w:r>
            <w:r>
              <w:rPr>
                <w:rFonts w:ascii="Times New Roman"/>
                <w:b/>
                <w:bCs/>
                <w:color w:val="000000" w:themeColor="text1"/>
                <w:sz w:val="24"/>
                <w:szCs w:val="24"/>
                <w:highlight w:val="none"/>
                <w14:textFill>
                  <w14:solidFill>
                    <w14:schemeClr w14:val="tx1"/>
                  </w14:solidFill>
                </w14:textFill>
              </w:rPr>
              <w:t xml:space="preserve"> </w:t>
            </w:r>
            <w:r>
              <w:rPr>
                <w:rFonts w:hint="eastAsia" w:ascii="Times New Roman"/>
                <w:b/>
                <w:bCs/>
                <w:color w:val="000000" w:themeColor="text1"/>
                <w:sz w:val="24"/>
                <w:szCs w:val="24"/>
                <w:highlight w:val="none"/>
                <w14:textFill>
                  <w14:solidFill>
                    <w14:schemeClr w14:val="tx1"/>
                  </w14:solidFill>
                </w14:textFill>
              </w:rPr>
              <w:t xml:space="preserve"> 本项目概况汇总表</w:t>
            </w:r>
          </w:p>
          <w:tbl>
            <w:tblPr>
              <w:tblStyle w:val="33"/>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654"/>
              <w:gridCol w:w="654"/>
              <w:gridCol w:w="6348"/>
            </w:tblGrid>
            <w:tr w14:paraId="77C0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32" w:type="dxa"/>
                  <w:gridSpan w:val="3"/>
                  <w:tcBorders>
                    <w:tl2br w:val="nil"/>
                    <w:tr2bl w:val="nil"/>
                  </w:tcBorders>
                  <w:vAlign w:val="center"/>
                </w:tcPr>
                <w:p w14:paraId="1B2ADA5A">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建设项目名称</w:t>
                  </w:r>
                </w:p>
              </w:tc>
              <w:tc>
                <w:tcPr>
                  <w:tcW w:w="6348" w:type="dxa"/>
                  <w:tcBorders>
                    <w:tl2br w:val="nil"/>
                    <w:tr2bl w:val="nil"/>
                  </w:tcBorders>
                  <w:vAlign w:val="center"/>
                </w:tcPr>
                <w:p w14:paraId="5607792C">
                  <w:pPr>
                    <w:pStyle w:val="41"/>
                    <w:spacing w:line="240" w:lineRule="auto"/>
                    <w:ind w:left="-63" w:leftChars="-30" w:right="-63" w:rightChars="-30"/>
                    <w:rPr>
                      <w:rFonts w:hint="eastAsia" w:ascii="Times New Roman" w:eastAsia="宋体" w:cs="Times New Roman"/>
                      <w:b w:val="0"/>
                      <w:bCs/>
                      <w:color w:val="000000" w:themeColor="text1"/>
                      <w:sz w:val="21"/>
                      <w:szCs w:val="21"/>
                      <w:highlight w:val="none"/>
                      <w:lang w:eastAsia="zh-CN"/>
                      <w14:textFill>
                        <w14:solidFill>
                          <w14:schemeClr w14:val="tx1"/>
                        </w14:solidFill>
                      </w14:textFill>
                    </w:rPr>
                  </w:pPr>
                  <w:r>
                    <w:rPr>
                      <w:rFonts w:hint="eastAsia" w:ascii="Times New Roman" w:cs="Times New Roman"/>
                      <w:b w:val="0"/>
                      <w:bCs/>
                      <w:color w:val="000000" w:themeColor="text1"/>
                      <w:sz w:val="21"/>
                      <w:szCs w:val="21"/>
                      <w:highlight w:val="none"/>
                      <w:lang w:eastAsia="zh-CN"/>
                      <w14:textFill>
                        <w14:solidFill>
                          <w14:schemeClr w14:val="tx1"/>
                        </w14:solidFill>
                      </w14:textFill>
                    </w:rPr>
                    <w:t>奥宇托克逊县10万千瓦/40万千瓦时电化学独立储能项目</w:t>
                  </w:r>
                </w:p>
              </w:tc>
            </w:tr>
            <w:tr w14:paraId="433D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2" w:type="dxa"/>
                  <w:gridSpan w:val="3"/>
                  <w:tcBorders>
                    <w:tl2br w:val="nil"/>
                    <w:tr2bl w:val="nil"/>
                  </w:tcBorders>
                  <w:vAlign w:val="center"/>
                </w:tcPr>
                <w:p w14:paraId="2E6019DB">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建设单位</w:t>
                  </w:r>
                </w:p>
              </w:tc>
              <w:tc>
                <w:tcPr>
                  <w:tcW w:w="6348" w:type="dxa"/>
                  <w:tcBorders>
                    <w:tl2br w:val="nil"/>
                    <w:tr2bl w:val="nil"/>
                  </w:tcBorders>
                  <w:vAlign w:val="center"/>
                </w:tcPr>
                <w:p w14:paraId="37CCB4B6">
                  <w:pPr>
                    <w:pStyle w:val="41"/>
                    <w:spacing w:line="240" w:lineRule="auto"/>
                    <w:ind w:left="-63" w:leftChars="-30" w:right="-63" w:rightChars="-30"/>
                    <w:rPr>
                      <w:rFonts w:hint="eastAsia" w:ascii="Times New Roman" w:eastAsia="宋体" w:cs="Times New Roman"/>
                      <w:b w:val="0"/>
                      <w:bCs/>
                      <w:color w:val="000000" w:themeColor="text1"/>
                      <w:sz w:val="21"/>
                      <w:szCs w:val="21"/>
                      <w:highlight w:val="none"/>
                      <w:lang w:eastAsia="zh-CN"/>
                      <w14:textFill>
                        <w14:solidFill>
                          <w14:schemeClr w14:val="tx1"/>
                        </w14:solidFill>
                      </w14:textFill>
                    </w:rPr>
                  </w:pPr>
                  <w:r>
                    <w:rPr>
                      <w:rFonts w:hint="eastAsia" w:ascii="Times New Roman" w:cs="Times New Roman"/>
                      <w:b w:val="0"/>
                      <w:bCs/>
                      <w:color w:val="000000" w:themeColor="text1"/>
                      <w:sz w:val="21"/>
                      <w:szCs w:val="21"/>
                      <w:highlight w:val="none"/>
                      <w:lang w:eastAsia="zh-CN"/>
                      <w14:textFill>
                        <w14:solidFill>
                          <w14:schemeClr w14:val="tx1"/>
                        </w14:solidFill>
                      </w14:textFill>
                    </w:rPr>
                    <w:t>托克逊奥宇储能有限公司</w:t>
                  </w:r>
                </w:p>
              </w:tc>
            </w:tr>
            <w:tr w14:paraId="55A3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2" w:type="dxa"/>
                  <w:gridSpan w:val="3"/>
                  <w:tcBorders>
                    <w:tl2br w:val="nil"/>
                    <w:tr2bl w:val="nil"/>
                  </w:tcBorders>
                  <w:vAlign w:val="center"/>
                </w:tcPr>
                <w:p w14:paraId="26D46405">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建设性质</w:t>
                  </w:r>
                </w:p>
              </w:tc>
              <w:tc>
                <w:tcPr>
                  <w:tcW w:w="6348" w:type="dxa"/>
                  <w:tcBorders>
                    <w:tl2br w:val="nil"/>
                    <w:tr2bl w:val="nil"/>
                  </w:tcBorders>
                  <w:vAlign w:val="center"/>
                </w:tcPr>
                <w:p w14:paraId="3D0DCDF6">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新建</w:t>
                  </w:r>
                </w:p>
              </w:tc>
            </w:tr>
            <w:tr w14:paraId="688E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2" w:type="dxa"/>
                  <w:gridSpan w:val="3"/>
                  <w:tcBorders>
                    <w:tl2br w:val="nil"/>
                    <w:tr2bl w:val="nil"/>
                  </w:tcBorders>
                  <w:vAlign w:val="center"/>
                </w:tcPr>
                <w:p w14:paraId="70383607">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建设地点</w:t>
                  </w:r>
                </w:p>
              </w:tc>
              <w:tc>
                <w:tcPr>
                  <w:tcW w:w="6348" w:type="dxa"/>
                  <w:tcBorders>
                    <w:tl2br w:val="nil"/>
                    <w:tr2bl w:val="nil"/>
                  </w:tcBorders>
                  <w:vAlign w:val="center"/>
                </w:tcPr>
                <w:p w14:paraId="377D9A1D">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新疆维吾尔自治区吐鲁番市</w:t>
                  </w:r>
                  <w:r>
                    <w:rPr>
                      <w:rFonts w:hint="eastAsia" w:ascii="Times New Roman" w:cs="Times New Roman"/>
                      <w:b w:val="0"/>
                      <w:bCs/>
                      <w:color w:val="000000" w:themeColor="text1"/>
                      <w:sz w:val="21"/>
                      <w:szCs w:val="21"/>
                      <w:highlight w:val="none"/>
                      <w:lang w:val="en-US" w:eastAsia="zh-CN"/>
                      <w14:textFill>
                        <w14:solidFill>
                          <w14:schemeClr w14:val="tx1"/>
                        </w14:solidFill>
                      </w14:textFill>
                    </w:rPr>
                    <w:t>托克逊</w:t>
                  </w:r>
                  <w:r>
                    <w:rPr>
                      <w:rFonts w:ascii="Times New Roman" w:cs="Times New Roman"/>
                      <w:b w:val="0"/>
                      <w:bCs/>
                      <w:color w:val="000000" w:themeColor="text1"/>
                      <w:sz w:val="21"/>
                      <w:szCs w:val="21"/>
                      <w:highlight w:val="none"/>
                      <w14:textFill>
                        <w14:solidFill>
                          <w14:schemeClr w14:val="tx1"/>
                        </w14:solidFill>
                      </w14:textFill>
                    </w:rPr>
                    <w:t>县</w:t>
                  </w:r>
                  <w:r>
                    <w:rPr>
                      <w:rFonts w:hint="eastAsia" w:ascii="Times New Roman" w:cs="Times New Roman"/>
                      <w:b w:val="0"/>
                      <w:bCs/>
                      <w:color w:val="000000" w:themeColor="text1"/>
                      <w:sz w:val="21"/>
                      <w:szCs w:val="21"/>
                      <w:highlight w:val="none"/>
                      <w:lang w:val="en-US" w:eastAsia="zh-CN"/>
                      <w14:textFill>
                        <w14:solidFill>
                          <w14:schemeClr w14:val="tx1"/>
                        </w14:solidFill>
                      </w14:textFill>
                    </w:rPr>
                    <w:t>南</w:t>
                  </w:r>
                  <w:r>
                    <w:rPr>
                      <w:rFonts w:ascii="Times New Roman" w:cs="Times New Roman"/>
                      <w:b w:val="0"/>
                      <w:bCs/>
                      <w:color w:val="000000" w:themeColor="text1"/>
                      <w:sz w:val="21"/>
                      <w:szCs w:val="21"/>
                      <w:highlight w:val="none"/>
                      <w14:textFill>
                        <w14:solidFill>
                          <w14:schemeClr w14:val="tx1"/>
                        </w14:solidFill>
                      </w14:textFill>
                    </w:rPr>
                    <w:t>侧</w:t>
                  </w:r>
                  <w:r>
                    <w:rPr>
                      <w:rFonts w:hint="eastAsia" w:ascii="Times New Roman" w:cs="Times New Roman"/>
                      <w:b w:val="0"/>
                      <w:bCs/>
                      <w:color w:val="000000" w:themeColor="text1"/>
                      <w:sz w:val="21"/>
                      <w:szCs w:val="21"/>
                      <w:highlight w:val="none"/>
                      <w:lang w:val="en-US" w:eastAsia="zh-CN"/>
                      <w14:textFill>
                        <w14:solidFill>
                          <w14:schemeClr w14:val="tx1"/>
                        </w14:solidFill>
                      </w14:textFill>
                    </w:rPr>
                    <w:t>7</w:t>
                  </w:r>
                  <w:r>
                    <w:rPr>
                      <w:rFonts w:ascii="Times New Roman" w:cs="Times New Roman"/>
                      <w:b w:val="0"/>
                      <w:bCs/>
                      <w:color w:val="000000" w:themeColor="text1"/>
                      <w:sz w:val="21"/>
                      <w:szCs w:val="21"/>
                      <w:highlight w:val="none"/>
                      <w14:textFill>
                        <w14:solidFill>
                          <w14:schemeClr w14:val="tx1"/>
                        </w14:solidFill>
                      </w14:textFill>
                    </w:rPr>
                    <w:t>km处</w:t>
                  </w:r>
                </w:p>
              </w:tc>
            </w:tr>
            <w:tr w14:paraId="60D1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2" w:type="dxa"/>
                  <w:gridSpan w:val="3"/>
                  <w:tcBorders>
                    <w:tl2br w:val="nil"/>
                    <w:tr2bl w:val="nil"/>
                  </w:tcBorders>
                  <w:vAlign w:val="center"/>
                </w:tcPr>
                <w:p w14:paraId="2D02ABFC">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主要建设内容</w:t>
                  </w:r>
                </w:p>
              </w:tc>
              <w:tc>
                <w:tcPr>
                  <w:tcW w:w="6348" w:type="dxa"/>
                  <w:tcBorders>
                    <w:tl2br w:val="nil"/>
                    <w:tr2bl w:val="nil"/>
                  </w:tcBorders>
                  <w:vAlign w:val="center"/>
                </w:tcPr>
                <w:p w14:paraId="5A8CA635">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项目建设规模与内容</w:t>
                  </w:r>
                </w:p>
              </w:tc>
            </w:tr>
            <w:tr w14:paraId="6C0D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tcBorders>
                    <w:tl2br w:val="nil"/>
                    <w:tr2bl w:val="nil"/>
                  </w:tcBorders>
                  <w:vAlign w:val="center"/>
                </w:tcPr>
                <w:p w14:paraId="50DC1DF8">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ascii="Times New Roman" w:cs="Times New Roman"/>
                      <w:b w:val="0"/>
                      <w:bCs/>
                      <w:color w:val="000000" w:themeColor="text1"/>
                      <w:sz w:val="21"/>
                      <w:szCs w:val="21"/>
                      <w:highlight w:val="none"/>
                      <w14:textFill>
                        <w14:solidFill>
                          <w14:schemeClr w14:val="tx1"/>
                        </w14:solidFill>
                      </w14:textFill>
                    </w:rPr>
                    <w:t>主体工程</w:t>
                  </w:r>
                </w:p>
              </w:tc>
              <w:tc>
                <w:tcPr>
                  <w:tcW w:w="1308" w:type="dxa"/>
                  <w:gridSpan w:val="2"/>
                  <w:tcBorders>
                    <w:tl2br w:val="nil"/>
                    <w:tr2bl w:val="nil"/>
                  </w:tcBorders>
                  <w:vAlign w:val="center"/>
                </w:tcPr>
                <w:p w14:paraId="68269E61">
                  <w:pPr>
                    <w:ind w:left="-63" w:leftChars="-30" w:right="-63" w:rightChars="-30"/>
                    <w:jc w:val="center"/>
                    <w:rPr>
                      <w:rFonts w:hint="eastAsia"/>
                      <w:b w:val="0"/>
                      <w:bCs/>
                      <w:color w:val="000000" w:themeColor="text1"/>
                      <w:szCs w:val="21"/>
                      <w:highlight w:val="none"/>
                      <w14:textFill>
                        <w14:solidFill>
                          <w14:schemeClr w14:val="tx1"/>
                        </w14:solidFill>
                      </w14:textFill>
                    </w:rPr>
                  </w:pPr>
                  <w:r>
                    <w:rPr>
                      <w:rFonts w:hint="eastAsia"/>
                      <w:b w:val="0"/>
                      <w:bCs/>
                      <w:color w:val="000000" w:themeColor="text1"/>
                      <w:szCs w:val="21"/>
                      <w:highlight w:val="none"/>
                      <w:lang w:val="en-US" w:eastAsia="zh-CN"/>
                      <w14:textFill>
                        <w14:solidFill>
                          <w14:schemeClr w14:val="tx1"/>
                        </w14:solidFill>
                      </w14:textFill>
                    </w:rPr>
                    <w:t>储能站</w:t>
                  </w:r>
                </w:p>
              </w:tc>
              <w:tc>
                <w:tcPr>
                  <w:tcW w:w="6348" w:type="dxa"/>
                  <w:tcBorders>
                    <w:tl2br w:val="nil"/>
                    <w:tr2bl w:val="nil"/>
                  </w:tcBorders>
                  <w:vAlign w:val="center"/>
                </w:tcPr>
                <w:p w14:paraId="3416AAC8">
                  <w:pPr>
                    <w:pStyle w:val="41"/>
                    <w:spacing w:line="240" w:lineRule="auto"/>
                    <w:ind w:left="-63" w:leftChars="-30" w:right="-63" w:rightChars="-30"/>
                    <w:jc w:val="both"/>
                    <w:rPr>
                      <w:rFonts w:hint="eastAsia" w:ascii="Times New Roman" w:cs="Times New Roman"/>
                      <w:b w:val="0"/>
                      <w:bCs/>
                      <w:color w:val="000000" w:themeColor="text1"/>
                      <w:sz w:val="21"/>
                      <w:szCs w:val="21"/>
                      <w:highlight w:val="none"/>
                      <w:lang w:val="en-US" w:eastAsia="zh-CN"/>
                      <w14:textFill>
                        <w14:solidFill>
                          <w14:schemeClr w14:val="tx1"/>
                        </w14:solidFill>
                      </w14:textFill>
                    </w:rPr>
                  </w:pPr>
                  <w:r>
                    <w:rPr>
                      <w:rFonts w:hint="eastAsia" w:ascii="Times New Roman" w:cs="Times New Roman"/>
                      <w:b w:val="0"/>
                      <w:bCs/>
                      <w:color w:val="000000" w:themeColor="text1"/>
                      <w:sz w:val="21"/>
                      <w:szCs w:val="21"/>
                      <w:highlight w:val="none"/>
                      <w:lang w:val="en-US" w:eastAsia="zh-CN"/>
                      <w14:textFill>
                        <w14:solidFill>
                          <w14:schemeClr w14:val="tx1"/>
                        </w14:solidFill>
                      </w14:textFill>
                    </w:rPr>
                    <w:t>建设规模</w:t>
                  </w:r>
                  <w:r>
                    <w:rPr>
                      <w:rFonts w:hint="default" w:ascii="Times New Roman" w:cs="Times New Roman"/>
                      <w:b w:val="0"/>
                      <w:bCs/>
                      <w:color w:val="000000" w:themeColor="text1"/>
                      <w:sz w:val="21"/>
                      <w:szCs w:val="21"/>
                      <w:highlight w:val="none"/>
                      <w:lang w:val="en-US" w:eastAsia="zh-CN"/>
                      <w14:textFill>
                        <w14:solidFill>
                          <w14:schemeClr w14:val="tx1"/>
                        </w14:solidFill>
                      </w14:textFill>
                    </w:rPr>
                    <w:t>100MW/400MWh</w:t>
                  </w:r>
                  <w:r>
                    <w:rPr>
                      <w:rFonts w:hint="eastAsia" w:ascii="Times New Roman" w:cs="Times New Roman"/>
                      <w:b w:val="0"/>
                      <w:bCs/>
                      <w:color w:val="000000" w:themeColor="text1"/>
                      <w:sz w:val="21"/>
                      <w:szCs w:val="21"/>
                      <w:highlight w:val="none"/>
                      <w:lang w:val="en-US" w:eastAsia="zh-CN"/>
                      <w14:textFill>
                        <w14:solidFill>
                          <w14:schemeClr w14:val="tx1"/>
                        </w14:solidFill>
                      </w14:textFill>
                    </w:rPr>
                    <w:t>，配备</w:t>
                  </w:r>
                  <w:r>
                    <w:rPr>
                      <w:rFonts w:hint="default" w:ascii="Times New Roman" w:cs="Times New Roman"/>
                      <w:b w:val="0"/>
                      <w:bCs/>
                      <w:color w:val="000000" w:themeColor="text1"/>
                      <w:sz w:val="21"/>
                      <w:szCs w:val="21"/>
                      <w:highlight w:val="none"/>
                      <w:lang w:val="en-US" w:eastAsia="zh-CN"/>
                      <w14:textFill>
                        <w14:solidFill>
                          <w14:schemeClr w14:val="tx1"/>
                        </w14:solidFill>
                      </w14:textFill>
                    </w:rPr>
                    <w:t>100%</w:t>
                  </w:r>
                  <w:r>
                    <w:rPr>
                      <w:rFonts w:hint="eastAsia" w:ascii="Times New Roman" w:cs="Times New Roman"/>
                      <w:b w:val="0"/>
                      <w:bCs/>
                      <w:color w:val="000000" w:themeColor="text1"/>
                      <w:sz w:val="21"/>
                      <w:szCs w:val="21"/>
                      <w:highlight w:val="none"/>
                      <w:lang w:val="en-US" w:eastAsia="zh-CN"/>
                      <w14:textFill>
                        <w14:solidFill>
                          <w14:schemeClr w14:val="tx1"/>
                        </w14:solidFill>
                      </w14:textFill>
                    </w:rPr>
                    <w:t>构网型储能系统。</w:t>
                  </w:r>
                </w:p>
                <w:p w14:paraId="622DF3B0">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lang w:val="en-US" w:eastAsia="zh-CN"/>
                      <w14:textFill>
                        <w14:solidFill>
                          <w14:schemeClr w14:val="tx1"/>
                        </w14:solidFill>
                      </w14:textFill>
                    </w:rPr>
                    <w:t>100MW/400MWh磷酸铁锂储能系统由20套5MW/20MWh构网型标准储能单元组成：每个单元设1台5500kVA双绕组升压变压器。各储能单元经过4台1250kW构网型变流器接入升压变的低压侧升压至35kV侧。每5台升压变高压侧并接后经1回35kV电缆线路送入35kV配电室，共4回35kV电缆线路。</w:t>
                  </w:r>
                </w:p>
              </w:tc>
            </w:tr>
            <w:tr w14:paraId="4FC1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78500F99">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restart"/>
                  <w:tcBorders>
                    <w:tl2br w:val="nil"/>
                    <w:tr2bl w:val="nil"/>
                  </w:tcBorders>
                  <w:vAlign w:val="center"/>
                </w:tcPr>
                <w:p w14:paraId="2C8A4E15">
                  <w:pPr>
                    <w:ind w:left="-63" w:leftChars="-30" w:right="-63" w:rightChars="-30"/>
                    <w:jc w:val="center"/>
                    <w:rPr>
                      <w:rFonts w:hint="default" w:eastAsia="宋体"/>
                      <w:b w:val="0"/>
                      <w:bCs/>
                      <w:color w:val="000000" w:themeColor="text1"/>
                      <w:szCs w:val="21"/>
                      <w:highlight w:val="none"/>
                      <w:lang w:val="en-US" w:eastAsia="zh-CN"/>
                      <w14:textFill>
                        <w14:solidFill>
                          <w14:schemeClr w14:val="tx1"/>
                        </w14:solidFill>
                      </w14:textFill>
                    </w:rPr>
                  </w:pPr>
                  <w:r>
                    <w:rPr>
                      <w:rFonts w:hint="eastAsia"/>
                      <w:b w:val="0"/>
                      <w:bCs/>
                      <w:color w:val="000000" w:themeColor="text1"/>
                      <w:szCs w:val="21"/>
                      <w:highlight w:val="none"/>
                      <w:lang w:val="en-US" w:eastAsia="zh-CN"/>
                      <w14:textFill>
                        <w14:solidFill>
                          <w14:schemeClr w14:val="tx1"/>
                        </w14:solidFill>
                      </w14:textFill>
                    </w:rPr>
                    <w:t>110kV升压站</w:t>
                  </w:r>
                </w:p>
              </w:tc>
              <w:tc>
                <w:tcPr>
                  <w:tcW w:w="654" w:type="dxa"/>
                  <w:tcBorders>
                    <w:tl2br w:val="nil"/>
                    <w:tr2bl w:val="nil"/>
                  </w:tcBorders>
                  <w:shd w:val="clear" w:color="auto" w:fill="auto"/>
                  <w:vAlign w:val="center"/>
                </w:tcPr>
                <w:p w14:paraId="040C686F">
                  <w:pPr>
                    <w:ind w:left="-63" w:leftChars="-30" w:right="-63" w:rightChars="-30"/>
                    <w:jc w:val="cente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b w:val="0"/>
                      <w:bCs/>
                      <w:color w:val="000000" w:themeColor="text1"/>
                      <w:szCs w:val="21"/>
                      <w:highlight w:val="none"/>
                      <w14:textFill>
                        <w14:solidFill>
                          <w14:schemeClr w14:val="tx1"/>
                        </w14:solidFill>
                      </w14:textFill>
                    </w:rPr>
                    <w:t>主变压器</w:t>
                  </w:r>
                </w:p>
              </w:tc>
              <w:tc>
                <w:tcPr>
                  <w:tcW w:w="6348" w:type="dxa"/>
                  <w:tcBorders>
                    <w:tl2br w:val="nil"/>
                    <w:tr2bl w:val="nil"/>
                  </w:tcBorders>
                  <w:shd w:val="clear" w:color="auto" w:fill="auto"/>
                  <w:vAlign w:val="center"/>
                </w:tcPr>
                <w:p w14:paraId="7F4EC70E">
                  <w:pPr>
                    <w:pStyle w:val="41"/>
                    <w:spacing w:line="240" w:lineRule="auto"/>
                    <w:ind w:left="-63" w:leftChars="-30" w:right="-63" w:rightChars="-30"/>
                    <w:jc w:val="both"/>
                    <w:rPr>
                      <w:rFonts w:hint="eastAsia" w:asci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主变容量：</w:t>
                  </w:r>
                  <w:r>
                    <w:rPr>
                      <w:rFonts w:hint="eastAsia" w:ascii="Times New Roman" w:cs="Times New Roman"/>
                      <w:b w:val="0"/>
                      <w:bCs/>
                      <w:color w:val="000000" w:themeColor="text1"/>
                      <w:sz w:val="21"/>
                      <w:szCs w:val="21"/>
                      <w:highlight w:val="none"/>
                      <w:lang w:val="en-US" w:eastAsia="zh-CN"/>
                      <w14:textFill>
                        <w14:solidFill>
                          <w14:schemeClr w14:val="tx1"/>
                        </w14:solidFill>
                      </w14:textFill>
                    </w:rPr>
                    <w:t>规划1</w:t>
                  </w:r>
                  <w:r>
                    <w:rPr>
                      <w:rFonts w:hint="eastAsia" w:ascii="Times New Roman" w:cs="Times New Roman"/>
                      <w:b w:val="0"/>
                      <w:bCs/>
                      <w:color w:val="000000" w:themeColor="text1"/>
                      <w:sz w:val="21"/>
                      <w:szCs w:val="21"/>
                      <w:highlight w:val="none"/>
                      <w14:textFill>
                        <w14:solidFill>
                          <w14:schemeClr w14:val="tx1"/>
                        </w14:solidFill>
                      </w14:textFill>
                    </w:rPr>
                    <w:t>×</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12</w:t>
                  </w:r>
                  <w:r>
                    <w:rPr>
                      <w:rFonts w:hint="eastAsia" w:ascii="Times New Roman" w:cs="Times New Roman"/>
                      <w:b w:val="0"/>
                      <w:bCs/>
                      <w:color w:val="000000" w:themeColor="text1"/>
                      <w:sz w:val="21"/>
                      <w:szCs w:val="21"/>
                      <w:highlight w:val="none"/>
                      <w14:textFill>
                        <w14:solidFill>
                          <w14:schemeClr w14:val="tx1"/>
                        </w14:solidFill>
                      </w14:textFill>
                    </w:rPr>
                    <w:t>0MVA；</w:t>
                  </w:r>
                  <w:r>
                    <w:rPr>
                      <w:rFonts w:hint="eastAsia" w:ascii="Times New Roman" w:cs="Times New Roman"/>
                      <w:b w:val="0"/>
                      <w:bCs/>
                      <w:color w:val="000000" w:themeColor="text1"/>
                      <w:sz w:val="21"/>
                      <w:szCs w:val="21"/>
                      <w:highlight w:val="none"/>
                      <w:lang w:val="en-US" w:eastAsia="zh-CN"/>
                      <w14:textFill>
                        <w14:solidFill>
                          <w14:schemeClr w14:val="tx1"/>
                        </w14:solidFill>
                      </w14:textFill>
                    </w:rPr>
                    <w:t>本次建设一次建成1</w:t>
                  </w:r>
                  <w:r>
                    <w:rPr>
                      <w:rFonts w:hint="eastAsia" w:ascii="Times New Roman" w:cs="Times New Roman"/>
                      <w:b w:val="0"/>
                      <w:bCs/>
                      <w:color w:val="000000" w:themeColor="text1"/>
                      <w:sz w:val="21"/>
                      <w:szCs w:val="21"/>
                      <w:highlight w:val="none"/>
                      <w14:textFill>
                        <w14:solidFill>
                          <w14:schemeClr w14:val="tx1"/>
                        </w14:solidFill>
                      </w14:textFill>
                    </w:rPr>
                    <w:t>×</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12</w:t>
                  </w:r>
                  <w:r>
                    <w:rPr>
                      <w:rFonts w:hint="eastAsia" w:ascii="Times New Roman" w:cs="Times New Roman"/>
                      <w:b w:val="0"/>
                      <w:bCs/>
                      <w:color w:val="000000" w:themeColor="text1"/>
                      <w:sz w:val="21"/>
                      <w:szCs w:val="21"/>
                      <w:highlight w:val="none"/>
                      <w14:textFill>
                        <w14:solidFill>
                          <w14:schemeClr w14:val="tx1"/>
                        </w14:solidFill>
                      </w14:textFill>
                    </w:rPr>
                    <w:t>0MVA</w:t>
                  </w:r>
                  <w:r>
                    <w:rPr>
                      <w:rFonts w:hint="eastAsia" w:ascii="Times New Roman" w:cs="Times New Roman"/>
                      <w:b w:val="0"/>
                      <w:bCs/>
                      <w:color w:val="000000" w:themeColor="text1"/>
                      <w:sz w:val="21"/>
                      <w:szCs w:val="21"/>
                      <w:highlight w:val="none"/>
                      <w:lang w:eastAsia="zh-CN"/>
                      <w14:textFill>
                        <w14:solidFill>
                          <w14:schemeClr w14:val="tx1"/>
                        </w14:solidFill>
                      </w14:textFill>
                    </w:rPr>
                    <w:t>。</w:t>
                  </w:r>
                </w:p>
                <w:p w14:paraId="6408865C">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主变型式：三相</w:t>
                  </w:r>
                  <w:r>
                    <w:rPr>
                      <w:rFonts w:hint="eastAsia" w:ascii="Times New Roman" w:cs="Times New Roman"/>
                      <w:b w:val="0"/>
                      <w:bCs/>
                      <w:color w:val="000000" w:themeColor="text1"/>
                      <w:sz w:val="21"/>
                      <w:szCs w:val="21"/>
                      <w:highlight w:val="none"/>
                      <w:lang w:val="en-US" w:eastAsia="zh-CN"/>
                      <w14:textFill>
                        <w14:solidFill>
                          <w14:schemeClr w14:val="tx1"/>
                        </w14:solidFill>
                      </w14:textFill>
                    </w:rPr>
                    <w:t>双卷</w:t>
                  </w:r>
                  <w:r>
                    <w:rPr>
                      <w:rFonts w:hint="eastAsia" w:ascii="Times New Roman" w:cs="Times New Roman"/>
                      <w:b w:val="0"/>
                      <w:bCs/>
                      <w:color w:val="000000" w:themeColor="text1"/>
                      <w:sz w:val="21"/>
                      <w:szCs w:val="21"/>
                      <w:highlight w:val="none"/>
                      <w14:textFill>
                        <w14:solidFill>
                          <w14:schemeClr w14:val="tx1"/>
                        </w14:solidFill>
                      </w14:textFill>
                    </w:rPr>
                    <w:t>有载调压变压器；</w:t>
                  </w:r>
                </w:p>
                <w:p w14:paraId="7162E74C">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额定电压：</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115</w:t>
                  </w:r>
                  <w:r>
                    <w:rPr>
                      <w:rFonts w:hint="eastAsia" w:ascii="Times New Roman" w:cs="Times New Roman"/>
                      <w:b w:val="0"/>
                      <w:bCs/>
                      <w:color w:val="000000" w:themeColor="text1"/>
                      <w:sz w:val="21"/>
                      <w:szCs w:val="21"/>
                      <w:highlight w:val="none"/>
                      <w14:textFill>
                        <w14:solidFill>
                          <w14:schemeClr w14:val="tx1"/>
                        </w14:solidFill>
                      </w14:textFill>
                    </w:rPr>
                    <w:t>±8×1.25%/36.5kV；</w:t>
                  </w:r>
                </w:p>
                <w:p w14:paraId="0E6DA4BA">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额定容量：100%/100%；</w:t>
                  </w:r>
                </w:p>
                <w:p w14:paraId="61AC4A95">
                  <w:pPr>
                    <w:pStyle w:val="41"/>
                    <w:spacing w:line="240" w:lineRule="auto"/>
                    <w:ind w:left="-63" w:leftChars="-30" w:right="-63" w:rightChars="-30"/>
                    <w:jc w:val="both"/>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接线组别：YN，d11；</w:t>
                  </w:r>
                </w:p>
              </w:tc>
            </w:tr>
            <w:tr w14:paraId="6A4A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2AF6AF95">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continue"/>
                  <w:tcBorders>
                    <w:tl2br w:val="nil"/>
                    <w:tr2bl w:val="nil"/>
                  </w:tcBorders>
                  <w:vAlign w:val="center"/>
                </w:tcPr>
                <w:p w14:paraId="38F67A96">
                  <w:pPr>
                    <w:ind w:left="-63" w:leftChars="-30" w:right="-63" w:rightChars="-30"/>
                    <w:jc w:val="center"/>
                    <w:rPr>
                      <w:b w:val="0"/>
                      <w:bCs/>
                      <w:color w:val="000000" w:themeColor="text1"/>
                      <w:szCs w:val="21"/>
                      <w:highlight w:val="none"/>
                      <w14:textFill>
                        <w14:solidFill>
                          <w14:schemeClr w14:val="tx1"/>
                        </w14:solidFill>
                      </w14:textFill>
                    </w:rPr>
                  </w:pPr>
                </w:p>
              </w:tc>
              <w:tc>
                <w:tcPr>
                  <w:tcW w:w="654" w:type="dxa"/>
                  <w:tcBorders>
                    <w:tl2br w:val="nil"/>
                    <w:tr2bl w:val="nil"/>
                  </w:tcBorders>
                  <w:vAlign w:val="center"/>
                </w:tcPr>
                <w:p w14:paraId="42C43D26">
                  <w:pPr>
                    <w:ind w:left="-63" w:leftChars="-30" w:right="-63" w:rightChars="-30"/>
                    <w:jc w:val="center"/>
                    <w:rPr>
                      <w:b w:val="0"/>
                      <w:bCs/>
                      <w:color w:val="000000" w:themeColor="text1"/>
                      <w:szCs w:val="21"/>
                      <w:highlight w:val="none"/>
                      <w14:textFill>
                        <w14:solidFill>
                          <w14:schemeClr w14:val="tx1"/>
                        </w14:solidFill>
                      </w14:textFill>
                    </w:rPr>
                  </w:pPr>
                  <w:r>
                    <w:rPr>
                      <w:b w:val="0"/>
                      <w:bCs/>
                      <w:color w:val="000000" w:themeColor="text1"/>
                      <w:szCs w:val="21"/>
                      <w:highlight w:val="none"/>
                      <w14:textFill>
                        <w14:solidFill>
                          <w14:schemeClr w14:val="tx1"/>
                        </w14:solidFill>
                      </w14:textFill>
                    </w:rPr>
                    <w:t>无功补偿</w:t>
                  </w:r>
                </w:p>
              </w:tc>
              <w:tc>
                <w:tcPr>
                  <w:tcW w:w="6348" w:type="dxa"/>
                  <w:tcBorders>
                    <w:tl2br w:val="nil"/>
                    <w:tr2bl w:val="nil"/>
                  </w:tcBorders>
                  <w:vAlign w:val="center"/>
                </w:tcPr>
                <w:p w14:paraId="62C99446">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主变在35kV侧安装1组</w:t>
                  </w:r>
                  <w:r>
                    <w:rPr>
                      <w:rFonts w:hint="eastAsia" w:ascii="Times New Roman" w:cs="Times New Roman"/>
                      <w:b w:val="0"/>
                      <w:bCs/>
                      <w:color w:val="000000" w:themeColor="text1"/>
                      <w:sz w:val="21"/>
                      <w:szCs w:val="21"/>
                      <w:highlight w:val="none"/>
                      <w:lang w:val="en-US" w:eastAsia="zh-CN"/>
                      <w14:textFill>
                        <w14:solidFill>
                          <w14:schemeClr w14:val="tx1"/>
                        </w14:solidFill>
                      </w14:textFill>
                    </w:rPr>
                    <w:t>感性</w:t>
                  </w:r>
                  <w:r>
                    <w:rPr>
                      <w:rFonts w:hint="eastAsia" w:ascii="Times New Roman" w:cs="Times New Roman"/>
                      <w:b w:val="0"/>
                      <w:bCs/>
                      <w:color w:val="000000" w:themeColor="text1"/>
                      <w:sz w:val="21"/>
                      <w:szCs w:val="21"/>
                      <w:highlight w:val="none"/>
                      <w:lang w:eastAsia="zh-CN"/>
                      <w14:textFill>
                        <w14:solidFill>
                          <w14:schemeClr w14:val="tx1"/>
                        </w14:solidFill>
                      </w14:textFill>
                    </w:rPr>
                    <w:t>（</w:t>
                  </w:r>
                  <w:r>
                    <w:rPr>
                      <w:rFonts w:hint="eastAsia" w:ascii="Times New Roman" w:cs="Times New Roman"/>
                      <w:b w:val="0"/>
                      <w:bCs/>
                      <w:color w:val="000000" w:themeColor="text1"/>
                      <w:sz w:val="21"/>
                      <w:szCs w:val="21"/>
                      <w:highlight w:val="none"/>
                      <w:lang w:val="en-US" w:eastAsia="zh-CN"/>
                      <w14:textFill>
                        <w14:solidFill>
                          <w14:schemeClr w14:val="tx1"/>
                        </w14:solidFill>
                      </w14:textFill>
                    </w:rPr>
                    <w:t>-30~+30</w:t>
                  </w:r>
                  <w:r>
                    <w:rPr>
                      <w:rFonts w:hint="eastAsia" w:ascii="Times New Roman" w:cs="Times New Roman"/>
                      <w:b w:val="0"/>
                      <w:bCs/>
                      <w:color w:val="000000" w:themeColor="text1"/>
                      <w:sz w:val="21"/>
                      <w:szCs w:val="21"/>
                      <w:highlight w:val="none"/>
                      <w:lang w:eastAsia="zh-CN"/>
                      <w14:textFill>
                        <w14:solidFill>
                          <w14:schemeClr w14:val="tx1"/>
                        </w14:solidFill>
                      </w14:textFill>
                    </w:rPr>
                    <w:t>）</w:t>
                  </w:r>
                  <w:r>
                    <w:rPr>
                      <w:rFonts w:hint="eastAsia" w:ascii="Times New Roman" w:cs="Times New Roman"/>
                      <w:b w:val="0"/>
                      <w:bCs/>
                      <w:color w:val="000000" w:themeColor="text1"/>
                      <w:sz w:val="21"/>
                      <w:szCs w:val="21"/>
                      <w:highlight w:val="none"/>
                      <w14:textFill>
                        <w14:solidFill>
                          <w14:schemeClr w14:val="tx1"/>
                        </w14:solidFill>
                      </w14:textFill>
                    </w:rPr>
                    <w:t>Mvar容量的连续可调的SVG型动态无功补偿装置并联运行。</w:t>
                  </w:r>
                </w:p>
              </w:tc>
            </w:tr>
            <w:tr w14:paraId="7049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381636F7">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continue"/>
                  <w:tcBorders>
                    <w:tl2br w:val="nil"/>
                    <w:tr2bl w:val="nil"/>
                  </w:tcBorders>
                  <w:vAlign w:val="center"/>
                </w:tcPr>
                <w:p w14:paraId="47476265">
                  <w:pPr>
                    <w:ind w:left="-63" w:leftChars="-30" w:right="-63" w:rightChars="-30"/>
                    <w:jc w:val="center"/>
                    <w:rPr>
                      <w:b w:val="0"/>
                      <w:bCs/>
                      <w:color w:val="000000" w:themeColor="text1"/>
                      <w:szCs w:val="21"/>
                      <w:highlight w:val="none"/>
                      <w14:textFill>
                        <w14:solidFill>
                          <w14:schemeClr w14:val="tx1"/>
                        </w14:solidFill>
                      </w14:textFill>
                    </w:rPr>
                  </w:pPr>
                </w:p>
              </w:tc>
              <w:tc>
                <w:tcPr>
                  <w:tcW w:w="654" w:type="dxa"/>
                  <w:tcBorders>
                    <w:tl2br w:val="nil"/>
                    <w:tr2bl w:val="nil"/>
                  </w:tcBorders>
                  <w:vAlign w:val="center"/>
                </w:tcPr>
                <w:p w14:paraId="4EEBC6D3">
                  <w:pPr>
                    <w:ind w:left="-63" w:leftChars="-30" w:right="-63" w:rightChars="-30"/>
                    <w:jc w:val="center"/>
                    <w:rPr>
                      <w:rFonts w:hint="eastAsia"/>
                      <w:b w:val="0"/>
                      <w:bCs/>
                      <w:color w:val="000000" w:themeColor="text1"/>
                      <w:szCs w:val="21"/>
                      <w:highlight w:val="none"/>
                      <w:lang w:val="en-US" w:eastAsia="zh-CN"/>
                      <w14:textFill>
                        <w14:solidFill>
                          <w14:schemeClr w14:val="tx1"/>
                        </w14:solidFill>
                      </w14:textFill>
                    </w:rPr>
                  </w:pPr>
                  <w:r>
                    <w:rPr>
                      <w:rFonts w:hint="eastAsia"/>
                      <w:b w:val="0"/>
                      <w:bCs/>
                      <w:color w:val="000000" w:themeColor="text1"/>
                      <w:szCs w:val="21"/>
                      <w:highlight w:val="none"/>
                      <w:lang w:val="en-US" w:eastAsia="zh-CN"/>
                      <w14:textFill>
                        <w14:solidFill>
                          <w14:schemeClr w14:val="tx1"/>
                        </w14:solidFill>
                      </w14:textFill>
                    </w:rPr>
                    <w:t>110</w:t>
                  </w:r>
                  <w:r>
                    <w:rPr>
                      <w:rFonts w:hint="eastAsia"/>
                      <w:b w:val="0"/>
                      <w:bCs/>
                      <w:color w:val="000000" w:themeColor="text1"/>
                      <w:szCs w:val="21"/>
                      <w:highlight w:val="none"/>
                      <w14:textFill>
                        <w14:solidFill>
                          <w14:schemeClr w14:val="tx1"/>
                        </w14:solidFill>
                      </w14:textFill>
                    </w:rPr>
                    <w:t>kV出线</w:t>
                  </w:r>
                </w:p>
              </w:tc>
              <w:tc>
                <w:tcPr>
                  <w:tcW w:w="6348" w:type="dxa"/>
                  <w:tcBorders>
                    <w:tl2br w:val="nil"/>
                    <w:tr2bl w:val="nil"/>
                  </w:tcBorders>
                  <w:vAlign w:val="center"/>
                </w:tcPr>
                <w:p w14:paraId="18968D2B">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终期</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11</w:t>
                  </w:r>
                  <w:r>
                    <w:rPr>
                      <w:rFonts w:hint="eastAsia" w:ascii="Times New Roman" w:cs="Times New Roman"/>
                      <w:b w:val="0"/>
                      <w:bCs/>
                      <w:color w:val="000000" w:themeColor="text1"/>
                      <w:sz w:val="21"/>
                      <w:szCs w:val="21"/>
                      <w:highlight w:val="none"/>
                      <w14:textFill>
                        <w14:solidFill>
                          <w14:schemeClr w14:val="tx1"/>
                        </w14:solidFill>
                      </w14:textFill>
                    </w:rPr>
                    <w:t>0kV出线：</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w:t>
                  </w:r>
                  <w:r>
                    <w:rPr>
                      <w:rFonts w:hint="eastAsia" w:ascii="Times New Roman" w:cs="Times New Roman"/>
                      <w:b w:val="0"/>
                      <w:bCs/>
                      <w:color w:val="000000" w:themeColor="text1"/>
                      <w:sz w:val="21"/>
                      <w:szCs w:val="21"/>
                      <w:highlight w:val="none"/>
                      <w14:textFill>
                        <w14:solidFill>
                          <w14:schemeClr w14:val="tx1"/>
                        </w14:solidFill>
                      </w14:textFill>
                    </w:rPr>
                    <w:t>回</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11</w:t>
                  </w:r>
                  <w:r>
                    <w:rPr>
                      <w:rFonts w:hint="eastAsia" w:ascii="Times New Roman" w:cs="Times New Roman"/>
                      <w:b w:val="0"/>
                      <w:bCs/>
                      <w:color w:val="000000" w:themeColor="text1"/>
                      <w:sz w:val="21"/>
                      <w:szCs w:val="21"/>
                      <w:highlight w:val="none"/>
                      <w14:textFill>
                        <w14:solidFill>
                          <w14:schemeClr w14:val="tx1"/>
                        </w14:solidFill>
                      </w14:textFill>
                    </w:rPr>
                    <w:t>0kV线路出线。</w:t>
                  </w:r>
                </w:p>
                <w:p w14:paraId="62B2613E">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本期</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11</w:t>
                  </w:r>
                  <w:r>
                    <w:rPr>
                      <w:rFonts w:hint="eastAsia" w:ascii="Times New Roman" w:cs="Times New Roman"/>
                      <w:b w:val="0"/>
                      <w:bCs/>
                      <w:color w:val="000000" w:themeColor="text1"/>
                      <w:sz w:val="21"/>
                      <w:szCs w:val="21"/>
                      <w:highlight w:val="none"/>
                      <w14:textFill>
                        <w14:solidFill>
                          <w14:schemeClr w14:val="tx1"/>
                        </w14:solidFill>
                      </w14:textFill>
                    </w:rPr>
                    <w:t>0kV出线：1回</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11</w:t>
                  </w:r>
                  <w:r>
                    <w:rPr>
                      <w:rFonts w:hint="eastAsia" w:ascii="Times New Roman" w:cs="Times New Roman"/>
                      <w:b w:val="0"/>
                      <w:bCs/>
                      <w:color w:val="000000" w:themeColor="text1"/>
                      <w:sz w:val="21"/>
                      <w:szCs w:val="21"/>
                      <w:highlight w:val="none"/>
                      <w14:textFill>
                        <w14:solidFill>
                          <w14:schemeClr w14:val="tx1"/>
                        </w14:solidFill>
                      </w14:textFill>
                    </w:rPr>
                    <w:t>0kV出线。</w:t>
                  </w:r>
                </w:p>
              </w:tc>
            </w:tr>
            <w:tr w14:paraId="07A0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2F2A04F2">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restart"/>
                  <w:tcBorders>
                    <w:tl2br w:val="nil"/>
                    <w:tr2bl w:val="nil"/>
                  </w:tcBorders>
                  <w:vAlign w:val="center"/>
                </w:tcPr>
                <w:p w14:paraId="358AF2B7">
                  <w:pPr>
                    <w:ind w:left="-63" w:leftChars="-30" w:right="-63" w:rightChars="-30"/>
                    <w:jc w:val="center"/>
                    <w:rPr>
                      <w:rFonts w:hint="default"/>
                      <w:b w:val="0"/>
                      <w:bCs/>
                      <w:color w:val="000000" w:themeColor="text1"/>
                      <w:szCs w:val="21"/>
                      <w:highlight w:val="none"/>
                      <w:lang w:val="en-US"/>
                      <w14:textFill>
                        <w14:solidFill>
                          <w14:schemeClr w14:val="tx1"/>
                        </w14:solidFill>
                      </w14:textFill>
                    </w:rPr>
                  </w:pPr>
                  <w:r>
                    <w:rPr>
                      <w:rFonts w:hint="eastAsia"/>
                      <w:b w:val="0"/>
                      <w:bCs/>
                      <w:color w:val="000000" w:themeColor="text1"/>
                      <w:szCs w:val="21"/>
                      <w:highlight w:val="none"/>
                      <w:lang w:val="en-US" w:eastAsia="zh-CN"/>
                      <w14:textFill>
                        <w14:solidFill>
                          <w14:schemeClr w14:val="tx1"/>
                        </w14:solidFill>
                      </w14:textFill>
                    </w:rPr>
                    <w:t>110kV输电线路</w:t>
                  </w:r>
                </w:p>
              </w:tc>
              <w:tc>
                <w:tcPr>
                  <w:tcW w:w="654" w:type="dxa"/>
                  <w:tcBorders>
                    <w:tl2br w:val="nil"/>
                    <w:tr2bl w:val="nil"/>
                  </w:tcBorders>
                  <w:vAlign w:val="center"/>
                </w:tcPr>
                <w:p w14:paraId="74D07356">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线路路径</w:t>
                  </w:r>
                </w:p>
                <w:p w14:paraId="466EE25B">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center"/>
                    <w:textAlignment w:val="auto"/>
                    <w:rPr>
                      <w:rFonts w:hint="eastAsia"/>
                      <w:b w:val="0"/>
                      <w:bCs/>
                      <w:color w:val="000000" w:themeColor="text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长度</w:t>
                  </w:r>
                </w:p>
              </w:tc>
              <w:tc>
                <w:tcPr>
                  <w:tcW w:w="6348" w:type="dxa"/>
                  <w:tcBorders>
                    <w:tl2br w:val="nil"/>
                    <w:tr2bl w:val="nil"/>
                  </w:tcBorders>
                  <w:vAlign w:val="center"/>
                </w:tcPr>
                <w:p w14:paraId="3C8A5D88">
                  <w:pPr>
                    <w:pStyle w:val="41"/>
                    <w:spacing w:line="240" w:lineRule="auto"/>
                    <w:ind w:left="-63" w:leftChars="-30" w:right="-63" w:rightChars="-30"/>
                    <w:jc w:val="both"/>
                    <w:rPr>
                      <w:rFonts w:hint="eastAsia"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项目新建1条110kV线路，线路自拟建的110kV升压站起，至托克逊工业园220kV变止，线路亘长约3.3km，采用单回路架空架设。</w:t>
                  </w:r>
                </w:p>
              </w:tc>
            </w:tr>
            <w:tr w14:paraId="3A53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14D28406">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continue"/>
                  <w:tcBorders>
                    <w:tl2br w:val="nil"/>
                    <w:tr2bl w:val="nil"/>
                  </w:tcBorders>
                  <w:vAlign w:val="center"/>
                </w:tcPr>
                <w:p w14:paraId="53C0CAE9">
                  <w:pPr>
                    <w:ind w:left="-63" w:leftChars="-30" w:right="-63" w:rightChars="-30"/>
                    <w:jc w:val="center"/>
                    <w:rPr>
                      <w:rFonts w:hint="eastAsia"/>
                      <w:b w:val="0"/>
                      <w:bCs/>
                      <w:color w:val="000000" w:themeColor="text1"/>
                      <w:szCs w:val="21"/>
                      <w:highlight w:val="none"/>
                      <w:lang w:val="en-US" w:eastAsia="zh-CN"/>
                      <w14:textFill>
                        <w14:solidFill>
                          <w14:schemeClr w14:val="tx1"/>
                        </w14:solidFill>
                      </w14:textFill>
                    </w:rPr>
                  </w:pPr>
                </w:p>
              </w:tc>
              <w:tc>
                <w:tcPr>
                  <w:tcW w:w="654" w:type="dxa"/>
                  <w:tcBorders>
                    <w:tl2br w:val="nil"/>
                    <w:tr2bl w:val="nil"/>
                  </w:tcBorders>
                  <w:vAlign w:val="center"/>
                </w:tcPr>
                <w:p w14:paraId="566BDE83">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center"/>
                    <w:textAlignment w:val="auto"/>
                    <w:rPr>
                      <w:rFonts w:hint="eastAsia"/>
                      <w:b w:val="0"/>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导线型式</w:t>
                  </w:r>
                </w:p>
              </w:tc>
              <w:tc>
                <w:tcPr>
                  <w:tcW w:w="6348" w:type="dxa"/>
                  <w:tcBorders>
                    <w:tl2br w:val="nil"/>
                    <w:tr2bl w:val="nil"/>
                  </w:tcBorders>
                  <w:vAlign w:val="center"/>
                </w:tcPr>
                <w:p w14:paraId="02688CF0">
                  <w:pPr>
                    <w:pStyle w:val="41"/>
                    <w:spacing w:line="240" w:lineRule="auto"/>
                    <w:ind w:left="-63" w:leftChars="-30" w:right="-63" w:rightChars="-30"/>
                    <w:jc w:val="both"/>
                    <w:rPr>
                      <w:rFonts w:hint="eastAsia"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架空线路导线采用JL/G1A-240/30型钢芯铝绞线，架设双地线，2根地线均采用OPGW-24B1-80复合光缆。</w:t>
                  </w:r>
                </w:p>
              </w:tc>
            </w:tr>
            <w:tr w14:paraId="543F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24" w:type="dxa"/>
                  <w:vMerge w:val="continue"/>
                  <w:tcBorders>
                    <w:tl2br w:val="nil"/>
                    <w:tr2bl w:val="nil"/>
                  </w:tcBorders>
                  <w:vAlign w:val="center"/>
                </w:tcPr>
                <w:p w14:paraId="33D465F4">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continue"/>
                  <w:tcBorders>
                    <w:tl2br w:val="nil"/>
                    <w:tr2bl w:val="nil"/>
                  </w:tcBorders>
                  <w:vAlign w:val="center"/>
                </w:tcPr>
                <w:p w14:paraId="550720DA">
                  <w:pPr>
                    <w:ind w:left="-63" w:leftChars="-30" w:right="-63" w:rightChars="-30"/>
                    <w:jc w:val="center"/>
                    <w:rPr>
                      <w:rFonts w:hint="eastAsia"/>
                      <w:b w:val="0"/>
                      <w:bCs/>
                      <w:color w:val="000000" w:themeColor="text1"/>
                      <w:szCs w:val="21"/>
                      <w:highlight w:val="none"/>
                      <w:lang w:val="en-US" w:eastAsia="zh-CN"/>
                      <w14:textFill>
                        <w14:solidFill>
                          <w14:schemeClr w14:val="tx1"/>
                        </w14:solidFill>
                      </w14:textFill>
                    </w:rPr>
                  </w:pPr>
                </w:p>
              </w:tc>
              <w:tc>
                <w:tcPr>
                  <w:tcW w:w="654" w:type="dxa"/>
                  <w:tcBorders>
                    <w:tl2br w:val="nil"/>
                    <w:tr2bl w:val="nil"/>
                  </w:tcBorders>
                  <w:vAlign w:val="center"/>
                </w:tcPr>
                <w:p w14:paraId="59095D32">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center"/>
                    <w:textAlignment w:val="auto"/>
                    <w:rPr>
                      <w:rFonts w:hint="eastAsia"/>
                      <w:b w:val="0"/>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杆塔型式</w:t>
                  </w:r>
                </w:p>
              </w:tc>
              <w:tc>
                <w:tcPr>
                  <w:tcW w:w="6348" w:type="dxa"/>
                  <w:tcBorders>
                    <w:tl2br w:val="nil"/>
                    <w:tr2bl w:val="nil"/>
                  </w:tcBorders>
                  <w:vAlign w:val="center"/>
                </w:tcPr>
                <w:p w14:paraId="600F2712">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both"/>
                    <w:textAlignment w:val="auto"/>
                    <w:rPr>
                      <w:rFonts w:hint="eastAsia" w:asci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单回路直线塔采用猫头型，单回路耐张塔采用干字型</w:t>
                  </w:r>
                  <w:r>
                    <w:rPr>
                      <w:rFonts w:hint="eastAsia" w:ascii="Times New Roman" w:cs="Times New Roman"/>
                      <w:b w:val="0"/>
                      <w:bCs w:val="0"/>
                      <w:color w:val="000000" w:themeColor="text1"/>
                      <w:sz w:val="21"/>
                      <w:szCs w:val="21"/>
                      <w:lang w:val="en-US" w:eastAsia="zh-CN"/>
                      <w14:textFill>
                        <w14:solidFill>
                          <w14:schemeClr w14:val="tx1"/>
                        </w14:solidFill>
                      </w14:textFill>
                    </w:rPr>
                    <w:t>。</w:t>
                  </w:r>
                </w:p>
              </w:tc>
            </w:tr>
            <w:tr w14:paraId="3C5F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3BFDB01B">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continue"/>
                  <w:tcBorders>
                    <w:tl2br w:val="nil"/>
                    <w:tr2bl w:val="nil"/>
                  </w:tcBorders>
                  <w:vAlign w:val="center"/>
                </w:tcPr>
                <w:p w14:paraId="13E92D3C">
                  <w:pPr>
                    <w:ind w:left="-63" w:leftChars="-30" w:right="-63" w:rightChars="-30"/>
                    <w:jc w:val="center"/>
                    <w:rPr>
                      <w:rFonts w:hint="eastAsia"/>
                      <w:b w:val="0"/>
                      <w:bCs/>
                      <w:color w:val="000000" w:themeColor="text1"/>
                      <w:szCs w:val="21"/>
                      <w:highlight w:val="none"/>
                      <w:lang w:val="en-US" w:eastAsia="zh-CN"/>
                      <w14:textFill>
                        <w14:solidFill>
                          <w14:schemeClr w14:val="tx1"/>
                        </w14:solidFill>
                      </w14:textFill>
                    </w:rPr>
                  </w:pPr>
                </w:p>
              </w:tc>
              <w:tc>
                <w:tcPr>
                  <w:tcW w:w="654" w:type="dxa"/>
                  <w:tcBorders>
                    <w:tl2br w:val="nil"/>
                    <w:tr2bl w:val="nil"/>
                  </w:tcBorders>
                  <w:vAlign w:val="center"/>
                </w:tcPr>
                <w:p w14:paraId="73664D12">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center"/>
                    <w:textAlignment w:val="auto"/>
                    <w:rPr>
                      <w:rFonts w:hint="eastAsia"/>
                      <w:b w:val="0"/>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杆塔数量</w:t>
                  </w:r>
                </w:p>
              </w:tc>
              <w:tc>
                <w:tcPr>
                  <w:tcW w:w="6348" w:type="dxa"/>
                  <w:tcBorders>
                    <w:tl2br w:val="nil"/>
                    <w:tr2bl w:val="nil"/>
                  </w:tcBorders>
                  <w:vAlign w:val="center"/>
                </w:tcPr>
                <w:p w14:paraId="544D81F6">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both"/>
                    <w:textAlignment w:val="auto"/>
                    <w:rPr>
                      <w:rFonts w:hint="eastAsia" w:asci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共计使用杆塔</w:t>
                  </w:r>
                  <w:r>
                    <w:rPr>
                      <w:rFonts w:hint="eastAsia" w:ascii="Times New Roman" w:cs="Times New Roman"/>
                      <w:b w:val="0"/>
                      <w:bCs w:val="0"/>
                      <w:color w:val="000000" w:themeColor="text1"/>
                      <w:sz w:val="21"/>
                      <w:szCs w:val="21"/>
                      <w:lang w:val="en-US" w:eastAsia="zh-CN"/>
                      <w14:textFill>
                        <w14:solidFill>
                          <w14:schemeClr w14:val="tx1"/>
                        </w14:solidFill>
                      </w14:textFill>
                    </w:rPr>
                    <w:t>16</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基，单回路直线塔</w:t>
                  </w:r>
                  <w:r>
                    <w:rPr>
                      <w:rFonts w:hint="eastAsia" w:ascii="Times New Roman" w:cs="Times New Roman"/>
                      <w:b w:val="0"/>
                      <w:bCs w:val="0"/>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基，单回路耐张塔</w:t>
                  </w:r>
                  <w:r>
                    <w:rPr>
                      <w:rFonts w:hint="eastAsia" w:ascii="Times New Roman" w:cs="Times New Roman"/>
                      <w:b w:val="0"/>
                      <w:bCs w:val="0"/>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基。</w:t>
                  </w:r>
                </w:p>
              </w:tc>
            </w:tr>
            <w:tr w14:paraId="7CCD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1F70BCE5">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654" w:type="dxa"/>
                  <w:vMerge w:val="continue"/>
                  <w:tcBorders>
                    <w:tl2br w:val="nil"/>
                    <w:tr2bl w:val="nil"/>
                  </w:tcBorders>
                  <w:vAlign w:val="center"/>
                </w:tcPr>
                <w:p w14:paraId="1BFD2B64">
                  <w:pPr>
                    <w:ind w:left="-63" w:leftChars="-30" w:right="-63" w:rightChars="-30"/>
                    <w:jc w:val="center"/>
                    <w:rPr>
                      <w:rFonts w:hint="eastAsia"/>
                      <w:b w:val="0"/>
                      <w:bCs/>
                      <w:color w:val="000000" w:themeColor="text1"/>
                      <w:szCs w:val="21"/>
                      <w:highlight w:val="none"/>
                      <w:lang w:val="en-US" w:eastAsia="zh-CN"/>
                      <w14:textFill>
                        <w14:solidFill>
                          <w14:schemeClr w14:val="tx1"/>
                        </w14:solidFill>
                      </w14:textFill>
                    </w:rPr>
                  </w:pPr>
                </w:p>
              </w:tc>
              <w:tc>
                <w:tcPr>
                  <w:tcW w:w="654" w:type="dxa"/>
                  <w:tcBorders>
                    <w:tl2br w:val="nil"/>
                    <w:tr2bl w:val="nil"/>
                  </w:tcBorders>
                  <w:vAlign w:val="center"/>
                </w:tcPr>
                <w:p w14:paraId="71FD31F6">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center"/>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钻越跨越</w:t>
                  </w:r>
                </w:p>
                <w:p w14:paraId="5EBF615C">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center"/>
                    <w:textAlignment w:val="auto"/>
                    <w:rPr>
                      <w:rFonts w:hint="eastAsia"/>
                      <w:b w:val="0"/>
                      <w:bCs/>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情况</w:t>
                  </w:r>
                </w:p>
              </w:tc>
              <w:tc>
                <w:tcPr>
                  <w:tcW w:w="6348" w:type="dxa"/>
                  <w:tcBorders>
                    <w:tl2br w:val="nil"/>
                    <w:tr2bl w:val="nil"/>
                  </w:tcBorders>
                  <w:vAlign w:val="center"/>
                </w:tcPr>
                <w:p w14:paraId="26888BEC">
                  <w:pPr>
                    <w:pStyle w:val="41"/>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63" w:leftChars="-30" w:right="-63" w:rightChars="-30" w:firstLine="0" w:firstLineChars="0"/>
                    <w:jc w:val="both"/>
                    <w:textAlignment w:val="auto"/>
                    <w:rPr>
                      <w:rFonts w:hint="eastAsia" w:ascii="Times New Roman" w:cs="Times New Roman"/>
                      <w:b w:val="0"/>
                      <w:bCs/>
                      <w:color w:val="000000" w:themeColor="text1"/>
                      <w:sz w:val="21"/>
                      <w:szCs w:val="21"/>
                      <w:highlight w:val="none"/>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跨越</w:t>
                  </w:r>
                  <w:r>
                    <w:rPr>
                      <w:rFonts w:hint="eastAsia" w:ascii="Times New Roman" w:cs="Times New Roman"/>
                      <w:b w:val="0"/>
                      <w:bCs w:val="0"/>
                      <w:color w:val="000000" w:themeColor="text1"/>
                      <w:sz w:val="21"/>
                      <w:szCs w:val="21"/>
                      <w:lang w:val="en-US" w:eastAsia="zh-CN"/>
                      <w14:textFill>
                        <w14:solidFill>
                          <w14:schemeClr w14:val="tx1"/>
                        </w14:solidFill>
                      </w14:textFill>
                    </w:rPr>
                    <w:t>35kV</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线路</w:t>
                  </w:r>
                  <w:r>
                    <w:rPr>
                      <w:rFonts w:hint="eastAsia" w:ascii="Times New Roman" w:cs="Times New Roman"/>
                      <w:b w:val="0"/>
                      <w:bCs w:val="0"/>
                      <w:color w:val="000000" w:themeColor="text1"/>
                      <w:sz w:val="21"/>
                      <w:szCs w:val="21"/>
                      <w:lang w:val="en-US" w:eastAsia="zh-CN"/>
                      <w14:textFill>
                        <w14:solidFill>
                          <w14:schemeClr w14:val="tx1"/>
                        </w14:solidFill>
                      </w14:textFill>
                    </w:rPr>
                    <w:t>及10kV</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线路</w:t>
                  </w:r>
                  <w:r>
                    <w:rPr>
                      <w:rFonts w:hint="eastAsia" w:ascii="Times New Roman" w:cs="Times New Roman"/>
                      <w:b w:val="0"/>
                      <w:bCs w:val="0"/>
                      <w:color w:val="000000" w:themeColor="text1"/>
                      <w:sz w:val="21"/>
                      <w:szCs w:val="21"/>
                      <w:lang w:val="en-US" w:eastAsia="zh-CN"/>
                      <w14:textFill>
                        <w14:solidFill>
                          <w14:schemeClr w14:val="tx1"/>
                        </w14:solidFill>
                      </w14:textFill>
                    </w:rPr>
                    <w:t>1次、跨越县道（托克逊县城夏乡南湖村公路）1次。</w:t>
                  </w:r>
                </w:p>
              </w:tc>
            </w:tr>
            <w:tr w14:paraId="56A2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tcBorders>
                    <w:tl2br w:val="nil"/>
                    <w:tr2bl w:val="nil"/>
                  </w:tcBorders>
                  <w:vAlign w:val="center"/>
                </w:tcPr>
                <w:p w14:paraId="4C8D42E9">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辅助工程</w:t>
                  </w:r>
                </w:p>
              </w:tc>
              <w:tc>
                <w:tcPr>
                  <w:tcW w:w="1308" w:type="dxa"/>
                  <w:gridSpan w:val="2"/>
                  <w:tcBorders>
                    <w:tl2br w:val="nil"/>
                    <w:tr2bl w:val="nil"/>
                  </w:tcBorders>
                  <w:vAlign w:val="center"/>
                </w:tcPr>
                <w:p w14:paraId="624CC2AE">
                  <w:pPr>
                    <w:ind w:left="-63" w:leftChars="-30" w:right="-63" w:rightChars="-30"/>
                    <w:jc w:val="center"/>
                    <w:rPr>
                      <w:rFonts w:hint="eastAsia" w:eastAsia="宋体"/>
                      <w:b w:val="0"/>
                      <w:bCs/>
                      <w:color w:val="000000" w:themeColor="text1"/>
                      <w:szCs w:val="21"/>
                      <w:highlight w:val="none"/>
                      <w:lang w:val="en-US" w:eastAsia="zh-CN"/>
                      <w14:textFill>
                        <w14:solidFill>
                          <w14:schemeClr w14:val="tx1"/>
                        </w14:solidFill>
                      </w14:textFill>
                    </w:rPr>
                  </w:pPr>
                  <w:r>
                    <w:rPr>
                      <w:rFonts w:hint="eastAsia"/>
                      <w:b w:val="0"/>
                      <w:bCs/>
                      <w:color w:val="000000" w:themeColor="text1"/>
                      <w:szCs w:val="21"/>
                      <w:highlight w:val="none"/>
                      <w14:textFill>
                        <w14:solidFill>
                          <w14:schemeClr w14:val="tx1"/>
                        </w14:solidFill>
                      </w14:textFill>
                    </w:rPr>
                    <w:t>综合</w:t>
                  </w:r>
                  <w:r>
                    <w:rPr>
                      <w:rFonts w:hint="eastAsia"/>
                      <w:b w:val="0"/>
                      <w:bCs/>
                      <w:color w:val="000000" w:themeColor="text1"/>
                      <w:szCs w:val="21"/>
                      <w:highlight w:val="none"/>
                      <w:lang w:val="en-US" w:eastAsia="zh-CN"/>
                      <w14:textFill>
                        <w14:solidFill>
                          <w14:schemeClr w14:val="tx1"/>
                        </w14:solidFill>
                      </w14:textFill>
                    </w:rPr>
                    <w:t>用房</w:t>
                  </w:r>
                </w:p>
              </w:tc>
              <w:tc>
                <w:tcPr>
                  <w:tcW w:w="6348" w:type="dxa"/>
                  <w:tcBorders>
                    <w:tl2br w:val="nil"/>
                    <w:tr2bl w:val="nil"/>
                  </w:tcBorders>
                  <w:vAlign w:val="center"/>
                </w:tcPr>
                <w:p w14:paraId="35D5657A">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建筑面积约为</w:t>
                  </w:r>
                  <w:r>
                    <w:rPr>
                      <w:rFonts w:hint="eastAsia" w:ascii="Times New Roman" w:cs="Times New Roman"/>
                      <w:b w:val="0"/>
                      <w:bCs/>
                      <w:color w:val="000000" w:themeColor="text1"/>
                      <w:sz w:val="21"/>
                      <w:szCs w:val="21"/>
                      <w:highlight w:val="none"/>
                      <w:lang w:val="en-US" w:eastAsia="zh-CN"/>
                      <w14:textFill>
                        <w14:solidFill>
                          <w14:schemeClr w14:val="tx1"/>
                        </w14:solidFill>
                      </w14:textFill>
                    </w:rPr>
                    <w:t>486.34</w:t>
                  </w:r>
                  <w:r>
                    <w:rPr>
                      <w:rFonts w:hint="eastAsia" w:ascii="Times New Roman" w:cs="Times New Roman"/>
                      <w:b w:val="0"/>
                      <w:bCs/>
                      <w:color w:val="000000" w:themeColor="text1"/>
                      <w:sz w:val="21"/>
                      <w:szCs w:val="21"/>
                      <w:highlight w:val="none"/>
                      <w14:textFill>
                        <w14:solidFill>
                          <w14:schemeClr w14:val="tx1"/>
                        </w14:solidFill>
                      </w14:textFill>
                    </w:rPr>
                    <w:t>㎡，共</w:t>
                  </w:r>
                  <w:r>
                    <w:rPr>
                      <w:rFonts w:hint="eastAsia" w:ascii="Times New Roman" w:cs="Times New Roman"/>
                      <w:b w:val="0"/>
                      <w:bCs/>
                      <w:color w:val="000000" w:themeColor="text1"/>
                      <w:sz w:val="21"/>
                      <w:szCs w:val="21"/>
                      <w:highlight w:val="none"/>
                      <w:lang w:val="en-US" w:eastAsia="zh-CN"/>
                      <w14:textFill>
                        <w14:solidFill>
                          <w14:schemeClr w14:val="tx1"/>
                        </w14:solidFill>
                      </w14:textFill>
                    </w:rPr>
                    <w:t>1</w:t>
                  </w:r>
                  <w:r>
                    <w:rPr>
                      <w:rFonts w:hint="eastAsia" w:ascii="Times New Roman" w:cs="Times New Roman"/>
                      <w:b w:val="0"/>
                      <w:bCs/>
                      <w:color w:val="000000" w:themeColor="text1"/>
                      <w:sz w:val="21"/>
                      <w:szCs w:val="21"/>
                      <w:highlight w:val="none"/>
                      <w14:textFill>
                        <w14:solidFill>
                          <w14:schemeClr w14:val="tx1"/>
                        </w14:solidFill>
                      </w14:textFill>
                    </w:rPr>
                    <w:t>层，结构形式为</w:t>
                  </w:r>
                  <w:r>
                    <w:rPr>
                      <w:rFonts w:hint="eastAsia" w:ascii="Times New Roman" w:cs="Times New Roman"/>
                      <w:b w:val="0"/>
                      <w:bCs/>
                      <w:color w:val="000000" w:themeColor="text1"/>
                      <w:sz w:val="21"/>
                      <w:szCs w:val="21"/>
                      <w:highlight w:val="none"/>
                      <w:lang w:val="en-US" w:eastAsia="zh-CN"/>
                      <w14:textFill>
                        <w14:solidFill>
                          <w14:schemeClr w14:val="tx1"/>
                        </w14:solidFill>
                      </w14:textFill>
                    </w:rPr>
                    <w:t>单层框架</w:t>
                  </w:r>
                  <w:r>
                    <w:rPr>
                      <w:rFonts w:hint="eastAsia" w:ascii="Times New Roman" w:cs="Times New Roman"/>
                      <w:b w:val="0"/>
                      <w:bCs/>
                      <w:color w:val="000000" w:themeColor="text1"/>
                      <w:sz w:val="21"/>
                      <w:szCs w:val="21"/>
                      <w:highlight w:val="none"/>
                      <w14:textFill>
                        <w14:solidFill>
                          <w14:schemeClr w14:val="tx1"/>
                        </w14:solidFill>
                      </w14:textFill>
                    </w:rPr>
                    <w:t>结构。</w:t>
                  </w:r>
                  <w:r>
                    <w:rPr>
                      <w:rFonts w:hint="eastAsia" w:ascii="Times New Roman" w:cs="Times New Roman"/>
                      <w:b w:val="0"/>
                      <w:bCs/>
                      <w:color w:val="000000" w:themeColor="text1"/>
                      <w:sz w:val="21"/>
                      <w:szCs w:val="21"/>
                      <w:highlight w:val="none"/>
                      <w:lang w:val="en-US" w:eastAsia="zh-CN"/>
                      <w14:textFill>
                        <w14:solidFill>
                          <w14:schemeClr w14:val="tx1"/>
                        </w14:solidFill>
                      </w14:textFill>
                    </w:rPr>
                    <w:t>主要</w:t>
                  </w:r>
                  <w:r>
                    <w:rPr>
                      <w:rFonts w:hint="eastAsia" w:ascii="Times New Roman" w:cs="Times New Roman"/>
                      <w:b w:val="0"/>
                      <w:bCs/>
                      <w:color w:val="000000" w:themeColor="text1"/>
                      <w:sz w:val="21"/>
                      <w:szCs w:val="21"/>
                      <w:highlight w:val="none"/>
                      <w14:textFill>
                        <w14:solidFill>
                          <w14:schemeClr w14:val="tx1"/>
                        </w14:solidFill>
                      </w14:textFill>
                    </w:rPr>
                    <w:t>布置有办公室、会议室、</w:t>
                  </w:r>
                  <w:r>
                    <w:rPr>
                      <w:rFonts w:hint="eastAsia" w:ascii="Times New Roman" w:cs="Times New Roman"/>
                      <w:b w:val="0"/>
                      <w:bCs/>
                      <w:color w:val="000000" w:themeColor="text1"/>
                      <w:sz w:val="21"/>
                      <w:szCs w:val="21"/>
                      <w:highlight w:val="none"/>
                      <w:lang w:val="en-US" w:eastAsia="zh-CN"/>
                      <w14:textFill>
                        <w14:solidFill>
                          <w14:schemeClr w14:val="tx1"/>
                        </w14:solidFill>
                      </w14:textFill>
                    </w:rPr>
                    <w:t>中控室、</w:t>
                  </w:r>
                  <w:r>
                    <w:rPr>
                      <w:rFonts w:hint="eastAsia" w:ascii="Times New Roman" w:cs="Times New Roman"/>
                      <w:b w:val="0"/>
                      <w:bCs/>
                      <w:color w:val="000000" w:themeColor="text1"/>
                      <w:sz w:val="21"/>
                      <w:szCs w:val="21"/>
                      <w:highlight w:val="none"/>
                      <w14:textFill>
                        <w14:solidFill>
                          <w14:schemeClr w14:val="tx1"/>
                        </w14:solidFill>
                      </w14:textFill>
                    </w:rPr>
                    <w:t>活动室、资料室、厨房、餐厅和休息室等。</w:t>
                  </w:r>
                </w:p>
              </w:tc>
            </w:tr>
            <w:tr w14:paraId="530C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3F635F61">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624ED298">
                  <w:pPr>
                    <w:ind w:left="-63" w:leftChars="-30" w:right="-63" w:rightChars="-30"/>
                    <w:jc w:val="center"/>
                    <w:rPr>
                      <w:rFonts w:hint="default" w:eastAsia="宋体"/>
                      <w:b w:val="0"/>
                      <w:bCs/>
                      <w:color w:val="000000" w:themeColor="text1"/>
                      <w:szCs w:val="21"/>
                      <w:highlight w:val="none"/>
                      <w:lang w:val="en-US" w:eastAsia="zh-CN"/>
                      <w14:textFill>
                        <w14:solidFill>
                          <w14:schemeClr w14:val="tx1"/>
                        </w14:solidFill>
                      </w14:textFill>
                    </w:rPr>
                  </w:pPr>
                  <w:r>
                    <w:rPr>
                      <w:rFonts w:hint="eastAsia"/>
                      <w:b w:val="0"/>
                      <w:bCs/>
                      <w:color w:val="000000" w:themeColor="text1"/>
                      <w:szCs w:val="21"/>
                      <w:highlight w:val="none"/>
                      <w14:textFill>
                        <w14:solidFill>
                          <w14:schemeClr w14:val="tx1"/>
                        </w14:solidFill>
                      </w14:textFill>
                    </w:rPr>
                    <w:t>附属用房</w:t>
                  </w:r>
                  <w:r>
                    <w:rPr>
                      <w:rFonts w:hint="eastAsia"/>
                      <w:b w:val="0"/>
                      <w:bCs/>
                      <w:color w:val="000000" w:themeColor="text1"/>
                      <w:szCs w:val="21"/>
                      <w:highlight w:val="none"/>
                      <w:lang w:val="en-US" w:eastAsia="zh-CN"/>
                      <w14:textFill>
                        <w14:solidFill>
                          <w14:schemeClr w14:val="tx1"/>
                        </w14:solidFill>
                      </w14:textFill>
                    </w:rPr>
                    <w:t>及泵房</w:t>
                  </w:r>
                </w:p>
              </w:tc>
              <w:tc>
                <w:tcPr>
                  <w:tcW w:w="6348" w:type="dxa"/>
                  <w:tcBorders>
                    <w:tl2br w:val="nil"/>
                    <w:tr2bl w:val="nil"/>
                  </w:tcBorders>
                  <w:vAlign w:val="center"/>
                </w:tcPr>
                <w:p w14:paraId="04F20091">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附属用房及泵房为地上、地下两层框架结构，占地面积157.52㎡，总建筑面积428.55㎡。建筑高度4.8m。地上一层主要功能为备品备件库等，地下一层主要功能为生活泵房、消防水池等。</w:t>
                  </w:r>
                </w:p>
              </w:tc>
            </w:tr>
            <w:tr w14:paraId="2B1E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457D990A">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7E64F390">
                  <w:pPr>
                    <w:ind w:left="-63" w:leftChars="-30" w:right="-63" w:rightChars="-30"/>
                    <w:jc w:val="center"/>
                    <w:rPr>
                      <w:b w:val="0"/>
                      <w:bCs/>
                      <w:color w:val="000000" w:themeColor="text1"/>
                      <w:szCs w:val="21"/>
                      <w:highlight w:val="none"/>
                      <w14:textFill>
                        <w14:solidFill>
                          <w14:schemeClr w14:val="tx1"/>
                        </w14:solidFill>
                      </w14:textFill>
                    </w:rPr>
                  </w:pPr>
                  <w:r>
                    <w:rPr>
                      <w:rFonts w:hint="eastAsia"/>
                      <w:b w:val="0"/>
                      <w:bCs/>
                      <w:color w:val="000000" w:themeColor="text1"/>
                      <w:szCs w:val="21"/>
                      <w:highlight w:val="none"/>
                      <w14:textFill>
                        <w14:solidFill>
                          <w14:schemeClr w14:val="tx1"/>
                        </w14:solidFill>
                      </w14:textFill>
                    </w:rPr>
                    <w:t>站内道路</w:t>
                  </w:r>
                </w:p>
              </w:tc>
              <w:tc>
                <w:tcPr>
                  <w:tcW w:w="6348" w:type="dxa"/>
                  <w:tcBorders>
                    <w:tl2br w:val="nil"/>
                    <w:tr2bl w:val="nil"/>
                  </w:tcBorders>
                  <w:vAlign w:val="center"/>
                </w:tcPr>
                <w:p w14:paraId="01E0E0D7">
                  <w:pPr>
                    <w:pStyle w:val="41"/>
                    <w:spacing w:line="240" w:lineRule="auto"/>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站内道路</w:t>
                  </w:r>
                  <w:r>
                    <w:rPr>
                      <w:rFonts w:hint="eastAsia" w:ascii="Times New Roman" w:cs="Times New Roman"/>
                      <w:b w:val="0"/>
                      <w:bCs/>
                      <w:color w:val="000000" w:themeColor="text1"/>
                      <w:sz w:val="21"/>
                      <w:szCs w:val="21"/>
                      <w:highlight w:val="none"/>
                      <w:lang w:val="en-US" w:eastAsia="zh-CN"/>
                      <w14:textFill>
                        <w14:solidFill>
                          <w14:schemeClr w14:val="tx1"/>
                        </w14:solidFill>
                      </w14:textFill>
                    </w:rPr>
                    <w:t>约1.1km，</w:t>
                  </w:r>
                  <w:r>
                    <w:rPr>
                      <w:rFonts w:hint="eastAsia" w:ascii="Times New Roman" w:cs="Times New Roman"/>
                      <w:b w:val="0"/>
                      <w:bCs/>
                      <w:color w:val="000000" w:themeColor="text1"/>
                      <w:sz w:val="21"/>
                      <w:szCs w:val="21"/>
                      <w:highlight w:val="none"/>
                      <w14:textFill>
                        <w14:solidFill>
                          <w14:schemeClr w14:val="tx1"/>
                        </w14:solidFill>
                      </w14:textFill>
                    </w:rPr>
                    <w:t>均为现浇C30混凝土，采用20cm厚C30混凝土路面，其中主变检修道路为5.0m，其他道路宽度不小于4.0m，转弯半径不小于9.0m。</w:t>
                  </w:r>
                </w:p>
              </w:tc>
            </w:tr>
            <w:tr w14:paraId="5383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427A797F">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6F93CE5B">
                  <w:pPr>
                    <w:ind w:left="-63" w:leftChars="-30" w:right="-63" w:rightChars="-30"/>
                    <w:jc w:val="center"/>
                    <w:rPr>
                      <w:b w:val="0"/>
                      <w:bCs/>
                      <w:color w:val="000000" w:themeColor="text1"/>
                      <w:szCs w:val="21"/>
                      <w:highlight w:val="none"/>
                      <w14:textFill>
                        <w14:solidFill>
                          <w14:schemeClr w14:val="tx1"/>
                        </w14:solidFill>
                      </w14:textFill>
                    </w:rPr>
                  </w:pPr>
                  <w:r>
                    <w:rPr>
                      <w:rFonts w:hint="eastAsia"/>
                      <w:b w:val="0"/>
                      <w:bCs/>
                      <w:color w:val="000000" w:themeColor="text1"/>
                      <w:szCs w:val="21"/>
                      <w:highlight w:val="none"/>
                      <w14:textFill>
                        <w14:solidFill>
                          <w14:schemeClr w14:val="tx1"/>
                        </w14:solidFill>
                      </w14:textFill>
                    </w:rPr>
                    <w:t>进站道路</w:t>
                  </w:r>
                </w:p>
              </w:tc>
              <w:tc>
                <w:tcPr>
                  <w:tcW w:w="6348" w:type="dxa"/>
                  <w:tcBorders>
                    <w:tl2br w:val="nil"/>
                    <w:tr2bl w:val="nil"/>
                  </w:tcBorders>
                  <w:vAlign w:val="center"/>
                </w:tcPr>
                <w:p w14:paraId="1460755E">
                  <w:pPr>
                    <w:ind w:left="-63" w:leftChars="-30" w:right="-63" w:rightChars="-30"/>
                    <w:jc w:val="both"/>
                    <w:rPr>
                      <w:rFonts w:ascii="Times New Roman" w:cs="Times New Roman"/>
                      <w:b w:val="0"/>
                      <w:bCs/>
                      <w:color w:val="000000" w:themeColor="text1"/>
                      <w:sz w:val="21"/>
                      <w:szCs w:val="21"/>
                      <w:highlight w:val="none"/>
                      <w14:textFill>
                        <w14:solidFill>
                          <w14:schemeClr w14:val="tx1"/>
                        </w14:solidFill>
                      </w14:textFill>
                    </w:rPr>
                  </w:pPr>
                  <w:r>
                    <w:rPr>
                      <w:rFonts w:hint="eastAsia"/>
                      <w:b w:val="0"/>
                      <w:bCs/>
                      <w:color w:val="000000" w:themeColor="text1"/>
                      <w:kern w:val="0"/>
                      <w:szCs w:val="21"/>
                      <w:highlight w:val="none"/>
                      <w14:textFill>
                        <w14:solidFill>
                          <w14:schemeClr w14:val="tx1"/>
                        </w14:solidFill>
                      </w14:textFill>
                    </w:rPr>
                    <w:t>新建进站道路约</w:t>
                  </w:r>
                  <w:r>
                    <w:rPr>
                      <w:rFonts w:hint="eastAsia"/>
                      <w:b w:val="0"/>
                      <w:bCs/>
                      <w:color w:val="000000" w:themeColor="text1"/>
                      <w:kern w:val="0"/>
                      <w:szCs w:val="21"/>
                      <w:highlight w:val="none"/>
                      <w:lang w:val="en-US" w:eastAsia="zh-CN"/>
                      <w14:textFill>
                        <w14:solidFill>
                          <w14:schemeClr w14:val="tx1"/>
                        </w14:solidFill>
                      </w14:textFill>
                    </w:rPr>
                    <w:t>13</w:t>
                  </w:r>
                  <w:r>
                    <w:rPr>
                      <w:rFonts w:hint="eastAsia"/>
                      <w:b w:val="0"/>
                      <w:bCs/>
                      <w:color w:val="000000" w:themeColor="text1"/>
                      <w:kern w:val="0"/>
                      <w:szCs w:val="21"/>
                      <w:highlight w:val="none"/>
                      <w14:textFill>
                        <w14:solidFill>
                          <w14:schemeClr w14:val="tx1"/>
                        </w14:solidFill>
                      </w14:textFill>
                    </w:rPr>
                    <w:t>00m</w:t>
                  </w:r>
                  <w:r>
                    <w:rPr>
                      <w:rFonts w:hint="eastAsia"/>
                      <w:b w:val="0"/>
                      <w:bCs/>
                      <w:color w:val="000000" w:themeColor="text1"/>
                      <w:kern w:val="0"/>
                      <w:szCs w:val="21"/>
                      <w:highlight w:val="none"/>
                      <w:lang w:eastAsia="zh-CN"/>
                      <w14:textFill>
                        <w14:solidFill>
                          <w14:schemeClr w14:val="tx1"/>
                        </w14:solidFill>
                      </w14:textFill>
                    </w:rPr>
                    <w:t>，</w:t>
                  </w:r>
                  <w:r>
                    <w:rPr>
                      <w:rFonts w:hint="eastAsia"/>
                      <w:b w:val="0"/>
                      <w:bCs/>
                      <w:color w:val="000000" w:themeColor="text1"/>
                      <w:kern w:val="0"/>
                      <w:szCs w:val="21"/>
                      <w:highlight w:val="none"/>
                      <w:lang w:val="en-US" w:eastAsia="zh-CN"/>
                      <w14:textFill>
                        <w14:solidFill>
                          <w14:schemeClr w14:val="tx1"/>
                        </w14:solidFill>
                      </w14:textFill>
                    </w:rPr>
                    <w:t>其中10m为</w:t>
                  </w:r>
                  <w:r>
                    <w:rPr>
                      <w:rFonts w:hint="eastAsia"/>
                      <w:b w:val="0"/>
                      <w:bCs/>
                      <w:color w:val="000000" w:themeColor="text1"/>
                      <w:kern w:val="0"/>
                      <w:szCs w:val="21"/>
                      <w:highlight w:val="none"/>
                      <w14:textFill>
                        <w14:solidFill>
                          <w14:schemeClr w14:val="tx1"/>
                        </w14:solidFill>
                      </w14:textFill>
                    </w:rPr>
                    <w:t>公路型混凝土道路</w:t>
                  </w:r>
                  <w:r>
                    <w:rPr>
                      <w:rFonts w:hint="eastAsia"/>
                      <w:b w:val="0"/>
                      <w:bCs/>
                      <w:color w:val="000000" w:themeColor="text1"/>
                      <w:kern w:val="0"/>
                      <w:szCs w:val="21"/>
                      <w:highlight w:val="none"/>
                      <w:lang w:eastAsia="zh-CN"/>
                      <w14:textFill>
                        <w14:solidFill>
                          <w14:schemeClr w14:val="tx1"/>
                        </w14:solidFill>
                      </w14:textFill>
                    </w:rPr>
                    <w:t>，</w:t>
                  </w:r>
                  <w:r>
                    <w:rPr>
                      <w:rFonts w:hint="eastAsia"/>
                      <w:b w:val="0"/>
                      <w:bCs/>
                      <w:color w:val="000000" w:themeColor="text1"/>
                      <w:kern w:val="0"/>
                      <w:szCs w:val="21"/>
                      <w:highlight w:val="none"/>
                      <w:lang w:val="en-US" w:eastAsia="zh-CN"/>
                      <w14:textFill>
                        <w14:solidFill>
                          <w14:schemeClr w14:val="tx1"/>
                        </w14:solidFill>
                      </w14:textFill>
                    </w:rPr>
                    <w:t>其余为砂石道路</w:t>
                  </w:r>
                  <w:r>
                    <w:rPr>
                      <w:rFonts w:hint="eastAsia"/>
                      <w:b w:val="0"/>
                      <w:bCs/>
                      <w:color w:val="000000" w:themeColor="text1"/>
                      <w:kern w:val="0"/>
                      <w:szCs w:val="21"/>
                      <w:highlight w:val="none"/>
                      <w14:textFill>
                        <w14:solidFill>
                          <w14:schemeClr w14:val="tx1"/>
                        </w14:solidFill>
                      </w14:textFill>
                    </w:rPr>
                    <w:t>，C30混凝土路面厚200mm，级配碎石基层厚200mm，宽度为</w:t>
                  </w:r>
                  <w:r>
                    <w:rPr>
                      <w:rFonts w:hint="eastAsia"/>
                      <w:b w:val="0"/>
                      <w:bCs/>
                      <w:color w:val="000000" w:themeColor="text1"/>
                      <w:kern w:val="0"/>
                      <w:szCs w:val="21"/>
                      <w:highlight w:val="none"/>
                      <w:lang w:val="en-US" w:eastAsia="zh-CN"/>
                      <w14:textFill>
                        <w14:solidFill>
                          <w14:schemeClr w14:val="tx1"/>
                        </w14:solidFill>
                      </w14:textFill>
                    </w:rPr>
                    <w:t>6</w:t>
                  </w:r>
                  <w:r>
                    <w:rPr>
                      <w:rFonts w:hint="eastAsia"/>
                      <w:b w:val="0"/>
                      <w:bCs/>
                      <w:color w:val="000000" w:themeColor="text1"/>
                      <w:kern w:val="0"/>
                      <w:szCs w:val="21"/>
                      <w:highlight w:val="none"/>
                      <w14:textFill>
                        <w14:solidFill>
                          <w14:schemeClr w14:val="tx1"/>
                        </w14:solidFill>
                      </w14:textFill>
                    </w:rPr>
                    <w:t>.0m。</w:t>
                  </w:r>
                </w:p>
              </w:tc>
            </w:tr>
            <w:tr w14:paraId="5421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tcBorders>
                    <w:tl2br w:val="nil"/>
                    <w:tr2bl w:val="nil"/>
                  </w:tcBorders>
                  <w:vAlign w:val="center"/>
                </w:tcPr>
                <w:p w14:paraId="70CC9708">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公用工程</w:t>
                  </w:r>
                </w:p>
              </w:tc>
              <w:tc>
                <w:tcPr>
                  <w:tcW w:w="1308" w:type="dxa"/>
                  <w:gridSpan w:val="2"/>
                  <w:tcBorders>
                    <w:tl2br w:val="nil"/>
                    <w:tr2bl w:val="nil"/>
                  </w:tcBorders>
                  <w:vAlign w:val="center"/>
                </w:tcPr>
                <w:p w14:paraId="73CB1141">
                  <w:pPr>
                    <w:pStyle w:val="73"/>
                    <w:ind w:left="-63" w:leftChars="-30" w:right="-63" w:rightChars="-30"/>
                    <w:jc w:val="center"/>
                    <w:rPr>
                      <w:rFonts w:hint="eastAsia" w:ascii="Times New Roman" w:cs="Times New Roman"/>
                      <w:b w:val="0"/>
                      <w:bCs/>
                      <w:color w:val="000000" w:themeColor="text1"/>
                      <w:szCs w:val="21"/>
                      <w:highlight w:val="none"/>
                      <w:lang w:val="en-US" w:eastAsia="zh-CN"/>
                      <w14:textFill>
                        <w14:solidFill>
                          <w14:schemeClr w14:val="tx1"/>
                        </w14:solidFill>
                      </w14:textFill>
                    </w:rPr>
                  </w:pPr>
                  <w:r>
                    <w:rPr>
                      <w:rFonts w:ascii="Times New Roman" w:hAnsi="Times New Roman" w:cs="Times New Roman"/>
                      <w:b w:val="0"/>
                      <w:bCs/>
                      <w:color w:val="000000" w:themeColor="text1"/>
                      <w:szCs w:val="21"/>
                      <w:highlight w:val="none"/>
                      <w14:textFill>
                        <w14:solidFill>
                          <w14:schemeClr w14:val="tx1"/>
                        </w14:solidFill>
                      </w14:textFill>
                    </w:rPr>
                    <w:t>供水</w:t>
                  </w:r>
                </w:p>
              </w:tc>
              <w:tc>
                <w:tcPr>
                  <w:tcW w:w="6348" w:type="dxa"/>
                  <w:tcBorders>
                    <w:tl2br w:val="nil"/>
                    <w:tr2bl w:val="nil"/>
                  </w:tcBorders>
                  <w:vAlign w:val="center"/>
                </w:tcPr>
                <w:p w14:paraId="5061D47C">
                  <w:pPr>
                    <w:pStyle w:val="41"/>
                    <w:spacing w:line="240" w:lineRule="auto"/>
                    <w:ind w:left="-63" w:leftChars="-30" w:right="-63" w:rightChars="-30"/>
                    <w:jc w:val="both"/>
                    <w:rPr>
                      <w:rFonts w:ascii="Times New Roman" w:cs="Times New Roman"/>
                      <w:b w:val="0"/>
                      <w:bCs/>
                      <w:color w:val="000000" w:themeColor="text1"/>
                      <w:kern w:val="0"/>
                      <w:szCs w:val="21"/>
                      <w:highlight w:val="none"/>
                      <w14:textFill>
                        <w14:solidFill>
                          <w14:schemeClr w14:val="tx1"/>
                        </w14:solidFill>
                      </w14:textFill>
                    </w:rPr>
                  </w:pPr>
                  <w:r>
                    <w:rPr>
                      <w:rFonts w:hint="eastAsia" w:cs="Times New Roman"/>
                      <w:b w:val="0"/>
                      <w:bCs/>
                      <w:color w:val="000000" w:themeColor="text1"/>
                      <w:kern w:val="0"/>
                      <w:sz w:val="21"/>
                      <w:szCs w:val="21"/>
                      <w:highlight w:val="none"/>
                      <w14:textFill>
                        <w14:solidFill>
                          <w14:schemeClr w14:val="tx1"/>
                        </w14:solidFill>
                      </w14:textFill>
                    </w:rPr>
                    <w:t>升压站</w:t>
                  </w:r>
                  <w:r>
                    <w:rPr>
                      <w:rFonts w:hint="eastAsia" w:ascii="Times New Roman" w:cs="Times New Roman"/>
                      <w:b w:val="0"/>
                      <w:bCs/>
                      <w:color w:val="000000" w:themeColor="text1"/>
                      <w:sz w:val="21"/>
                      <w:szCs w:val="21"/>
                      <w:highlight w:val="none"/>
                      <w14:textFill>
                        <w14:solidFill>
                          <w14:schemeClr w14:val="tx1"/>
                        </w14:solidFill>
                      </w14:textFill>
                    </w:rPr>
                    <w:t>施工、消防、生活及饮用水均取自来水，从附近</w:t>
                  </w:r>
                  <w:r>
                    <w:rPr>
                      <w:rFonts w:hint="eastAsia" w:ascii="Times New Roman" w:cs="Times New Roman"/>
                      <w:b w:val="0"/>
                      <w:bCs/>
                      <w:color w:val="000000" w:themeColor="text1"/>
                      <w:sz w:val="21"/>
                      <w:szCs w:val="21"/>
                      <w:highlight w:val="none"/>
                      <w:lang w:val="en-US" w:eastAsia="zh-CN"/>
                      <w14:textFill>
                        <w14:solidFill>
                          <w14:schemeClr w14:val="tx1"/>
                        </w14:solidFill>
                      </w14:textFill>
                    </w:rPr>
                    <w:t>市政管网</w:t>
                  </w:r>
                  <w:r>
                    <w:rPr>
                      <w:rFonts w:hint="eastAsia" w:ascii="Times New Roman" w:cs="Times New Roman"/>
                      <w:b w:val="0"/>
                      <w:bCs/>
                      <w:color w:val="000000" w:themeColor="text1"/>
                      <w:sz w:val="21"/>
                      <w:szCs w:val="21"/>
                      <w:highlight w:val="none"/>
                      <w14:textFill>
                        <w14:solidFill>
                          <w14:schemeClr w14:val="tx1"/>
                        </w14:solidFill>
                      </w14:textFill>
                    </w:rPr>
                    <w:t>接引。</w:t>
                  </w:r>
                </w:p>
              </w:tc>
            </w:tr>
            <w:tr w14:paraId="1B18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260CD46D">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553E2726">
                  <w:pPr>
                    <w:pStyle w:val="73"/>
                    <w:keepNext w:val="0"/>
                    <w:keepLines w:val="0"/>
                    <w:pageBreakBefore w:val="0"/>
                    <w:widowControl w:val="0"/>
                    <w:kinsoku/>
                    <w:wordWrap/>
                    <w:overflowPunct/>
                    <w:topLinePunct w:val="0"/>
                    <w:bidi w:val="0"/>
                    <w:adjustRightInd w:val="0"/>
                    <w:snapToGrid w:val="0"/>
                    <w:ind w:left="0" w:leftChars="0" w:right="0" w:rightChars="0" w:firstLine="0" w:firstLineChars="0"/>
                    <w:jc w:val="center"/>
                    <w:textAlignment w:val="auto"/>
                    <w:rPr>
                      <w:rFonts w:hint="eastAsia" w:ascii="Times New Roman" w:cs="Times New Roman"/>
                      <w:b w:val="0"/>
                      <w:bCs/>
                      <w:color w:val="000000" w:themeColor="text1"/>
                      <w:szCs w:val="21"/>
                      <w:highlight w:val="none"/>
                      <w:lang w:val="en-US" w:eastAsia="zh-CN"/>
                      <w14:textFill>
                        <w14:solidFill>
                          <w14:schemeClr w14:val="tx1"/>
                        </w14:solidFill>
                      </w14:textFill>
                    </w:rPr>
                  </w:pPr>
                  <w:r>
                    <w:rPr>
                      <w:rFonts w:ascii="Times New Roman" w:hAnsi="Times New Roman" w:cs="Times New Roman"/>
                      <w:b w:val="0"/>
                      <w:bCs/>
                      <w:color w:val="000000" w:themeColor="text1"/>
                      <w:szCs w:val="21"/>
                      <w:highlight w:val="none"/>
                      <w14:textFill>
                        <w14:solidFill>
                          <w14:schemeClr w14:val="tx1"/>
                        </w14:solidFill>
                      </w14:textFill>
                    </w:rPr>
                    <w:t>排水</w:t>
                  </w:r>
                </w:p>
              </w:tc>
              <w:tc>
                <w:tcPr>
                  <w:tcW w:w="6348" w:type="dxa"/>
                  <w:tcBorders>
                    <w:tl2br w:val="nil"/>
                    <w:tr2bl w:val="nil"/>
                  </w:tcBorders>
                  <w:tcMar>
                    <w:top w:w="0" w:type="dxa"/>
                    <w:left w:w="108" w:type="dxa"/>
                    <w:bottom w:w="0" w:type="dxa"/>
                    <w:right w:w="108" w:type="dxa"/>
                  </w:tcMar>
                  <w:vAlign w:val="center"/>
                </w:tcPr>
                <w:p w14:paraId="4C70B691">
                  <w:pPr>
                    <w:pStyle w:val="41"/>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both"/>
                    <w:textAlignment w:val="auto"/>
                    <w:rPr>
                      <w:rFonts w:hint="default" w:ascii="Times New Roman" w:eastAsia="宋体" w:cs="Times New Roman"/>
                      <w:b w:val="0"/>
                      <w:bCs/>
                      <w:color w:val="000000" w:themeColor="text1"/>
                      <w:kern w:val="0"/>
                      <w:szCs w:val="21"/>
                      <w:highlight w:val="none"/>
                      <w:lang w:val="en-US" w:eastAsia="zh-CN"/>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站内雨水采用散排，局部通过雨水口收集，排入围墙外。生活污水经一体化污水处理设备处理满足《农村生活污水处理排放标准》（DB654275-2019）表2中</w:t>
                  </w:r>
                  <w:r>
                    <w:rPr>
                      <w:rFonts w:hint="eastAsia" w:ascii="Times New Roman" w:cs="Times New Roman"/>
                      <w:b w:val="0"/>
                      <w:bCs/>
                      <w:color w:val="0000FF"/>
                      <w:sz w:val="21"/>
                      <w:szCs w:val="21"/>
                      <w:highlight w:val="none"/>
                      <w:lang w:val="en-US" w:eastAsia="zh-CN"/>
                    </w:rPr>
                    <w:t>A</w:t>
                  </w:r>
                  <w:r>
                    <w:rPr>
                      <w:rFonts w:hint="eastAsia" w:ascii="Times New Roman" w:cs="Times New Roman"/>
                      <w:b w:val="0"/>
                      <w:bCs/>
                      <w:color w:val="0000FF"/>
                      <w:sz w:val="21"/>
                      <w:szCs w:val="21"/>
                      <w:highlight w:val="none"/>
                    </w:rPr>
                    <w:t>级标准后用于站</w:t>
                  </w:r>
                  <w:r>
                    <w:rPr>
                      <w:rFonts w:hint="eastAsia" w:ascii="Times New Roman" w:cs="Times New Roman"/>
                      <w:b w:val="0"/>
                      <w:bCs/>
                      <w:color w:val="0000FF"/>
                      <w:sz w:val="21"/>
                      <w:szCs w:val="21"/>
                      <w:highlight w:val="none"/>
                      <w:lang w:val="en-US" w:eastAsia="zh-CN"/>
                    </w:rPr>
                    <w:t>内</w:t>
                  </w:r>
                  <w:r>
                    <w:rPr>
                      <w:rFonts w:hint="eastAsia" w:ascii="Times New Roman" w:cs="Times New Roman"/>
                      <w:b w:val="0"/>
                      <w:bCs/>
                      <w:color w:val="0000FF"/>
                      <w:sz w:val="21"/>
                      <w:szCs w:val="21"/>
                      <w:highlight w:val="none"/>
                    </w:rPr>
                    <w:t>绿化及生态恢复</w:t>
                  </w:r>
                  <w:r>
                    <w:rPr>
                      <w:rFonts w:hint="eastAsia" w:ascii="Times New Roman" w:cs="Times New Roman"/>
                      <w:b w:val="0"/>
                      <w:bCs/>
                      <w:color w:val="0000FF"/>
                      <w:sz w:val="21"/>
                      <w:szCs w:val="21"/>
                      <w:highlight w:val="none"/>
                      <w:lang w:eastAsia="zh-CN"/>
                    </w:rPr>
                    <w:t>，</w:t>
                  </w:r>
                  <w:r>
                    <w:rPr>
                      <w:rFonts w:hint="eastAsia" w:ascii="Times New Roman" w:cs="Times New Roman"/>
                      <w:b w:val="0"/>
                      <w:bCs/>
                      <w:color w:val="0000FF"/>
                      <w:sz w:val="21"/>
                      <w:szCs w:val="21"/>
                      <w:highlight w:val="none"/>
                      <w:lang w:val="en-US" w:eastAsia="zh-CN"/>
                    </w:rPr>
                    <w:t>冬季出水排入新建50m</w:t>
                  </w:r>
                  <w:r>
                    <w:rPr>
                      <w:rFonts w:hint="eastAsia" w:ascii="Times New Roman" w:cs="Times New Roman"/>
                      <w:b w:val="0"/>
                      <w:bCs/>
                      <w:color w:val="0000FF"/>
                      <w:sz w:val="21"/>
                      <w:szCs w:val="21"/>
                      <w:highlight w:val="none"/>
                      <w:vertAlign w:val="superscript"/>
                      <w:lang w:val="en-US" w:eastAsia="zh-CN"/>
                    </w:rPr>
                    <w:t>3</w:t>
                  </w:r>
                  <w:r>
                    <w:rPr>
                      <w:rFonts w:hint="eastAsia" w:ascii="Times New Roman" w:cs="Times New Roman"/>
                      <w:b w:val="0"/>
                      <w:bCs/>
                      <w:color w:val="0000FF"/>
                      <w:sz w:val="21"/>
                      <w:szCs w:val="21"/>
                      <w:highlight w:val="none"/>
                      <w:lang w:val="en-US" w:eastAsia="zh-CN"/>
                    </w:rPr>
                    <w:t>集水池内存储，用于下一年站址绿化及生态恢复。</w:t>
                  </w:r>
                </w:p>
              </w:tc>
            </w:tr>
            <w:tr w14:paraId="2895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21005B89">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25C4649F">
                  <w:pPr>
                    <w:ind w:left="-63" w:leftChars="-30" w:right="-63" w:rightChars="-30"/>
                    <w:jc w:val="center"/>
                    <w:rPr>
                      <w:b w:val="0"/>
                      <w:bCs/>
                      <w:color w:val="000000" w:themeColor="text1"/>
                      <w:szCs w:val="21"/>
                      <w:highlight w:val="none"/>
                      <w14:textFill>
                        <w14:solidFill>
                          <w14:schemeClr w14:val="tx1"/>
                        </w14:solidFill>
                      </w14:textFill>
                    </w:rPr>
                  </w:pPr>
                  <w:r>
                    <w:rPr>
                      <w:b w:val="0"/>
                      <w:bCs/>
                      <w:color w:val="000000" w:themeColor="text1"/>
                      <w:kern w:val="0"/>
                      <w:szCs w:val="21"/>
                      <w:highlight w:val="none"/>
                      <w14:textFill>
                        <w14:solidFill>
                          <w14:schemeClr w14:val="tx1"/>
                        </w14:solidFill>
                      </w14:textFill>
                    </w:rPr>
                    <w:t>供电工程</w:t>
                  </w:r>
                </w:p>
              </w:tc>
              <w:tc>
                <w:tcPr>
                  <w:tcW w:w="6348" w:type="dxa"/>
                  <w:tcBorders>
                    <w:tl2br w:val="nil"/>
                    <w:tr2bl w:val="nil"/>
                  </w:tcBorders>
                  <w:vAlign w:val="center"/>
                </w:tcPr>
                <w:p w14:paraId="7A54F708">
                  <w:pPr>
                    <w:ind w:left="-63" w:leftChars="-30" w:right="-63" w:rightChars="-30"/>
                    <w:jc w:val="left"/>
                    <w:rPr>
                      <w:b w:val="0"/>
                      <w:bCs/>
                      <w:color w:val="000000" w:themeColor="text1"/>
                      <w:kern w:val="0"/>
                      <w:szCs w:val="21"/>
                      <w:highlight w:val="none"/>
                      <w14:textFill>
                        <w14:solidFill>
                          <w14:schemeClr w14:val="tx1"/>
                        </w14:solidFill>
                      </w14:textFill>
                    </w:rPr>
                  </w:pPr>
                  <w:r>
                    <w:rPr>
                      <w:rFonts w:hint="eastAsia"/>
                      <w:b w:val="0"/>
                      <w:bCs/>
                      <w:color w:val="000000" w:themeColor="text1"/>
                      <w:kern w:val="0"/>
                      <w:szCs w:val="21"/>
                      <w:highlight w:val="none"/>
                      <w14:textFill>
                        <w14:solidFill>
                          <w14:schemeClr w14:val="tx1"/>
                        </w14:solidFill>
                      </w14:textFill>
                    </w:rPr>
                    <w:t>站用电低压系统采用按工作变压器划分的单母线接线，低压侧采用380/220V中性点直接接地的三相四线制系统向站内动力、检修、照明、采暖及微机综合自动化系统等用电负荷供电</w:t>
                  </w:r>
                  <w:r>
                    <w:rPr>
                      <w:b w:val="0"/>
                      <w:bCs/>
                      <w:color w:val="000000" w:themeColor="text1"/>
                      <w:kern w:val="0"/>
                      <w:szCs w:val="21"/>
                      <w:highlight w:val="none"/>
                      <w14:textFill>
                        <w14:solidFill>
                          <w14:schemeClr w14:val="tx1"/>
                        </w14:solidFill>
                      </w14:textFill>
                    </w:rPr>
                    <w:t>；施工电源</w:t>
                  </w:r>
                  <w:r>
                    <w:rPr>
                      <w:b w:val="0"/>
                      <w:bCs/>
                      <w:color w:val="000000" w:themeColor="text1"/>
                      <w:szCs w:val="21"/>
                      <w:highlight w:val="none"/>
                      <w14:textFill>
                        <w14:solidFill>
                          <w14:schemeClr w14:val="tx1"/>
                        </w14:solidFill>
                      </w14:textFill>
                    </w:rPr>
                    <w:t>由站址附近</w:t>
                  </w:r>
                  <w:r>
                    <w:rPr>
                      <w:b w:val="0"/>
                      <w:bCs/>
                      <w:color w:val="000000" w:themeColor="text1"/>
                      <w:szCs w:val="21"/>
                      <w:highlight w:val="none"/>
                      <w:lang w:eastAsia="en-US" w:bidi="en-US"/>
                      <w14:textFill>
                        <w14:solidFill>
                          <w14:schemeClr w14:val="tx1"/>
                        </w14:solidFill>
                      </w14:textFill>
                    </w:rPr>
                    <w:t>10</w:t>
                  </w:r>
                  <w:r>
                    <w:rPr>
                      <w:rFonts w:hint="eastAsia"/>
                      <w:b w:val="0"/>
                      <w:bCs/>
                      <w:color w:val="000000" w:themeColor="text1"/>
                      <w:szCs w:val="21"/>
                      <w:highlight w:val="none"/>
                      <w:lang w:bidi="en-US"/>
                      <w14:textFill>
                        <w14:solidFill>
                          <w14:schemeClr w14:val="tx1"/>
                        </w14:solidFill>
                      </w14:textFill>
                    </w:rPr>
                    <w:t>kV</w:t>
                  </w:r>
                  <w:r>
                    <w:rPr>
                      <w:b w:val="0"/>
                      <w:bCs/>
                      <w:color w:val="000000" w:themeColor="text1"/>
                      <w:szCs w:val="21"/>
                      <w:highlight w:val="none"/>
                      <w14:textFill>
                        <w14:solidFill>
                          <w14:schemeClr w14:val="tx1"/>
                        </w14:solidFill>
                      </w14:textFill>
                    </w:rPr>
                    <w:t>线路接入</w:t>
                  </w:r>
                  <w:r>
                    <w:rPr>
                      <w:rFonts w:hint="eastAsia"/>
                      <w:b w:val="0"/>
                      <w:bCs/>
                      <w:color w:val="000000" w:themeColor="text1"/>
                      <w:szCs w:val="21"/>
                      <w:highlight w:val="none"/>
                      <w14:textFill>
                        <w14:solidFill>
                          <w14:schemeClr w14:val="tx1"/>
                        </w14:solidFill>
                      </w14:textFill>
                    </w:rPr>
                    <w:t>。</w:t>
                  </w:r>
                </w:p>
              </w:tc>
            </w:tr>
            <w:tr w14:paraId="5EE0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1BDF2E48">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5BFF46E3">
                  <w:pPr>
                    <w:ind w:left="-63" w:leftChars="-30" w:right="-63" w:rightChars="-30"/>
                    <w:jc w:val="center"/>
                    <w:rPr>
                      <w:b w:val="0"/>
                      <w:bCs/>
                      <w:color w:val="000000" w:themeColor="text1"/>
                      <w:szCs w:val="21"/>
                      <w:highlight w:val="none"/>
                      <w14:textFill>
                        <w14:solidFill>
                          <w14:schemeClr w14:val="tx1"/>
                        </w14:solidFill>
                      </w14:textFill>
                    </w:rPr>
                  </w:pPr>
                  <w:r>
                    <w:rPr>
                      <w:b w:val="0"/>
                      <w:bCs/>
                      <w:color w:val="000000" w:themeColor="text1"/>
                      <w:kern w:val="0"/>
                      <w:szCs w:val="21"/>
                      <w:highlight w:val="none"/>
                      <w14:textFill>
                        <w14:solidFill>
                          <w14:schemeClr w14:val="tx1"/>
                        </w14:solidFill>
                      </w14:textFill>
                    </w:rPr>
                    <w:t>供暖</w:t>
                  </w:r>
                </w:p>
              </w:tc>
              <w:tc>
                <w:tcPr>
                  <w:tcW w:w="6348" w:type="dxa"/>
                  <w:tcBorders>
                    <w:tl2br w:val="nil"/>
                    <w:tr2bl w:val="nil"/>
                  </w:tcBorders>
                  <w:vAlign w:val="center"/>
                </w:tcPr>
                <w:p w14:paraId="6B4F5E49">
                  <w:pPr>
                    <w:ind w:left="-63" w:leftChars="-30" w:right="-63" w:rightChars="-30"/>
                    <w:jc w:val="left"/>
                    <w:rPr>
                      <w:b w:val="0"/>
                      <w:bCs/>
                      <w:color w:val="000000" w:themeColor="text1"/>
                      <w:kern w:val="0"/>
                      <w:szCs w:val="21"/>
                      <w:highlight w:val="none"/>
                      <w14:textFill>
                        <w14:solidFill>
                          <w14:schemeClr w14:val="tx1"/>
                        </w14:solidFill>
                      </w14:textFill>
                    </w:rPr>
                  </w:pPr>
                  <w:r>
                    <w:rPr>
                      <w:b w:val="0"/>
                      <w:bCs/>
                      <w:color w:val="000000" w:themeColor="text1"/>
                      <w:kern w:val="0"/>
                      <w:szCs w:val="21"/>
                      <w:highlight w:val="none"/>
                      <w14:textFill>
                        <w14:solidFill>
                          <w14:schemeClr w14:val="tx1"/>
                        </w14:solidFill>
                      </w14:textFill>
                    </w:rPr>
                    <w:t>本项目冬季采用电采暖。</w:t>
                  </w:r>
                </w:p>
              </w:tc>
            </w:tr>
            <w:tr w14:paraId="034F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tcBorders>
                    <w:tl2br w:val="nil"/>
                    <w:tr2bl w:val="nil"/>
                  </w:tcBorders>
                  <w:vAlign w:val="center"/>
                </w:tcPr>
                <w:p w14:paraId="78A25206">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环保工程</w:t>
                  </w:r>
                </w:p>
              </w:tc>
              <w:tc>
                <w:tcPr>
                  <w:tcW w:w="1308" w:type="dxa"/>
                  <w:gridSpan w:val="2"/>
                  <w:tcBorders>
                    <w:tl2br w:val="nil"/>
                    <w:tr2bl w:val="nil"/>
                  </w:tcBorders>
                  <w:vAlign w:val="center"/>
                </w:tcPr>
                <w:p w14:paraId="06319988">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废气</w:t>
                  </w:r>
                </w:p>
              </w:tc>
              <w:tc>
                <w:tcPr>
                  <w:tcW w:w="6348" w:type="dxa"/>
                  <w:tcBorders>
                    <w:tl2br w:val="nil"/>
                    <w:tr2bl w:val="nil"/>
                  </w:tcBorders>
                  <w:vAlign w:val="center"/>
                </w:tcPr>
                <w:p w14:paraId="37DBB8DE">
                  <w:pPr>
                    <w:ind w:left="-63" w:leftChars="-30" w:right="-63" w:rightChars="-30"/>
                    <w:jc w:val="left"/>
                    <w:rPr>
                      <w:b w:val="0"/>
                      <w:bCs/>
                      <w:color w:val="000000" w:themeColor="text1"/>
                      <w:kern w:val="0"/>
                      <w:szCs w:val="21"/>
                      <w:highlight w:val="none"/>
                      <w14:textFill>
                        <w14:solidFill>
                          <w14:schemeClr w14:val="tx1"/>
                        </w14:solidFill>
                      </w14:textFill>
                    </w:rPr>
                  </w:pPr>
                  <w:r>
                    <w:rPr>
                      <w:rFonts w:hint="eastAsia"/>
                      <w:b w:val="0"/>
                      <w:bCs/>
                      <w:color w:val="000000" w:themeColor="text1"/>
                      <w:kern w:val="0"/>
                      <w:szCs w:val="21"/>
                      <w:highlight w:val="none"/>
                      <w14:textFill>
                        <w14:solidFill>
                          <w14:schemeClr w14:val="tx1"/>
                        </w14:solidFill>
                      </w14:textFill>
                    </w:rPr>
                    <w:t>升压站</w:t>
                  </w:r>
                  <w:r>
                    <w:rPr>
                      <w:b w:val="0"/>
                      <w:bCs/>
                      <w:color w:val="000000" w:themeColor="text1"/>
                      <w:kern w:val="0"/>
                      <w:szCs w:val="21"/>
                      <w:highlight w:val="none"/>
                      <w14:textFill>
                        <w14:solidFill>
                          <w14:schemeClr w14:val="tx1"/>
                        </w14:solidFill>
                      </w14:textFill>
                    </w:rPr>
                    <w:t>运营期</w:t>
                  </w:r>
                  <w:r>
                    <w:rPr>
                      <w:rFonts w:hint="eastAsia"/>
                      <w:b w:val="0"/>
                      <w:bCs/>
                      <w:color w:val="000000" w:themeColor="text1"/>
                      <w:kern w:val="0"/>
                      <w:szCs w:val="21"/>
                      <w:highlight w:val="none"/>
                      <w14:textFill>
                        <w14:solidFill>
                          <w14:schemeClr w14:val="tx1"/>
                        </w14:solidFill>
                      </w14:textFill>
                    </w:rPr>
                    <w:t>本身</w:t>
                  </w:r>
                  <w:r>
                    <w:rPr>
                      <w:b w:val="0"/>
                      <w:bCs/>
                      <w:color w:val="000000" w:themeColor="text1"/>
                      <w:kern w:val="0"/>
                      <w:szCs w:val="21"/>
                      <w:highlight w:val="none"/>
                      <w14:textFill>
                        <w14:solidFill>
                          <w14:schemeClr w14:val="tx1"/>
                        </w14:solidFill>
                      </w14:textFill>
                    </w:rPr>
                    <w:t>无废气产生</w:t>
                  </w:r>
                  <w:r>
                    <w:rPr>
                      <w:rFonts w:hint="eastAsia"/>
                      <w:b w:val="0"/>
                      <w:bCs/>
                      <w:color w:val="000000" w:themeColor="text1"/>
                      <w:kern w:val="0"/>
                      <w:szCs w:val="21"/>
                      <w:highlight w:val="none"/>
                      <w14:textFill>
                        <w14:solidFill>
                          <w14:schemeClr w14:val="tx1"/>
                        </w14:solidFill>
                      </w14:textFill>
                    </w:rPr>
                    <w:t>，</w:t>
                  </w:r>
                  <w:r>
                    <w:rPr>
                      <w:rFonts w:hint="eastAsia"/>
                      <w:b w:val="0"/>
                      <w:bCs/>
                      <w:color w:val="000000" w:themeColor="text1"/>
                      <w:szCs w:val="21"/>
                      <w:highlight w:val="none"/>
                      <w14:textFill>
                        <w14:solidFill>
                          <w14:schemeClr w14:val="tx1"/>
                        </w14:solidFill>
                      </w14:textFill>
                    </w:rPr>
                    <w:t>生活区员工生活会产生食堂油烟，食堂灶头上部按要求安装排风罩，并配套安装1台净化效率85%的油烟净化器，通过专用烟</w:t>
                  </w:r>
                  <w:r>
                    <w:rPr>
                      <w:rFonts w:hint="eastAsia"/>
                      <w:b w:val="0"/>
                      <w:bCs/>
                      <w:color w:val="000000" w:themeColor="text1"/>
                      <w:szCs w:val="21"/>
                      <w:highlight w:val="none"/>
                      <w:lang w:eastAsia="zh-CN"/>
                      <w14:textFill>
                        <w14:solidFill>
                          <w14:schemeClr w14:val="tx1"/>
                        </w14:solidFill>
                      </w14:textFill>
                    </w:rPr>
                    <w:t>道向</w:t>
                  </w:r>
                  <w:r>
                    <w:rPr>
                      <w:rFonts w:hint="eastAsia"/>
                      <w:b w:val="0"/>
                      <w:bCs/>
                      <w:color w:val="000000" w:themeColor="text1"/>
                      <w:szCs w:val="21"/>
                      <w:highlight w:val="none"/>
                      <w14:textFill>
                        <w14:solidFill>
                          <w14:schemeClr w14:val="tx1"/>
                        </w14:solidFill>
                      </w14:textFill>
                    </w:rPr>
                    <w:t>食堂屋顶排放。</w:t>
                  </w:r>
                </w:p>
              </w:tc>
            </w:tr>
            <w:tr w14:paraId="516C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2E598374">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3B14C592">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废水</w:t>
                  </w:r>
                </w:p>
              </w:tc>
              <w:tc>
                <w:tcPr>
                  <w:tcW w:w="6348" w:type="dxa"/>
                  <w:tcBorders>
                    <w:tl2br w:val="nil"/>
                    <w:tr2bl w:val="nil"/>
                  </w:tcBorders>
                  <w:vAlign w:val="center"/>
                </w:tcPr>
                <w:p w14:paraId="26EC4702">
                  <w:pPr>
                    <w:ind w:left="-63" w:leftChars="-30" w:right="-63" w:rightChars="-30"/>
                    <w:jc w:val="left"/>
                    <w:rPr>
                      <w:rFonts w:hint="eastAsia" w:eastAsia="宋体"/>
                      <w:b w:val="0"/>
                      <w:bCs/>
                      <w:color w:val="000000" w:themeColor="text1"/>
                      <w:kern w:val="0"/>
                      <w:szCs w:val="21"/>
                      <w:highlight w:val="none"/>
                      <w:lang w:eastAsia="zh-CN"/>
                      <w14:textFill>
                        <w14:solidFill>
                          <w14:schemeClr w14:val="tx1"/>
                        </w14:solidFill>
                      </w14:textFill>
                    </w:rPr>
                  </w:pPr>
                  <w:r>
                    <w:rPr>
                      <w:rFonts w:hint="eastAsia"/>
                      <w:b w:val="0"/>
                      <w:bCs/>
                      <w:color w:val="000000" w:themeColor="text1"/>
                      <w:kern w:val="0"/>
                      <w:szCs w:val="21"/>
                      <w:highlight w:val="none"/>
                      <w14:textFill>
                        <w14:solidFill>
                          <w14:schemeClr w14:val="tx1"/>
                        </w14:solidFill>
                      </w14:textFill>
                    </w:rPr>
                    <w:t>生活污水经一体化污水处理设备处理满足《农村生活污水处理排放标准》（DB654275-2019）表2中</w:t>
                  </w:r>
                  <w:r>
                    <w:rPr>
                      <w:rFonts w:hint="eastAsia"/>
                      <w:b w:val="0"/>
                      <w:bCs/>
                      <w:color w:val="0000FF"/>
                      <w:kern w:val="0"/>
                      <w:szCs w:val="21"/>
                      <w:highlight w:val="none"/>
                      <w:lang w:val="en-US" w:eastAsia="zh-CN"/>
                    </w:rPr>
                    <w:t>A</w:t>
                  </w:r>
                  <w:r>
                    <w:rPr>
                      <w:rFonts w:hint="eastAsia"/>
                      <w:b w:val="0"/>
                      <w:bCs/>
                      <w:color w:val="0000FF"/>
                      <w:kern w:val="0"/>
                      <w:szCs w:val="21"/>
                      <w:highlight w:val="none"/>
                    </w:rPr>
                    <w:t>级标准后用于站</w:t>
                  </w:r>
                  <w:r>
                    <w:rPr>
                      <w:rFonts w:hint="eastAsia"/>
                      <w:b w:val="0"/>
                      <w:bCs/>
                      <w:color w:val="0000FF"/>
                      <w:kern w:val="0"/>
                      <w:szCs w:val="21"/>
                      <w:highlight w:val="none"/>
                      <w:lang w:val="en-US" w:eastAsia="zh-CN"/>
                    </w:rPr>
                    <w:t>内</w:t>
                  </w:r>
                  <w:r>
                    <w:rPr>
                      <w:rFonts w:hint="eastAsia"/>
                      <w:b w:val="0"/>
                      <w:bCs/>
                      <w:color w:val="0000FF"/>
                      <w:kern w:val="0"/>
                      <w:szCs w:val="21"/>
                      <w:highlight w:val="none"/>
                    </w:rPr>
                    <w:t>绿化及生态恢复</w:t>
                  </w:r>
                  <w:r>
                    <w:rPr>
                      <w:rFonts w:hint="eastAsia"/>
                      <w:b w:val="0"/>
                      <w:bCs/>
                      <w:color w:val="0000FF"/>
                      <w:kern w:val="0"/>
                      <w:szCs w:val="21"/>
                      <w:highlight w:val="none"/>
                      <w:lang w:eastAsia="zh-CN"/>
                    </w:rPr>
                    <w:t>，</w:t>
                  </w:r>
                  <w:r>
                    <w:rPr>
                      <w:rFonts w:hint="eastAsia" w:ascii="Times New Roman" w:cs="Times New Roman"/>
                      <w:b w:val="0"/>
                      <w:bCs/>
                      <w:color w:val="0000FF"/>
                      <w:sz w:val="21"/>
                      <w:szCs w:val="21"/>
                      <w:highlight w:val="none"/>
                      <w:lang w:val="en-US" w:eastAsia="zh-CN"/>
                    </w:rPr>
                    <w:t>冬季出水排入新建50m</w:t>
                  </w:r>
                  <w:r>
                    <w:rPr>
                      <w:rFonts w:hint="eastAsia" w:ascii="Times New Roman" w:cs="Times New Roman"/>
                      <w:b w:val="0"/>
                      <w:bCs/>
                      <w:color w:val="0000FF"/>
                      <w:sz w:val="21"/>
                      <w:szCs w:val="21"/>
                      <w:highlight w:val="none"/>
                      <w:vertAlign w:val="superscript"/>
                      <w:lang w:val="en-US" w:eastAsia="zh-CN"/>
                    </w:rPr>
                    <w:t>3</w:t>
                  </w:r>
                  <w:r>
                    <w:rPr>
                      <w:rFonts w:hint="eastAsia" w:ascii="Times New Roman" w:cs="Times New Roman"/>
                      <w:b w:val="0"/>
                      <w:bCs/>
                      <w:color w:val="0000FF"/>
                      <w:sz w:val="21"/>
                      <w:szCs w:val="21"/>
                      <w:highlight w:val="none"/>
                      <w:lang w:val="en-US" w:eastAsia="zh-CN"/>
                    </w:rPr>
                    <w:t>集水池内存储，用于下一年站内绿化及生态恢复。</w:t>
                  </w:r>
                </w:p>
              </w:tc>
            </w:tr>
            <w:tr w14:paraId="3FCE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5B5F5AA4">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742521D0">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噪声</w:t>
                  </w:r>
                </w:p>
              </w:tc>
              <w:tc>
                <w:tcPr>
                  <w:tcW w:w="6348" w:type="dxa"/>
                  <w:tcBorders>
                    <w:tl2br w:val="nil"/>
                    <w:tr2bl w:val="nil"/>
                  </w:tcBorders>
                  <w:vAlign w:val="center"/>
                </w:tcPr>
                <w:p w14:paraId="4F8F1967">
                  <w:pPr>
                    <w:ind w:left="-63" w:leftChars="-30" w:right="-63" w:rightChars="-30"/>
                    <w:jc w:val="left"/>
                    <w:rPr>
                      <w:b w:val="0"/>
                      <w:bCs/>
                      <w:color w:val="000000" w:themeColor="text1"/>
                      <w:kern w:val="0"/>
                      <w:szCs w:val="21"/>
                      <w:highlight w:val="none"/>
                      <w14:textFill>
                        <w14:solidFill>
                          <w14:schemeClr w14:val="tx1"/>
                        </w14:solidFill>
                      </w14:textFill>
                    </w:rPr>
                  </w:pPr>
                  <w:r>
                    <w:rPr>
                      <w:rFonts w:hint="eastAsia"/>
                      <w:b w:val="0"/>
                      <w:bCs/>
                      <w:color w:val="000000" w:themeColor="text1"/>
                      <w:kern w:val="0"/>
                      <w:szCs w:val="21"/>
                      <w:highlight w:val="none"/>
                      <w14:textFill>
                        <w14:solidFill>
                          <w14:schemeClr w14:val="tx1"/>
                        </w14:solidFill>
                      </w14:textFill>
                    </w:rPr>
                    <w:t>选用低噪声变压器，设备安装基础减震，</w:t>
                  </w:r>
                  <w:r>
                    <w:rPr>
                      <w:b w:val="0"/>
                      <w:bCs/>
                      <w:color w:val="000000" w:themeColor="text1"/>
                      <w:kern w:val="0"/>
                      <w:szCs w:val="21"/>
                      <w:highlight w:val="none"/>
                      <w14:textFill>
                        <w14:solidFill>
                          <w14:schemeClr w14:val="tx1"/>
                        </w14:solidFill>
                      </w14:textFill>
                    </w:rPr>
                    <w:t>加强设备维护及管理。</w:t>
                  </w:r>
                </w:p>
              </w:tc>
            </w:tr>
            <w:tr w14:paraId="336D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6E3336EB">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3DCEC1A5">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固废</w:t>
                  </w:r>
                </w:p>
              </w:tc>
              <w:tc>
                <w:tcPr>
                  <w:tcW w:w="6348" w:type="dxa"/>
                  <w:tcBorders>
                    <w:tl2br w:val="nil"/>
                    <w:tr2bl w:val="nil"/>
                  </w:tcBorders>
                  <w:vAlign w:val="center"/>
                </w:tcPr>
                <w:p w14:paraId="3BDFE3F1">
                  <w:pPr>
                    <w:tabs>
                      <w:tab w:val="center" w:pos="3185"/>
                    </w:tabs>
                    <w:ind w:left="-63" w:leftChars="-30" w:right="-63" w:rightChars="-30"/>
                    <w:jc w:val="left"/>
                    <w:rPr>
                      <w:rFonts w:hint="default" w:ascii="Times New Roman" w:hAnsi="Times New Roman" w:eastAsia="宋体" w:cs="Times New Roman"/>
                      <w:b w:val="0"/>
                      <w:bCs/>
                      <w:color w:val="000000" w:themeColor="text1"/>
                      <w:kern w:val="0"/>
                      <w:szCs w:val="21"/>
                      <w:highlight w:val="none"/>
                      <w:lang w:val="en-US" w:eastAsia="zh-CN"/>
                      <w14:textFill>
                        <w14:solidFill>
                          <w14:schemeClr w14:val="tx1"/>
                        </w14:solidFill>
                      </w14:textFill>
                    </w:rPr>
                  </w:pPr>
                  <w:r>
                    <w:rPr>
                      <w:rFonts w:hint="default" w:ascii="Times New Roman" w:hAnsi="Times New Roman" w:cs="Times New Roman"/>
                      <w:b w:val="0"/>
                      <w:bCs/>
                      <w:color w:val="000000" w:themeColor="text1"/>
                      <w:kern w:val="0"/>
                      <w:szCs w:val="21"/>
                      <w:highlight w:val="none"/>
                      <w14:textFill>
                        <w14:solidFill>
                          <w14:schemeClr w14:val="tx1"/>
                        </w14:solidFill>
                      </w14:textFill>
                    </w:rPr>
                    <w:t>①</w:t>
                  </w:r>
                  <w:r>
                    <w:rPr>
                      <w:rFonts w:hint="eastAsia" w:ascii="Times New Roman" w:hAnsi="Times New Roman" w:cs="Times New Roman"/>
                      <w:b w:val="0"/>
                      <w:bCs/>
                      <w:color w:val="000000" w:themeColor="text1"/>
                      <w:kern w:val="0"/>
                      <w:szCs w:val="21"/>
                      <w:highlight w:val="none"/>
                      <w:lang w:val="en-US" w:eastAsia="zh-CN"/>
                      <w14:textFill>
                        <w14:solidFill>
                          <w14:schemeClr w14:val="tx1"/>
                        </w14:solidFill>
                      </w14:textFill>
                    </w:rPr>
                    <w:t>储能站更换电池产生的废磷酸铁锂电池具有回收价值，属于一般固废，外售物资回收公司。</w:t>
                  </w:r>
                </w:p>
                <w:p w14:paraId="3FE79C8D">
                  <w:pPr>
                    <w:ind w:left="-63" w:leftChars="-30" w:right="-63" w:rightChars="-30"/>
                    <w:jc w:val="left"/>
                    <w:rPr>
                      <w:b w:val="0"/>
                      <w:bCs/>
                      <w:color w:val="000000" w:themeColor="text1"/>
                      <w:kern w:val="0"/>
                      <w:szCs w:val="21"/>
                      <w:highlight w:val="none"/>
                      <w14:textFill>
                        <w14:solidFill>
                          <w14:schemeClr w14:val="tx1"/>
                        </w14:solidFill>
                      </w14:textFill>
                    </w:rPr>
                  </w:pPr>
                  <w:r>
                    <w:rPr>
                      <w:rFonts w:hint="default" w:ascii="Times New Roman" w:hAnsi="Times New Roman" w:cs="Times New Roman"/>
                      <w:b w:val="0"/>
                      <w:bCs/>
                      <w:color w:val="000000" w:themeColor="text1"/>
                      <w:kern w:val="0"/>
                      <w:szCs w:val="21"/>
                      <w:highlight w:val="none"/>
                      <w14:textFill>
                        <w14:solidFill>
                          <w14:schemeClr w14:val="tx1"/>
                        </w14:solidFill>
                      </w14:textFill>
                    </w:rPr>
                    <w:t>②</w:t>
                  </w:r>
                  <w:r>
                    <w:rPr>
                      <w:rFonts w:hint="eastAsia"/>
                      <w:b w:val="0"/>
                      <w:bCs/>
                      <w:color w:val="000000" w:themeColor="text1"/>
                      <w:kern w:val="0"/>
                      <w:szCs w:val="21"/>
                      <w:highlight w:val="none"/>
                      <w14:textFill>
                        <w14:solidFill>
                          <w14:schemeClr w14:val="tx1"/>
                        </w14:solidFill>
                      </w14:textFill>
                    </w:rPr>
                    <w:t>建设1座危废舱，结构形式为成品预制舱结构，危废品舱长</w:t>
                  </w:r>
                  <w:r>
                    <w:rPr>
                      <w:rFonts w:hint="eastAsia"/>
                      <w:b w:val="0"/>
                      <w:bCs/>
                      <w:color w:val="000000" w:themeColor="text1"/>
                      <w:kern w:val="0"/>
                      <w:szCs w:val="21"/>
                      <w:highlight w:val="none"/>
                      <w:lang w:val="en-US" w:eastAsia="zh-CN"/>
                      <w14:textFill>
                        <w14:solidFill>
                          <w14:schemeClr w14:val="tx1"/>
                        </w14:solidFill>
                      </w14:textFill>
                    </w:rPr>
                    <w:t>7</w:t>
                  </w:r>
                  <w:r>
                    <w:rPr>
                      <w:rFonts w:hint="eastAsia"/>
                      <w:b w:val="0"/>
                      <w:bCs/>
                      <w:color w:val="000000" w:themeColor="text1"/>
                      <w:kern w:val="0"/>
                      <w:szCs w:val="21"/>
                      <w:highlight w:val="none"/>
                      <w14:textFill>
                        <w14:solidFill>
                          <w14:schemeClr w14:val="tx1"/>
                        </w14:solidFill>
                      </w14:textFill>
                    </w:rPr>
                    <w:t>m，宽</w:t>
                  </w:r>
                  <w:r>
                    <w:rPr>
                      <w:rFonts w:hint="eastAsia"/>
                      <w:b w:val="0"/>
                      <w:bCs/>
                      <w:color w:val="000000" w:themeColor="text1"/>
                      <w:kern w:val="0"/>
                      <w:szCs w:val="21"/>
                      <w:highlight w:val="none"/>
                      <w:lang w:val="en-US" w:eastAsia="zh-CN"/>
                      <w14:textFill>
                        <w14:solidFill>
                          <w14:schemeClr w14:val="tx1"/>
                        </w14:solidFill>
                      </w14:textFill>
                    </w:rPr>
                    <w:t>4</w:t>
                  </w:r>
                  <w:r>
                    <w:rPr>
                      <w:rFonts w:hint="eastAsia"/>
                      <w:b w:val="0"/>
                      <w:bCs/>
                      <w:color w:val="000000" w:themeColor="text1"/>
                      <w:kern w:val="0"/>
                      <w:szCs w:val="21"/>
                      <w:highlight w:val="none"/>
                      <w14:textFill>
                        <w14:solidFill>
                          <w14:schemeClr w14:val="tx1"/>
                        </w14:solidFill>
                      </w14:textFill>
                    </w:rPr>
                    <w:t>m，建筑面积约为</w:t>
                  </w:r>
                  <w:r>
                    <w:rPr>
                      <w:rFonts w:hint="eastAsia"/>
                      <w:b w:val="0"/>
                      <w:bCs/>
                      <w:color w:val="000000" w:themeColor="text1"/>
                      <w:kern w:val="0"/>
                      <w:szCs w:val="21"/>
                      <w:highlight w:val="none"/>
                      <w:lang w:val="en-US" w:eastAsia="zh-CN"/>
                      <w14:textFill>
                        <w14:solidFill>
                          <w14:schemeClr w14:val="tx1"/>
                        </w14:solidFill>
                      </w14:textFill>
                    </w:rPr>
                    <w:t>28</w:t>
                  </w:r>
                  <w:r>
                    <w:rPr>
                      <w:rFonts w:hint="eastAsia"/>
                      <w:b w:val="0"/>
                      <w:bCs/>
                      <w:color w:val="000000" w:themeColor="text1"/>
                      <w:kern w:val="0"/>
                      <w:szCs w:val="21"/>
                      <w:highlight w:val="none"/>
                      <w14:textFill>
                        <w14:solidFill>
                          <w14:schemeClr w14:val="tx1"/>
                        </w14:solidFill>
                      </w14:textFill>
                    </w:rPr>
                    <w:t>m</w:t>
                  </w:r>
                  <w:r>
                    <w:rPr>
                      <w:rFonts w:hint="eastAsia"/>
                      <w:b w:val="0"/>
                      <w:bCs/>
                      <w:color w:val="000000" w:themeColor="text1"/>
                      <w:kern w:val="0"/>
                      <w:szCs w:val="21"/>
                      <w:highlight w:val="none"/>
                      <w:vertAlign w:val="superscript"/>
                      <w14:textFill>
                        <w14:solidFill>
                          <w14:schemeClr w14:val="tx1"/>
                        </w14:solidFill>
                      </w14:textFill>
                    </w:rPr>
                    <w:t>2</w:t>
                  </w:r>
                  <w:r>
                    <w:rPr>
                      <w:rFonts w:hint="eastAsia"/>
                      <w:b w:val="0"/>
                      <w:bCs/>
                      <w:color w:val="000000" w:themeColor="text1"/>
                      <w:kern w:val="0"/>
                      <w:szCs w:val="21"/>
                      <w:highlight w:val="none"/>
                      <w14:textFill>
                        <w14:solidFill>
                          <w14:schemeClr w14:val="tx1"/>
                        </w14:solidFill>
                      </w14:textFill>
                    </w:rPr>
                    <w:t>，层高3.0m，共一层。</w:t>
                  </w:r>
                  <w:r>
                    <w:rPr>
                      <w:rFonts w:hint="eastAsia"/>
                      <w:b w:val="0"/>
                      <w:bCs/>
                      <w:color w:val="000000" w:themeColor="text1"/>
                      <w:kern w:val="0"/>
                      <w:szCs w:val="21"/>
                      <w:highlight w:val="none"/>
                      <w:lang w:val="en-US" w:eastAsia="zh-CN"/>
                      <w14:textFill>
                        <w14:solidFill>
                          <w14:schemeClr w14:val="tx1"/>
                        </w14:solidFill>
                      </w14:textFill>
                    </w:rPr>
                    <w:t>废铅蓄电池、</w:t>
                  </w:r>
                  <w:r>
                    <w:rPr>
                      <w:b w:val="0"/>
                      <w:bCs/>
                      <w:color w:val="000000" w:themeColor="text1"/>
                      <w:kern w:val="0"/>
                      <w:szCs w:val="21"/>
                      <w:highlight w:val="none"/>
                      <w14:textFill>
                        <w14:solidFill>
                          <w14:schemeClr w14:val="tx1"/>
                        </w14:solidFill>
                      </w14:textFill>
                    </w:rPr>
                    <w:t>废变压器油和</w:t>
                  </w:r>
                  <w:r>
                    <w:rPr>
                      <w:rFonts w:hint="eastAsia"/>
                      <w:b w:val="0"/>
                      <w:bCs/>
                      <w:color w:val="000000" w:themeColor="text1"/>
                      <w:kern w:val="0"/>
                      <w:szCs w:val="21"/>
                      <w:highlight w:val="none"/>
                      <w14:textFill>
                        <w14:solidFill>
                          <w14:schemeClr w14:val="tx1"/>
                        </w14:solidFill>
                      </w14:textFill>
                    </w:rPr>
                    <w:t>废油桶、含油抹布</w:t>
                  </w:r>
                  <w:r>
                    <w:rPr>
                      <w:b w:val="0"/>
                      <w:bCs/>
                      <w:color w:val="000000" w:themeColor="text1"/>
                      <w:kern w:val="0"/>
                      <w:szCs w:val="21"/>
                      <w:highlight w:val="none"/>
                      <w14:textFill>
                        <w14:solidFill>
                          <w14:schemeClr w14:val="tx1"/>
                        </w14:solidFill>
                      </w14:textFill>
                    </w:rPr>
                    <w:t>分类收集至</w:t>
                  </w:r>
                  <w:r>
                    <w:rPr>
                      <w:rFonts w:hint="eastAsia"/>
                      <w:b w:val="0"/>
                      <w:bCs/>
                      <w:color w:val="000000" w:themeColor="text1"/>
                      <w:kern w:val="0"/>
                      <w:szCs w:val="21"/>
                      <w:highlight w:val="none"/>
                      <w14:textFill>
                        <w14:solidFill>
                          <w14:schemeClr w14:val="tx1"/>
                        </w14:solidFill>
                      </w14:textFill>
                    </w:rPr>
                    <w:t>危废舱内</w:t>
                  </w:r>
                  <w:r>
                    <w:rPr>
                      <w:b w:val="0"/>
                      <w:bCs/>
                      <w:color w:val="000000" w:themeColor="text1"/>
                      <w:kern w:val="0"/>
                      <w:szCs w:val="21"/>
                      <w:highlight w:val="none"/>
                      <w14:textFill>
                        <w14:solidFill>
                          <w14:schemeClr w14:val="tx1"/>
                        </w14:solidFill>
                      </w14:textFill>
                    </w:rPr>
                    <w:t>，委托有资质单位处置。</w:t>
                  </w:r>
                </w:p>
              </w:tc>
            </w:tr>
            <w:tr w14:paraId="40C2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0F36536E">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322B58C3">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电磁环境</w:t>
                  </w:r>
                </w:p>
              </w:tc>
              <w:tc>
                <w:tcPr>
                  <w:tcW w:w="6348" w:type="dxa"/>
                  <w:tcBorders>
                    <w:tl2br w:val="nil"/>
                    <w:tr2bl w:val="nil"/>
                  </w:tcBorders>
                  <w:vAlign w:val="center"/>
                </w:tcPr>
                <w:p w14:paraId="43F8F45A">
                  <w:pPr>
                    <w:ind w:left="-63" w:leftChars="-30" w:right="-63" w:rightChars="-30"/>
                    <w:jc w:val="left"/>
                    <w:rPr>
                      <w:b w:val="0"/>
                      <w:bCs/>
                      <w:color w:val="000000" w:themeColor="text1"/>
                      <w:kern w:val="0"/>
                      <w:szCs w:val="21"/>
                      <w:highlight w:val="none"/>
                      <w14:textFill>
                        <w14:solidFill>
                          <w14:schemeClr w14:val="tx1"/>
                        </w14:solidFill>
                      </w14:textFill>
                    </w:rPr>
                  </w:pPr>
                  <w:r>
                    <w:rPr>
                      <w:rFonts w:hint="eastAsia"/>
                      <w:b w:val="0"/>
                      <w:bCs/>
                      <w:color w:val="000000" w:themeColor="text1"/>
                      <w:kern w:val="0"/>
                      <w:szCs w:val="21"/>
                      <w:highlight w:val="none"/>
                      <w14:textFill>
                        <w14:solidFill>
                          <w14:schemeClr w14:val="tx1"/>
                        </w14:solidFill>
                      </w14:textFill>
                    </w:rPr>
                    <w:t>制定安全操作规程，加强职工安全教育，加强电磁水平监测；设立电磁防护安全警示标志，禁止无关人员靠近带电构架。</w:t>
                  </w:r>
                </w:p>
              </w:tc>
            </w:tr>
            <w:tr w14:paraId="57FC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tcBorders>
                    <w:tl2br w:val="nil"/>
                    <w:tr2bl w:val="nil"/>
                  </w:tcBorders>
                  <w:vAlign w:val="center"/>
                </w:tcPr>
                <w:p w14:paraId="111B2214">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p>
              </w:tc>
              <w:tc>
                <w:tcPr>
                  <w:tcW w:w="1308" w:type="dxa"/>
                  <w:gridSpan w:val="2"/>
                  <w:tcBorders>
                    <w:tl2br w:val="nil"/>
                    <w:tr2bl w:val="nil"/>
                  </w:tcBorders>
                  <w:vAlign w:val="center"/>
                </w:tcPr>
                <w:p w14:paraId="58F70493">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风险防范</w:t>
                  </w:r>
                </w:p>
              </w:tc>
              <w:tc>
                <w:tcPr>
                  <w:tcW w:w="6348" w:type="dxa"/>
                  <w:tcBorders>
                    <w:tl2br w:val="nil"/>
                    <w:tr2bl w:val="nil"/>
                  </w:tcBorders>
                  <w:vAlign w:val="center"/>
                </w:tcPr>
                <w:p w14:paraId="177754CB">
                  <w:pPr>
                    <w:ind w:left="-63" w:leftChars="-30" w:right="-63" w:rightChars="-30"/>
                    <w:jc w:val="left"/>
                    <w:rPr>
                      <w:b w:val="0"/>
                      <w:bCs/>
                      <w:color w:val="000000" w:themeColor="text1"/>
                      <w:kern w:val="0"/>
                      <w:szCs w:val="21"/>
                      <w:highlight w:val="none"/>
                      <w14:textFill>
                        <w14:solidFill>
                          <w14:schemeClr w14:val="tx1"/>
                        </w14:solidFill>
                      </w14:textFill>
                    </w:rPr>
                  </w:pPr>
                  <w:r>
                    <w:rPr>
                      <w:rFonts w:hint="eastAsia"/>
                      <w:b w:val="0"/>
                      <w:bCs/>
                      <w:color w:val="0000FF"/>
                      <w:kern w:val="0"/>
                      <w:szCs w:val="21"/>
                      <w:highlight w:val="none"/>
                      <w:lang w:val="en-US" w:eastAsia="zh-CN"/>
                    </w:rPr>
                    <w:t>主</w:t>
                  </w:r>
                  <w:r>
                    <w:rPr>
                      <w:rFonts w:hint="eastAsia"/>
                      <w:b w:val="0"/>
                      <w:bCs/>
                      <w:color w:val="0000FF"/>
                      <w:kern w:val="0"/>
                      <w:szCs w:val="21"/>
                      <w:highlight w:val="none"/>
                    </w:rPr>
                    <w:t>变压器下方设置有效容积</w:t>
                  </w:r>
                  <w:r>
                    <w:rPr>
                      <w:rFonts w:hint="eastAsia"/>
                      <w:b w:val="0"/>
                      <w:bCs/>
                      <w:color w:val="0000FF"/>
                      <w:kern w:val="0"/>
                      <w:szCs w:val="21"/>
                      <w:highlight w:val="none"/>
                      <w:lang w:val="en-US" w:eastAsia="zh-CN"/>
                    </w:rPr>
                    <w:t>10</w:t>
                  </w:r>
                  <w:r>
                    <w:rPr>
                      <w:rFonts w:hint="eastAsia"/>
                      <w:b w:val="0"/>
                      <w:bCs/>
                      <w:color w:val="0000FF"/>
                      <w:kern w:val="0"/>
                      <w:szCs w:val="21"/>
                      <w:highlight w:val="none"/>
                    </w:rPr>
                    <w:t>m</w:t>
                  </w:r>
                  <w:r>
                    <w:rPr>
                      <w:rFonts w:hint="eastAsia"/>
                      <w:b w:val="0"/>
                      <w:bCs/>
                      <w:color w:val="0000FF"/>
                      <w:kern w:val="0"/>
                      <w:szCs w:val="21"/>
                      <w:highlight w:val="none"/>
                      <w:vertAlign w:val="superscript"/>
                    </w:rPr>
                    <w:t>3</w:t>
                  </w:r>
                  <w:r>
                    <w:rPr>
                      <w:rFonts w:hint="eastAsia"/>
                      <w:b w:val="0"/>
                      <w:bCs/>
                      <w:color w:val="0000FF"/>
                      <w:kern w:val="0"/>
                      <w:szCs w:val="21"/>
                      <w:highlight w:val="none"/>
                    </w:rPr>
                    <w:t>的储油坑，</w:t>
                  </w:r>
                  <w:r>
                    <w:rPr>
                      <w:rFonts w:hint="eastAsia"/>
                      <w:b w:val="0"/>
                      <w:bCs/>
                      <w:color w:val="000000" w:themeColor="text1"/>
                      <w:kern w:val="0"/>
                      <w:szCs w:val="21"/>
                      <w:highlight w:val="none"/>
                      <w14:textFill>
                        <w14:solidFill>
                          <w14:schemeClr w14:val="tx1"/>
                        </w14:solidFill>
                      </w14:textFill>
                    </w:rPr>
                    <w:t>变压器</w:t>
                  </w:r>
                  <w:r>
                    <w:rPr>
                      <w:rFonts w:hint="eastAsia"/>
                      <w:b w:val="0"/>
                      <w:bCs/>
                      <w:color w:val="000000" w:themeColor="text1"/>
                      <w:kern w:val="0"/>
                      <w:szCs w:val="21"/>
                      <w:highlight w:val="none"/>
                      <w:lang w:val="en-US" w:eastAsia="zh-CN"/>
                      <w14:textFill>
                        <w14:solidFill>
                          <w14:schemeClr w14:val="tx1"/>
                        </w14:solidFill>
                      </w14:textFill>
                    </w:rPr>
                    <w:t>北</w:t>
                  </w:r>
                  <w:r>
                    <w:rPr>
                      <w:rFonts w:hint="eastAsia"/>
                      <w:b w:val="0"/>
                      <w:bCs/>
                      <w:color w:val="000000" w:themeColor="text1"/>
                      <w:kern w:val="0"/>
                      <w:szCs w:val="21"/>
                      <w:highlight w:val="none"/>
                      <w14:textFill>
                        <w14:solidFill>
                          <w14:schemeClr w14:val="tx1"/>
                        </w14:solidFill>
                      </w14:textFill>
                    </w:rPr>
                    <w:t>侧设1座</w:t>
                  </w:r>
                  <w:r>
                    <w:rPr>
                      <w:rFonts w:hint="eastAsia"/>
                      <w:b w:val="0"/>
                      <w:bCs/>
                      <w:color w:val="000000" w:themeColor="text1"/>
                      <w:kern w:val="0"/>
                      <w:szCs w:val="21"/>
                      <w:highlight w:val="none"/>
                      <w:lang w:val="en-US" w:eastAsia="zh-CN"/>
                      <w14:textFill>
                        <w14:solidFill>
                          <w14:schemeClr w14:val="tx1"/>
                        </w14:solidFill>
                      </w14:textFill>
                    </w:rPr>
                    <w:t>40</w:t>
                  </w:r>
                  <w:r>
                    <w:rPr>
                      <w:rFonts w:hint="eastAsia"/>
                      <w:b w:val="0"/>
                      <w:bCs/>
                      <w:color w:val="000000" w:themeColor="text1"/>
                      <w:kern w:val="0"/>
                      <w:szCs w:val="21"/>
                      <w:highlight w:val="none"/>
                      <w14:textFill>
                        <w14:solidFill>
                          <w14:schemeClr w14:val="tx1"/>
                        </w14:solidFill>
                      </w14:textFill>
                    </w:rPr>
                    <w:t>m</w:t>
                  </w:r>
                  <w:r>
                    <w:rPr>
                      <w:rFonts w:hint="eastAsia"/>
                      <w:b w:val="0"/>
                      <w:bCs/>
                      <w:color w:val="000000" w:themeColor="text1"/>
                      <w:kern w:val="0"/>
                      <w:szCs w:val="21"/>
                      <w:highlight w:val="none"/>
                      <w:vertAlign w:val="superscript"/>
                      <w14:textFill>
                        <w14:solidFill>
                          <w14:schemeClr w14:val="tx1"/>
                        </w14:solidFill>
                      </w14:textFill>
                    </w:rPr>
                    <w:t>3</w:t>
                  </w:r>
                  <w:r>
                    <w:rPr>
                      <w:rFonts w:hint="eastAsia"/>
                      <w:b w:val="0"/>
                      <w:bCs/>
                      <w:color w:val="000000" w:themeColor="text1"/>
                      <w:kern w:val="0"/>
                      <w:szCs w:val="21"/>
                      <w:highlight w:val="none"/>
                      <w14:textFill>
                        <w14:solidFill>
                          <w14:schemeClr w14:val="tx1"/>
                        </w14:solidFill>
                      </w14:textFill>
                    </w:rPr>
                    <w:t>事故油池，钢筋混凝土结构。</w:t>
                  </w:r>
                </w:p>
              </w:tc>
            </w:tr>
            <w:tr w14:paraId="3B07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2" w:type="dxa"/>
                  <w:gridSpan w:val="3"/>
                  <w:tcBorders>
                    <w:tl2br w:val="nil"/>
                    <w:tr2bl w:val="nil"/>
                  </w:tcBorders>
                  <w:vAlign w:val="center"/>
                </w:tcPr>
                <w:p w14:paraId="1610C536">
                  <w:pPr>
                    <w:pStyle w:val="41"/>
                    <w:spacing w:line="240" w:lineRule="auto"/>
                    <w:ind w:left="-63" w:leftChars="-30" w:right="-63" w:rightChars="-30"/>
                    <w:rPr>
                      <w:rFonts w:ascii="Times New Roman" w:cs="Times New Roman"/>
                      <w:b w:val="0"/>
                      <w:bCs/>
                      <w:color w:val="000000" w:themeColor="text1"/>
                      <w:sz w:val="21"/>
                      <w:szCs w:val="21"/>
                      <w:highlight w:val="none"/>
                      <w14:textFill>
                        <w14:solidFill>
                          <w14:schemeClr w14:val="tx1"/>
                        </w14:solidFill>
                      </w14:textFill>
                    </w:rPr>
                  </w:pPr>
                  <w:r>
                    <w:rPr>
                      <w:rFonts w:hint="eastAsia" w:ascii="Times New Roman" w:cs="Times New Roman"/>
                      <w:b w:val="0"/>
                      <w:bCs/>
                      <w:color w:val="000000" w:themeColor="text1"/>
                      <w:sz w:val="21"/>
                      <w:szCs w:val="21"/>
                      <w:highlight w:val="none"/>
                      <w14:textFill>
                        <w14:solidFill>
                          <w14:schemeClr w14:val="tx1"/>
                        </w14:solidFill>
                      </w14:textFill>
                    </w:rPr>
                    <w:t>临时工程</w:t>
                  </w:r>
                </w:p>
              </w:tc>
              <w:tc>
                <w:tcPr>
                  <w:tcW w:w="6348" w:type="dxa"/>
                  <w:tcBorders>
                    <w:tl2br w:val="nil"/>
                    <w:tr2bl w:val="nil"/>
                  </w:tcBorders>
                  <w:vAlign w:val="center"/>
                </w:tcPr>
                <w:p w14:paraId="1C6A7499">
                  <w:pPr>
                    <w:ind w:left="-63" w:leftChars="-30" w:right="-63" w:rightChars="-30"/>
                    <w:jc w:val="left"/>
                    <w:rPr>
                      <w:b w:val="0"/>
                      <w:bCs/>
                      <w:color w:val="000000" w:themeColor="text1"/>
                      <w:kern w:val="0"/>
                      <w:szCs w:val="21"/>
                      <w:highlight w:val="none"/>
                      <w14:textFill>
                        <w14:solidFill>
                          <w14:schemeClr w14:val="tx1"/>
                        </w14:solidFill>
                      </w14:textFill>
                    </w:rPr>
                  </w:pPr>
                  <w:r>
                    <w:rPr>
                      <w:rFonts w:hint="eastAsia"/>
                      <w:b w:val="0"/>
                      <w:bCs/>
                      <w:color w:val="000000" w:themeColor="text1"/>
                      <w:kern w:val="0"/>
                      <w:szCs w:val="21"/>
                      <w:highlight w:val="none"/>
                      <w14:textFill>
                        <w14:solidFill>
                          <w14:schemeClr w14:val="tx1"/>
                        </w14:solidFill>
                      </w14:textFill>
                    </w:rPr>
                    <w:t>项目</w:t>
                  </w:r>
                  <w:r>
                    <w:rPr>
                      <w:rFonts w:hint="eastAsia"/>
                      <w:b w:val="0"/>
                      <w:bCs/>
                      <w:color w:val="000000" w:themeColor="text1"/>
                      <w:kern w:val="0"/>
                      <w:szCs w:val="21"/>
                      <w:highlight w:val="none"/>
                      <w:lang w:val="en-US" w:eastAsia="zh-CN"/>
                      <w14:textFill>
                        <w14:solidFill>
                          <w14:schemeClr w14:val="tx1"/>
                        </w14:solidFill>
                      </w14:textFill>
                    </w:rPr>
                    <w:t>于占地红线内</w:t>
                  </w:r>
                  <w:r>
                    <w:rPr>
                      <w:rFonts w:hint="eastAsia"/>
                      <w:b w:val="0"/>
                      <w:bCs/>
                      <w:color w:val="000000" w:themeColor="text1"/>
                      <w:kern w:val="0"/>
                      <w:szCs w:val="21"/>
                      <w:highlight w:val="none"/>
                      <w14:textFill>
                        <w14:solidFill>
                          <w14:schemeClr w14:val="tx1"/>
                        </w14:solidFill>
                      </w14:textFill>
                    </w:rPr>
                    <w:t>设置</w:t>
                  </w:r>
                  <w:r>
                    <w:rPr>
                      <w:rFonts w:hint="eastAsia"/>
                      <w:b w:val="0"/>
                      <w:bCs/>
                      <w:color w:val="000000" w:themeColor="text1"/>
                      <w:kern w:val="0"/>
                      <w:szCs w:val="21"/>
                      <w:highlight w:val="none"/>
                      <w:lang w:val="en-US" w:eastAsia="zh-CN"/>
                      <w14:textFill>
                        <w14:solidFill>
                          <w14:schemeClr w14:val="tx1"/>
                        </w14:solidFill>
                      </w14:textFill>
                    </w:rPr>
                    <w:t>1座</w:t>
                  </w:r>
                  <w:r>
                    <w:rPr>
                      <w:rFonts w:hint="eastAsia"/>
                      <w:b w:val="0"/>
                      <w:bCs/>
                      <w:color w:val="000000" w:themeColor="text1"/>
                      <w:kern w:val="0"/>
                      <w:szCs w:val="21"/>
                      <w:highlight w:val="none"/>
                      <w14:textFill>
                        <w14:solidFill>
                          <w14:schemeClr w14:val="tx1"/>
                        </w14:solidFill>
                      </w14:textFill>
                    </w:rPr>
                    <w:t>施工营地，包括施工生活区，综合加工厂和综合仓库等。</w:t>
                  </w:r>
                </w:p>
              </w:tc>
            </w:tr>
          </w:tbl>
          <w:p w14:paraId="6AD93F35">
            <w:pPr>
              <w:pStyle w:val="60"/>
              <w:keepNext w:val="0"/>
              <w:keepLines w:val="0"/>
              <w:pageBreakBefore w:val="0"/>
              <w:widowControl w:val="0"/>
              <w:suppressLineNumbers w:val="0"/>
              <w:kinsoku/>
              <w:wordWrap/>
              <w:overflowPunct w:val="0"/>
              <w:topLinePunct w:val="0"/>
              <w:autoSpaceDE/>
              <w:autoSpaceDN/>
              <w:bidi w:val="0"/>
              <w:adjustRightInd/>
              <w:snapToGrid w:val="0"/>
              <w:spacing w:before="313" w:beforeLines="100" w:beforeAutospacing="0" w:after="0" w:afterLines="0" w:afterAutospacing="0" w:line="240" w:lineRule="auto"/>
              <w:ind w:left="0" w:right="0"/>
              <w:jc w:val="center"/>
              <w:textAlignment w:val="auto"/>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表2-</w:t>
            </w:r>
            <w:r>
              <w:rPr>
                <w:rFonts w:hint="eastAsia" w:ascii="Times New Roman" w:cs="Times New Roman"/>
                <w:b/>
                <w:bCs/>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杆塔数量一览表</w:t>
            </w:r>
          </w:p>
          <w:tbl>
            <w:tblPr>
              <w:tblStyle w:val="32"/>
              <w:tblW w:w="83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
              <w:gridCol w:w="1675"/>
              <w:gridCol w:w="642"/>
              <w:gridCol w:w="590"/>
              <w:gridCol w:w="590"/>
              <w:gridCol w:w="590"/>
              <w:gridCol w:w="590"/>
              <w:gridCol w:w="590"/>
              <w:gridCol w:w="590"/>
              <w:gridCol w:w="626"/>
              <w:gridCol w:w="633"/>
              <w:gridCol w:w="847"/>
            </w:tblGrid>
            <w:tr w14:paraId="3ACE0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71" w:type="pct"/>
                  <w:vMerge w:val="restart"/>
                  <w:tcBorders>
                    <w:top w:val="single" w:color="000000" w:sz="4" w:space="0"/>
                    <w:left w:val="single" w:color="000000" w:sz="4" w:space="0"/>
                    <w:right w:val="single" w:color="000000" w:sz="4" w:space="0"/>
                  </w:tcBorders>
                  <w:shd w:val="clear" w:color="auto" w:fill="auto"/>
                  <w:vAlign w:val="center"/>
                </w:tcPr>
                <w:p w14:paraId="504CABC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序号</w:t>
                  </w:r>
                </w:p>
              </w:tc>
              <w:tc>
                <w:tcPr>
                  <w:tcW w:w="1023" w:type="pct"/>
                  <w:vMerge w:val="restart"/>
                  <w:tcBorders>
                    <w:top w:val="single" w:color="000000" w:sz="4" w:space="0"/>
                    <w:left w:val="single" w:color="000000" w:sz="4" w:space="0"/>
                    <w:right w:val="single" w:color="000000" w:sz="4" w:space="0"/>
                  </w:tcBorders>
                  <w:shd w:val="clear" w:color="auto" w:fill="auto"/>
                  <w:vAlign w:val="center"/>
                </w:tcPr>
                <w:p w14:paraId="3E50034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杆塔型号</w:t>
                  </w:r>
                </w:p>
              </w:tc>
              <w:tc>
                <w:tcPr>
                  <w:tcW w:w="31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4EBE9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杆塔数量</w:t>
                  </w:r>
                </w:p>
              </w:tc>
              <w:tc>
                <w:tcPr>
                  <w:tcW w:w="550" w:type="pct"/>
                  <w:vMerge w:val="restart"/>
                  <w:tcBorders>
                    <w:top w:val="single" w:color="000000" w:sz="4" w:space="0"/>
                    <w:left w:val="single" w:color="000000" w:sz="4" w:space="0"/>
                    <w:right w:val="single" w:color="000000" w:sz="4" w:space="0"/>
                  </w:tcBorders>
                  <w:shd w:val="clear" w:color="auto" w:fill="auto"/>
                  <w:vAlign w:val="center"/>
                </w:tcPr>
                <w:p w14:paraId="08D5D89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备注</w:t>
                  </w:r>
                </w:p>
              </w:tc>
            </w:tr>
            <w:tr w14:paraId="0D50F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1" w:type="pct"/>
                  <w:vMerge w:val="continue"/>
                  <w:tcBorders>
                    <w:left w:val="single" w:color="000000" w:sz="4" w:space="0"/>
                    <w:bottom w:val="single" w:color="000000" w:sz="4" w:space="0"/>
                    <w:right w:val="single" w:color="000000" w:sz="4" w:space="0"/>
                  </w:tcBorders>
                  <w:shd w:val="clear" w:color="auto" w:fill="auto"/>
                  <w:vAlign w:val="center"/>
                </w:tcPr>
                <w:p w14:paraId="0DE6E95F">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1023" w:type="pct"/>
                  <w:vMerge w:val="continue"/>
                  <w:tcBorders>
                    <w:left w:val="single" w:color="000000" w:sz="4" w:space="0"/>
                    <w:bottom w:val="single" w:color="000000" w:sz="4" w:space="0"/>
                    <w:right w:val="single" w:color="000000" w:sz="4" w:space="0"/>
                  </w:tcBorders>
                  <w:shd w:val="clear" w:color="auto" w:fill="auto"/>
                  <w:vAlign w:val="center"/>
                </w:tcPr>
                <w:p w14:paraId="207E9DCF">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7AC0F">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8.5</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2C4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10</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A93E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13</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9C10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15</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830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18</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585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21</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7EC7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24</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81CC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27</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6F8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30</w:t>
                  </w:r>
                  <w:r>
                    <w:rPr>
                      <w:rFonts w:hint="eastAsia"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m</w:t>
                  </w:r>
                </w:p>
              </w:tc>
              <w:tc>
                <w:tcPr>
                  <w:tcW w:w="550" w:type="pct"/>
                  <w:vMerge w:val="continue"/>
                  <w:tcBorders>
                    <w:left w:val="single" w:color="000000" w:sz="4" w:space="0"/>
                    <w:bottom w:val="single" w:color="000000" w:sz="4" w:space="0"/>
                    <w:right w:val="single" w:color="000000" w:sz="4" w:space="0"/>
                  </w:tcBorders>
                  <w:shd w:val="clear" w:color="auto" w:fill="auto"/>
                  <w:vAlign w:val="center"/>
                </w:tcPr>
                <w:p w14:paraId="4F89E0C0">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r>
            <w:tr w14:paraId="2999F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67367">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CAFF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110-CJ21D-ZM3</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CDE3">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9514">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E2A7">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39502">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36518">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5D06">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A352">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7750">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E5DD0">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97F7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单回路</w:t>
                  </w:r>
                </w:p>
              </w:tc>
            </w:tr>
            <w:tr w14:paraId="1B0FA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9D52">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3</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BF4F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110-CJ21D-J1</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7EDD7">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07B9">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5FCC">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06360">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2954">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47D0">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C5B1">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F994">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A1EF6">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8A47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单回路</w:t>
                  </w:r>
                </w:p>
              </w:tc>
            </w:tr>
            <w:tr w14:paraId="17A30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1D6F1">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4</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C5A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110-CJ21D-J2</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BCCAC">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DB369">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402DB">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E1B54">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ED3D">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B9DA">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3202">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C367A">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32571">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9F9E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单回路</w:t>
                  </w:r>
                </w:p>
              </w:tc>
            </w:tr>
            <w:tr w14:paraId="1124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EF57">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5</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EC0A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110-CJ21D-J3</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C92F8">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52D7B">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5745">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28A1">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C1E7C">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777A1">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7F4F">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A7196">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D2BBE">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C68F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单回路</w:t>
                  </w:r>
                </w:p>
              </w:tc>
            </w:tr>
            <w:tr w14:paraId="05238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F6C16">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6</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A224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110-CJ21D-J4</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4075B">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D75D">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B5B6">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D370">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EB0F8">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A9A3">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81DBA">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3CEBA">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DEC20">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D5FA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单回路</w:t>
                  </w:r>
                </w:p>
              </w:tc>
            </w:tr>
            <w:tr w14:paraId="58F71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648D2">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6</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491B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110-CJ21D-DJ</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17E3">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EBA6">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7EB2">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11371">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3C51">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0CA3">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61E20">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8261">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86FEC">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C99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单回路</w:t>
                  </w:r>
                </w:p>
              </w:tc>
            </w:tr>
            <w:tr w14:paraId="28529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B76B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合计：</w:t>
                  </w:r>
                </w:p>
              </w:tc>
              <w:tc>
                <w:tcPr>
                  <w:tcW w:w="31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DA0A0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16基</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8E625">
                  <w:pPr>
                    <w:jc w:val="left"/>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r>
          </w:tbl>
          <w:p w14:paraId="7DCC915F">
            <w:pPr>
              <w:adjustRightInd w:val="0"/>
              <w:snapToGrid w:val="0"/>
              <w:spacing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劳动定员及工作制度</w:t>
            </w:r>
          </w:p>
          <w:p w14:paraId="2BF1F256">
            <w:pPr>
              <w:widowControl/>
              <w:spacing w:line="360" w:lineRule="auto"/>
              <w:ind w:firstLine="480" w:firstLineChars="200"/>
              <w:jc w:val="left"/>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本项目年运行时</w:t>
            </w:r>
            <w:r>
              <w:rPr>
                <w:rFonts w:hint="eastAsia"/>
                <w:bCs/>
                <w:color w:val="000000" w:themeColor="text1"/>
                <w:sz w:val="24"/>
                <w:highlight w:val="none"/>
                <w:lang w:eastAsia="zh-CN"/>
                <w14:textFill>
                  <w14:solidFill>
                    <w14:schemeClr w14:val="tx1"/>
                  </w14:solidFill>
                </w14:textFill>
              </w:rPr>
              <w:t>间为</w:t>
            </w:r>
            <w:r>
              <w:rPr>
                <w:bCs/>
                <w:color w:val="000000" w:themeColor="text1"/>
                <w:sz w:val="24"/>
                <w:highlight w:val="none"/>
                <w14:textFill>
                  <w14:solidFill>
                    <w14:schemeClr w14:val="tx1"/>
                  </w14:solidFill>
                </w14:textFill>
              </w:rPr>
              <w:t>365天。</w:t>
            </w:r>
            <w:r>
              <w:rPr>
                <w:rFonts w:hint="eastAsia"/>
                <w:bCs/>
                <w:color w:val="000000" w:themeColor="text1"/>
                <w:sz w:val="24"/>
                <w:highlight w:val="none"/>
                <w14:textFill>
                  <w14:solidFill>
                    <w14:schemeClr w14:val="tx1"/>
                  </w14:solidFill>
                </w14:textFill>
              </w:rPr>
              <w:t>劳动定员</w:t>
            </w:r>
            <w:r>
              <w:rPr>
                <w:rFonts w:hint="eastAsia"/>
                <w:bCs/>
                <w:color w:val="000000" w:themeColor="text1"/>
                <w:sz w:val="24"/>
                <w:highlight w:val="none"/>
                <w:lang w:val="en-US" w:eastAsia="zh-CN"/>
                <w14:textFill>
                  <w14:solidFill>
                    <w14:schemeClr w14:val="tx1"/>
                  </w14:solidFill>
                </w14:textFill>
              </w:rPr>
              <w:t>8</w:t>
            </w:r>
            <w:r>
              <w:rPr>
                <w:rFonts w:hint="eastAsia"/>
                <w:bCs/>
                <w:color w:val="000000" w:themeColor="text1"/>
                <w:sz w:val="24"/>
                <w:highlight w:val="none"/>
                <w14:textFill>
                  <w14:solidFill>
                    <w14:schemeClr w14:val="tx1"/>
                  </w14:solidFill>
                </w14:textFill>
              </w:rPr>
              <w:t>人。</w:t>
            </w:r>
          </w:p>
          <w:p w14:paraId="7BEA8B5B">
            <w:pPr>
              <w:adjustRightInd w:val="0"/>
              <w:snapToGrid w:val="0"/>
              <w:spacing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w:t>
            </w:r>
            <w:r>
              <w:rPr>
                <w:b/>
                <w:color w:val="000000" w:themeColor="text1"/>
                <w:sz w:val="24"/>
                <w:highlight w:val="none"/>
                <w14:textFill>
                  <w14:solidFill>
                    <w14:schemeClr w14:val="tx1"/>
                  </w14:solidFill>
                </w14:textFill>
              </w:rPr>
              <w:t>公用工程</w:t>
            </w:r>
          </w:p>
          <w:p w14:paraId="6FF11226">
            <w:pPr>
              <w:widowControl/>
              <w:spacing w:line="360" w:lineRule="auto"/>
              <w:ind w:firstLine="480" w:firstLineChars="200"/>
              <w:jc w:val="left"/>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bCs/>
                <w:color w:val="000000" w:themeColor="text1"/>
                <w:sz w:val="24"/>
                <w:highlight w:val="none"/>
                <w14:textFill>
                  <w14:solidFill>
                    <w14:schemeClr w14:val="tx1"/>
                  </w14:solidFill>
                </w14:textFill>
              </w:rPr>
              <w:t>）给排水</w:t>
            </w:r>
          </w:p>
          <w:p w14:paraId="0E5231D2">
            <w:pPr>
              <w:widowControl/>
              <w:spacing w:line="360" w:lineRule="auto"/>
              <w:ind w:firstLine="480" w:firstLineChars="200"/>
              <w:jc w:val="both"/>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本项目用水主要为</w:t>
            </w:r>
            <w:r>
              <w:rPr>
                <w:rFonts w:hint="eastAsia"/>
                <w:bCs/>
                <w:color w:val="000000" w:themeColor="text1"/>
                <w:sz w:val="24"/>
                <w:highlight w:val="none"/>
                <w14:textFill>
                  <w14:solidFill>
                    <w14:schemeClr w14:val="tx1"/>
                  </w14:solidFill>
                </w14:textFill>
              </w:rPr>
              <w:t>生活用水，</w:t>
            </w:r>
            <w:r>
              <w:rPr>
                <w:bCs/>
                <w:color w:val="000000" w:themeColor="text1"/>
                <w:sz w:val="24"/>
                <w:highlight w:val="none"/>
                <w14:textFill>
                  <w14:solidFill>
                    <w14:schemeClr w14:val="tx1"/>
                  </w14:solidFill>
                </w14:textFill>
              </w:rPr>
              <w:t>本项目</w:t>
            </w:r>
            <w:r>
              <w:rPr>
                <w:rFonts w:hint="eastAsia"/>
                <w:bCs/>
                <w:color w:val="000000" w:themeColor="text1"/>
                <w:sz w:val="24"/>
                <w:highlight w:val="none"/>
                <w:lang w:val="en-US" w:eastAsia="zh-CN"/>
                <w14:textFill>
                  <w14:solidFill>
                    <w14:schemeClr w14:val="tx1"/>
                  </w14:solidFill>
                </w14:textFill>
              </w:rPr>
              <w:t>西侧距离托克逊能源重化工工业园区300m，市政管网已铺设，</w:t>
            </w:r>
            <w:r>
              <w:rPr>
                <w:bCs/>
                <w:color w:val="000000" w:themeColor="text1"/>
                <w:sz w:val="24"/>
                <w:highlight w:val="none"/>
                <w14:textFill>
                  <w14:solidFill>
                    <w14:schemeClr w14:val="tx1"/>
                  </w14:solidFill>
                </w14:textFill>
              </w:rPr>
              <w:t>用水</w:t>
            </w:r>
            <w:r>
              <w:rPr>
                <w:rFonts w:hint="eastAsia"/>
                <w:bCs/>
                <w:color w:val="000000" w:themeColor="text1"/>
                <w:sz w:val="24"/>
                <w:highlight w:val="none"/>
                <w:lang w:val="en-US" w:eastAsia="zh-CN"/>
                <w14:textFill>
                  <w14:solidFill>
                    <w14:schemeClr w14:val="tx1"/>
                  </w14:solidFill>
                </w14:textFill>
              </w:rPr>
              <w:t>由</w:t>
            </w:r>
            <w:r>
              <w:rPr>
                <w:rFonts w:hint="eastAsia"/>
                <w:bCs/>
                <w:color w:val="000000" w:themeColor="text1"/>
                <w:sz w:val="24"/>
                <w:highlight w:val="none"/>
                <w14:textFill>
                  <w14:solidFill>
                    <w14:schemeClr w14:val="tx1"/>
                  </w14:solidFill>
                </w14:textFill>
              </w:rPr>
              <w:t>附近市政管网引入</w:t>
            </w:r>
            <w:r>
              <w:rPr>
                <w:rFonts w:hint="eastAsia"/>
                <w:bCs/>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项目不涉及供水管道工程，供水管道工程由市政供水公司建设，最终以市政接入批复为准</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p>
          <w:p w14:paraId="024DFC11">
            <w:pPr>
              <w:widowControl/>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1）给水</w:t>
            </w:r>
          </w:p>
          <w:p w14:paraId="04CBC330">
            <w:pPr>
              <w:adjustRightInd w:val="0"/>
              <w:snapToGrid w:val="0"/>
              <w:spacing w:line="360" w:lineRule="auto"/>
              <w:ind w:firstLine="480" w:firstLineChars="200"/>
              <w:rPr>
                <w:color w:val="000000" w:themeColor="text1"/>
                <w:kern w:val="0"/>
                <w:sz w:val="24"/>
                <w:highlight w:val="none"/>
                <w:lang w:bidi="ar"/>
                <w14:textFill>
                  <w14:solidFill>
                    <w14:schemeClr w14:val="tx1"/>
                  </w14:solidFill>
                </w14:textFill>
              </w:rPr>
            </w:pPr>
            <w:r>
              <w:rPr>
                <w:color w:val="000000" w:themeColor="text1"/>
                <w:sz w:val="24"/>
                <w:highlight w:val="none"/>
                <w14:textFill>
                  <w14:solidFill>
                    <w14:schemeClr w14:val="tx1"/>
                  </w14:solidFill>
                </w14:textFill>
              </w:rPr>
              <w:t>根据《新疆维吾尔自治区生活用水定额》可知，本项目生活用水量按每人60L/d，生活用水总量为</w:t>
            </w:r>
            <w:r>
              <w:rPr>
                <w:rFonts w:hint="eastAsia"/>
                <w:color w:val="000000" w:themeColor="text1"/>
                <w:sz w:val="24"/>
                <w:highlight w:val="none"/>
                <w:lang w:val="en-US" w:eastAsia="zh-CN"/>
                <w14:textFill>
                  <w14:solidFill>
                    <w14:schemeClr w14:val="tx1"/>
                  </w14:solidFill>
                </w14:textFill>
              </w:rPr>
              <w:t>0.48</w:t>
            </w:r>
            <w:r>
              <w:rPr>
                <w:color w:val="000000" w:themeColor="text1"/>
                <w:sz w:val="24"/>
                <w:highlight w:val="none"/>
                <w14:textFill>
                  <w14:solidFill>
                    <w14:schemeClr w14:val="tx1"/>
                  </w14:solidFill>
                </w14:textFill>
              </w:rPr>
              <w:t>m</w:t>
            </w:r>
            <w:r>
              <w:rPr>
                <w:color w:val="000000" w:themeColor="text1"/>
                <w:sz w:val="24"/>
                <w:highlight w:val="none"/>
                <w:vertAlign w:val="superscript"/>
                <w14:textFill>
                  <w14:solidFill>
                    <w14:schemeClr w14:val="tx1"/>
                  </w14:solidFill>
                </w14:textFill>
              </w:rPr>
              <w:t>3</w:t>
            </w:r>
            <w:r>
              <w:rPr>
                <w:color w:val="000000" w:themeColor="text1"/>
                <w:sz w:val="24"/>
                <w:highlight w:val="none"/>
                <w14:textFill>
                  <w14:solidFill>
                    <w14:schemeClr w14:val="tx1"/>
                  </w14:solidFill>
                </w14:textFill>
              </w:rPr>
              <w:t>/d（</w:t>
            </w:r>
            <w:r>
              <w:rPr>
                <w:rFonts w:hint="eastAsia"/>
                <w:color w:val="000000" w:themeColor="text1"/>
                <w:sz w:val="24"/>
                <w:highlight w:val="none"/>
                <w:lang w:val="en-US" w:eastAsia="zh-CN"/>
                <w14:textFill>
                  <w14:solidFill>
                    <w14:schemeClr w14:val="tx1"/>
                  </w14:solidFill>
                </w14:textFill>
              </w:rPr>
              <w:t>175.2</w:t>
            </w:r>
            <w:r>
              <w:rPr>
                <w:color w:val="000000" w:themeColor="text1"/>
                <w:sz w:val="24"/>
                <w:highlight w:val="none"/>
                <w14:textFill>
                  <w14:solidFill>
                    <w14:schemeClr w14:val="tx1"/>
                  </w14:solidFill>
                </w14:textFill>
              </w:rPr>
              <w:t>m</w:t>
            </w:r>
            <w:r>
              <w:rPr>
                <w:color w:val="000000" w:themeColor="text1"/>
                <w:sz w:val="24"/>
                <w:highlight w:val="none"/>
                <w:vertAlign w:val="superscript"/>
                <w14:textFill>
                  <w14:solidFill>
                    <w14:schemeClr w14:val="tx1"/>
                  </w14:solidFill>
                </w14:textFill>
              </w:rPr>
              <w:t>3</w:t>
            </w:r>
            <w:r>
              <w:rPr>
                <w:color w:val="000000" w:themeColor="text1"/>
                <w:sz w:val="24"/>
                <w:highlight w:val="none"/>
                <w14:textFill>
                  <w14:solidFill>
                    <w14:schemeClr w14:val="tx1"/>
                  </w14:solidFill>
                </w14:textFill>
              </w:rPr>
              <w:t>/a）</w:t>
            </w:r>
            <w:r>
              <w:rPr>
                <w:color w:val="000000" w:themeColor="text1"/>
                <w:kern w:val="0"/>
                <w:sz w:val="24"/>
                <w:highlight w:val="none"/>
                <w:lang w:bidi="ar"/>
                <w14:textFill>
                  <w14:solidFill>
                    <w14:schemeClr w14:val="tx1"/>
                  </w14:solidFill>
                </w14:textFill>
              </w:rPr>
              <w:t>。</w:t>
            </w:r>
          </w:p>
          <w:p w14:paraId="180BC5F5">
            <w:pPr>
              <w:widowControl/>
              <w:numPr>
                <w:ilvl w:val="0"/>
                <w:numId w:val="3"/>
              </w:numPr>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排水</w:t>
            </w:r>
          </w:p>
          <w:p w14:paraId="16B61759">
            <w:pPr>
              <w:pStyle w:val="15"/>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ascii="Times New Roman" w:hAnsi="Times New Roman" w:cs="Times New Roman"/>
                <w:bCs/>
                <w:color w:val="000000" w:themeColor="text1"/>
                <w:kern w:val="0"/>
                <w:sz w:val="24"/>
                <w:szCs w:val="24"/>
                <w:highlight w:val="none"/>
                <w14:textFill>
                  <w14:solidFill>
                    <w14:schemeClr w14:val="tx1"/>
                  </w14:solidFill>
                </w14:textFill>
              </w:rPr>
              <w:t>生活污水量按</w:t>
            </w:r>
            <w:r>
              <w:rPr>
                <w:rFonts w:ascii="Times New Roman" w:hAnsi="Times New Roman" w:cs="Times New Roman"/>
                <w:color w:val="000000" w:themeColor="text1"/>
                <w:sz w:val="24"/>
                <w:szCs w:val="24"/>
                <w:highlight w:val="none"/>
                <w14:textFill>
                  <w14:solidFill>
                    <w14:schemeClr w14:val="tx1"/>
                  </w14:solidFill>
                </w14:textFill>
              </w:rPr>
              <w:t>生活用水总量</w:t>
            </w:r>
            <w:r>
              <w:rPr>
                <w:rFonts w:hint="eastAsia" w:ascii="Times New Roman" w:hAnsi="Times New Roman" w:cs="Times New Roman"/>
                <w:color w:val="000000" w:themeColor="text1"/>
                <w:sz w:val="24"/>
                <w:szCs w:val="24"/>
                <w:highlight w:val="none"/>
                <w14:textFill>
                  <w14:solidFill>
                    <w14:schemeClr w14:val="tx1"/>
                  </w14:solidFill>
                </w14:textFill>
              </w:rPr>
              <w:t>的</w:t>
            </w:r>
            <w:r>
              <w:rPr>
                <w:rFonts w:ascii="Times New Roman" w:hAnsi="Times New Roman" w:cs="Times New Roman"/>
                <w:bCs/>
                <w:color w:val="000000" w:themeColor="text1"/>
                <w:kern w:val="0"/>
                <w:sz w:val="24"/>
                <w:szCs w:val="24"/>
                <w:highlight w:val="none"/>
                <w14:textFill>
                  <w14:solidFill>
                    <w14:schemeClr w14:val="tx1"/>
                  </w14:solidFill>
                </w14:textFill>
              </w:rPr>
              <w:t>80%计，则</w:t>
            </w:r>
            <w:r>
              <w:rPr>
                <w:rFonts w:hint="eastAsia" w:ascii="Times New Roman" w:hAnsi="Times New Roman" w:cs="Times New Roman"/>
                <w:bCs/>
                <w:color w:val="000000" w:themeColor="text1"/>
                <w:kern w:val="0"/>
                <w:sz w:val="24"/>
                <w:szCs w:val="24"/>
                <w:highlight w:val="none"/>
                <w14:textFill>
                  <w14:solidFill>
                    <w14:schemeClr w14:val="tx1"/>
                  </w14:solidFill>
                </w14:textFill>
              </w:rPr>
              <w:t>升压站</w:t>
            </w:r>
            <w:r>
              <w:rPr>
                <w:rFonts w:ascii="Times New Roman" w:hAnsi="Times New Roman" w:cs="Times New Roman"/>
                <w:bCs/>
                <w:color w:val="000000" w:themeColor="text1"/>
                <w:kern w:val="0"/>
                <w:sz w:val="24"/>
                <w:szCs w:val="24"/>
                <w:highlight w:val="none"/>
                <w14:textFill>
                  <w14:solidFill>
                    <w14:schemeClr w14:val="tx1"/>
                  </w14:solidFill>
                </w14:textFill>
              </w:rPr>
              <w:t>生活污水产生量为</w:t>
            </w:r>
            <w:r>
              <w:rPr>
                <w:rFonts w:hint="eastAsia" w:ascii="Times New Roman" w:hAnsi="Times New Roman" w:cs="Times New Roman"/>
                <w:bCs/>
                <w:color w:val="000000" w:themeColor="text1"/>
                <w:kern w:val="0"/>
                <w:sz w:val="24"/>
                <w:szCs w:val="24"/>
                <w:highlight w:val="none"/>
                <w:lang w:val="en-US" w:eastAsia="zh-CN"/>
                <w14:textFill>
                  <w14:solidFill>
                    <w14:schemeClr w14:val="tx1"/>
                  </w14:solidFill>
                </w14:textFill>
              </w:rPr>
              <w:t>0.384</w:t>
            </w:r>
            <w:r>
              <w:rPr>
                <w:rFonts w:ascii="Times New Roman" w:hAnsi="Times New Roman" w:cs="Times New Roman"/>
                <w:bCs/>
                <w:color w:val="000000" w:themeColor="text1"/>
                <w:kern w:val="0"/>
                <w:sz w:val="24"/>
                <w:szCs w:val="24"/>
                <w:highlight w:val="none"/>
                <w14:textFill>
                  <w14:solidFill>
                    <w14:schemeClr w14:val="tx1"/>
                  </w14:solidFill>
                </w14:textFill>
              </w:rPr>
              <w:t>m</w:t>
            </w:r>
            <w:r>
              <w:rPr>
                <w:rFonts w:ascii="Times New Roman" w:hAnsi="Times New Roman" w:cs="Times New Roman"/>
                <w:bCs/>
                <w:color w:val="000000" w:themeColor="text1"/>
                <w:kern w:val="0"/>
                <w:sz w:val="24"/>
                <w:szCs w:val="24"/>
                <w:highlight w:val="none"/>
                <w:vertAlign w:val="superscript"/>
                <w14:textFill>
                  <w14:solidFill>
                    <w14:schemeClr w14:val="tx1"/>
                  </w14:solidFill>
                </w14:textFill>
              </w:rPr>
              <w:t>3</w:t>
            </w:r>
            <w:r>
              <w:rPr>
                <w:rFonts w:ascii="Times New Roman" w:hAnsi="Times New Roman" w:cs="Times New Roman"/>
                <w:bCs/>
                <w:color w:val="000000" w:themeColor="text1"/>
                <w:kern w:val="0"/>
                <w:sz w:val="24"/>
                <w:szCs w:val="24"/>
                <w:highlight w:val="none"/>
                <w14:textFill>
                  <w14:solidFill>
                    <w14:schemeClr w14:val="tx1"/>
                  </w14:solidFill>
                </w14:textFill>
              </w:rPr>
              <w:t>/d（</w:t>
            </w:r>
            <w:r>
              <w:rPr>
                <w:rFonts w:hint="eastAsia" w:ascii="Times New Roman" w:hAnsi="Times New Roman" w:cs="Times New Roman"/>
                <w:bCs/>
                <w:color w:val="000000" w:themeColor="text1"/>
                <w:kern w:val="0"/>
                <w:sz w:val="24"/>
                <w:szCs w:val="24"/>
                <w:highlight w:val="none"/>
                <w:lang w:val="en-US" w:eastAsia="zh-CN"/>
                <w14:textFill>
                  <w14:solidFill>
                    <w14:schemeClr w14:val="tx1"/>
                  </w14:solidFill>
                </w14:textFill>
              </w:rPr>
              <w:t>140.16</w:t>
            </w:r>
            <w:r>
              <w:rPr>
                <w:rFonts w:ascii="Times New Roman" w:hAnsi="Times New Roman" w:cs="Times New Roman"/>
                <w:bCs/>
                <w:color w:val="000000" w:themeColor="text1"/>
                <w:kern w:val="0"/>
                <w:sz w:val="24"/>
                <w:szCs w:val="24"/>
                <w:highlight w:val="none"/>
                <w14:textFill>
                  <w14:solidFill>
                    <w14:schemeClr w14:val="tx1"/>
                  </w14:solidFill>
                </w14:textFill>
              </w:rPr>
              <w:t>m</w:t>
            </w:r>
            <w:r>
              <w:rPr>
                <w:rFonts w:ascii="Times New Roman" w:hAnsi="Times New Roman" w:cs="Times New Roman"/>
                <w:bCs/>
                <w:color w:val="000000" w:themeColor="text1"/>
                <w:kern w:val="0"/>
                <w:sz w:val="24"/>
                <w:szCs w:val="24"/>
                <w:highlight w:val="none"/>
                <w:vertAlign w:val="superscript"/>
                <w14:textFill>
                  <w14:solidFill>
                    <w14:schemeClr w14:val="tx1"/>
                  </w14:solidFill>
                </w14:textFill>
              </w:rPr>
              <w:t>3</w:t>
            </w:r>
            <w:r>
              <w:rPr>
                <w:rFonts w:ascii="Times New Roman" w:hAnsi="Times New Roman" w:cs="Times New Roman"/>
                <w:bCs/>
                <w:color w:val="000000" w:themeColor="text1"/>
                <w:kern w:val="0"/>
                <w:sz w:val="24"/>
                <w:szCs w:val="24"/>
                <w:highlight w:val="none"/>
                <w14:textFill>
                  <w14:solidFill>
                    <w14:schemeClr w14:val="tx1"/>
                  </w14:solidFill>
                </w14:textFill>
              </w:rPr>
              <w:t>/a）</w:t>
            </w:r>
            <w:r>
              <w:rPr>
                <w:rFonts w:hint="eastAsia" w:ascii="Times New Roman" w:hAnsi="Times New Roman" w:cs="Times New Roman"/>
                <w:bCs/>
                <w:color w:val="000000" w:themeColor="text1"/>
                <w:kern w:val="0"/>
                <w:sz w:val="24"/>
                <w:szCs w:val="24"/>
                <w:highlight w:val="none"/>
                <w14:textFill>
                  <w14:solidFill>
                    <w14:schemeClr w14:val="tx1"/>
                  </w14:solidFill>
                </w14:textFill>
              </w:rPr>
              <w:t>，生活污水</w:t>
            </w:r>
            <w:r>
              <w:rPr>
                <w:rFonts w:hint="eastAsia" w:ascii="Times New Roman" w:hAnsi="Times New Roman" w:cs="Times New Roman"/>
                <w:color w:val="000000" w:themeColor="text1"/>
                <w:sz w:val="24"/>
                <w:szCs w:val="24"/>
                <w:highlight w:val="none"/>
                <w14:textFill>
                  <w14:solidFill>
                    <w14:schemeClr w14:val="tx1"/>
                  </w14:solidFill>
                </w14:textFill>
              </w:rPr>
              <w:t>经一体化污水处理设备处理后满足《农村生活污水处理排放标准》（DB654275-2019）表2中</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eastAsia" w:ascii="Times New Roman" w:hAnsi="Times New Roman" w:cs="Times New Roman"/>
                <w:color w:val="000000" w:themeColor="text1"/>
                <w:sz w:val="24"/>
                <w:szCs w:val="24"/>
                <w:highlight w:val="none"/>
                <w14:textFill>
                  <w14:solidFill>
                    <w14:schemeClr w14:val="tx1"/>
                  </w14:solidFill>
                </w14:textFill>
              </w:rPr>
              <w:t>级标准后用于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站内</w:t>
            </w:r>
            <w:r>
              <w:rPr>
                <w:rFonts w:hint="eastAsia" w:ascii="Times New Roman" w:hAnsi="Times New Roman" w:cs="Times New Roman"/>
                <w:color w:val="000000" w:themeColor="text1"/>
                <w:sz w:val="24"/>
                <w:szCs w:val="24"/>
                <w:highlight w:val="none"/>
                <w14:textFill>
                  <w14:solidFill>
                    <w14:schemeClr w14:val="tx1"/>
                  </w14:solidFill>
                </w14:textFill>
              </w:rPr>
              <w:t>绿化及生态恢复</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冬季出水排入新建50m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集水池内存储，用于下一年站址绿化</w:t>
            </w:r>
            <w:r>
              <w:rPr>
                <w:rFonts w:hint="eastAsia" w:ascii="Times New Roman" w:hAnsi="Times New Roman" w:cs="Times New Roman"/>
                <w:color w:val="000000" w:themeColor="text1"/>
                <w:sz w:val="24"/>
                <w:szCs w:val="24"/>
                <w:highlight w:val="none"/>
                <w14:textFill>
                  <w14:solidFill>
                    <w14:schemeClr w14:val="tx1"/>
                  </w14:solidFill>
                </w14:textFill>
              </w:rPr>
              <w:t>及生态恢复</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p w14:paraId="62AA6345">
            <w:pPr>
              <w:widowControl/>
              <w:spacing w:line="360" w:lineRule="auto"/>
              <w:ind w:firstLine="480" w:firstLineChars="200"/>
              <w:jc w:val="left"/>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（2）供电</w:t>
            </w:r>
          </w:p>
          <w:p w14:paraId="3DAF3D86">
            <w:pPr>
              <w:spacing w:line="360" w:lineRule="auto"/>
              <w:ind w:firstLine="480" w:firstLineChars="200"/>
              <w:contextualSpacing/>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施工电源10kV外接电源供电，通过动力控制箱、照明箱和施工电缆送到施工现场的用电设备上。</w:t>
            </w:r>
          </w:p>
        </w:tc>
      </w:tr>
      <w:tr w14:paraId="61B9F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14:paraId="29420F8E">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总平面及现场布置</w:t>
            </w:r>
          </w:p>
        </w:tc>
        <w:tc>
          <w:tcPr>
            <w:tcW w:w="8382" w:type="dxa"/>
            <w:vAlign w:val="center"/>
          </w:tcPr>
          <w:p w14:paraId="665B70AF">
            <w:pPr>
              <w:spacing w:before="120" w:beforeLines="50" w:line="360" w:lineRule="auto"/>
              <w:rPr>
                <w:b/>
                <w:bCs/>
                <w:color w:val="000000" w:themeColor="text1"/>
                <w:sz w:val="24"/>
                <w:szCs w:val="32"/>
                <w:highlight w:val="none"/>
                <w14:textFill>
                  <w14:solidFill>
                    <w14:schemeClr w14:val="tx1"/>
                  </w14:solidFill>
                </w14:textFill>
              </w:rPr>
            </w:pPr>
            <w:r>
              <w:rPr>
                <w:rFonts w:hint="eastAsia"/>
                <w:b/>
                <w:bCs/>
                <w:color w:val="000000" w:themeColor="text1"/>
                <w:sz w:val="24"/>
                <w:szCs w:val="32"/>
                <w:highlight w:val="none"/>
                <w14:textFill>
                  <w14:solidFill>
                    <w14:schemeClr w14:val="tx1"/>
                  </w14:solidFill>
                </w14:textFill>
              </w:rPr>
              <w:t>1、施工总平面布置</w:t>
            </w:r>
          </w:p>
          <w:p w14:paraId="5CFEC8F5">
            <w:pPr>
              <w:widowControl/>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w:t>
            </w:r>
            <w:r>
              <w:rPr>
                <w:rFonts w:hint="eastAsia"/>
                <w:color w:val="000000" w:themeColor="text1"/>
                <w:sz w:val="24"/>
                <w:highlight w:val="none"/>
                <w:lang w:val="en-US" w:eastAsia="zh-CN"/>
                <w14:textFill>
                  <w14:solidFill>
                    <w14:schemeClr w14:val="tx1"/>
                  </w14:solidFill>
                </w14:textFill>
              </w:rPr>
              <w:t>于储能站占地红线内</w:t>
            </w:r>
            <w:r>
              <w:rPr>
                <w:color w:val="000000" w:themeColor="text1"/>
                <w:sz w:val="24"/>
                <w:highlight w:val="none"/>
                <w14:textFill>
                  <w14:solidFill>
                    <w14:schemeClr w14:val="tx1"/>
                  </w14:solidFill>
                </w14:textFill>
              </w:rPr>
              <w:t>布设1处施工生产生活区，施工临时场地包括施工生活区、综合仓库和加工区等，</w:t>
            </w:r>
            <w:r>
              <w:rPr>
                <w:rFonts w:hint="eastAsia"/>
                <w:color w:val="000000" w:themeColor="text1"/>
                <w:sz w:val="24"/>
                <w:highlight w:val="none"/>
                <w14:textFill>
                  <w14:solidFill>
                    <w14:schemeClr w14:val="tx1"/>
                  </w14:solidFill>
                </w14:textFill>
              </w:rPr>
              <w:t>项目采用商品混凝土，不设混凝土</w:t>
            </w:r>
            <w:r>
              <w:rPr>
                <w:rFonts w:hint="eastAsia"/>
                <w:color w:val="000000" w:themeColor="text1"/>
                <w:sz w:val="24"/>
                <w:highlight w:val="none"/>
                <w:lang w:eastAsia="zh-CN"/>
                <w14:textFill>
                  <w14:solidFill>
                    <w14:schemeClr w14:val="tx1"/>
                  </w14:solidFill>
                </w14:textFill>
              </w:rPr>
              <w:t>拌和站</w:t>
            </w:r>
            <w:r>
              <w:rPr>
                <w:rFonts w:hint="eastAsia"/>
                <w:color w:val="000000" w:themeColor="text1"/>
                <w:sz w:val="24"/>
                <w:highlight w:val="none"/>
                <w14:textFill>
                  <w14:solidFill>
                    <w14:schemeClr w14:val="tx1"/>
                  </w14:solidFill>
                </w14:textFill>
              </w:rPr>
              <w:t>，临时施工区</w:t>
            </w:r>
            <w:r>
              <w:rPr>
                <w:color w:val="000000" w:themeColor="text1"/>
                <w:sz w:val="24"/>
                <w:highlight w:val="none"/>
                <w14:textFill>
                  <w14:solidFill>
                    <w14:schemeClr w14:val="tx1"/>
                  </w14:solidFill>
                </w14:textFill>
              </w:rPr>
              <w:t>占地面积</w:t>
            </w:r>
            <w:r>
              <w:rPr>
                <w:rFonts w:hint="eastAsia"/>
                <w:color w:val="000000" w:themeColor="text1"/>
                <w:sz w:val="24"/>
                <w:highlight w:val="none"/>
                <w14:textFill>
                  <w14:solidFill>
                    <w14:schemeClr w14:val="tx1"/>
                  </w14:solidFill>
                </w14:textFill>
              </w:rPr>
              <w:t>共</w:t>
            </w:r>
            <w:r>
              <w:rPr>
                <w:rFonts w:hint="eastAsia"/>
                <w:color w:val="000000" w:themeColor="text1"/>
                <w:sz w:val="24"/>
                <w:szCs w:val="32"/>
                <w:highlight w:val="none"/>
                <w:lang w:val="en-US" w:eastAsia="zh-CN"/>
                <w14:textFill>
                  <w14:solidFill>
                    <w14:schemeClr w14:val="tx1"/>
                  </w14:solidFill>
                </w14:textFill>
              </w:rPr>
              <w:t>1000</w:t>
            </w:r>
            <w:r>
              <w:rPr>
                <w:color w:val="000000" w:themeColor="text1"/>
                <w:sz w:val="24"/>
                <w:szCs w:val="32"/>
                <w:highlight w:val="none"/>
                <w14:textFill>
                  <w14:solidFill>
                    <w14:schemeClr w14:val="tx1"/>
                  </w14:solidFill>
                </w14:textFill>
              </w:rPr>
              <w:t>m</w:t>
            </w:r>
            <w:r>
              <w:rPr>
                <w:color w:val="000000" w:themeColor="text1"/>
                <w:sz w:val="24"/>
                <w:szCs w:val="32"/>
                <w:highlight w:val="none"/>
                <w:vertAlign w:val="superscript"/>
                <w14:textFill>
                  <w14:solidFill>
                    <w14:schemeClr w14:val="tx1"/>
                  </w14:solidFill>
                </w14:textFill>
              </w:rPr>
              <w:t>2</w:t>
            </w:r>
            <w:r>
              <w:rPr>
                <w:color w:val="000000" w:themeColor="text1"/>
                <w:sz w:val="24"/>
                <w:highlight w:val="none"/>
                <w14:textFill>
                  <w14:solidFill>
                    <w14:schemeClr w14:val="tx1"/>
                  </w14:solidFill>
                </w14:textFill>
              </w:rPr>
              <w:t>。施工结束后对临时用地进行场地平整。</w:t>
            </w:r>
          </w:p>
          <w:p w14:paraId="3570419C">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2、工程总平面布置</w:t>
            </w:r>
          </w:p>
          <w:p w14:paraId="2D963820">
            <w:pPr>
              <w:pStyle w:val="74"/>
              <w:adjustRightInd/>
              <w:spacing w:line="360" w:lineRule="auto"/>
              <w:ind w:firstLine="480" w:firstLineChars="200"/>
              <w:rPr>
                <w:rFonts w:hint="default" w:ascii="Times New Roman" w:cs="Times New Roman"/>
                <w:color w:val="000000" w:themeColor="text1"/>
                <w:kern w:val="2"/>
                <w:highlight w:val="none"/>
                <w:lang w:val="en-US" w:eastAsia="zh-CN"/>
                <w14:textFill>
                  <w14:solidFill>
                    <w14:schemeClr w14:val="tx1"/>
                  </w14:solidFill>
                </w14:textFill>
              </w:rPr>
            </w:pPr>
            <w:r>
              <w:rPr>
                <w:rFonts w:hint="eastAsia" w:ascii="Times New Roman" w:cs="Times New Roman"/>
                <w:color w:val="000000" w:themeColor="text1"/>
                <w:kern w:val="2"/>
                <w:highlight w:val="none"/>
                <w:lang w:val="en-US" w:eastAsia="zh-CN"/>
                <w14:textFill>
                  <w14:solidFill>
                    <w14:schemeClr w14:val="tx1"/>
                  </w14:solidFill>
                </w14:textFill>
              </w:rPr>
              <w:t>（1）储能站及升压站总平面布置</w:t>
            </w:r>
          </w:p>
          <w:p w14:paraId="715055F0">
            <w:pPr>
              <w:pStyle w:val="74"/>
              <w:adjustRightInd/>
              <w:spacing w:line="360" w:lineRule="auto"/>
              <w:ind w:firstLine="480" w:firstLineChars="200"/>
              <w:rPr>
                <w:rFonts w:hint="eastAsia" w:ascii="Times New Roman" w:cs="Times New Roman"/>
                <w:color w:val="000000" w:themeColor="text1"/>
                <w:kern w:val="2"/>
                <w:highlight w:val="none"/>
                <w:lang w:val="en-US" w:eastAsia="zh-CN"/>
                <w14:textFill>
                  <w14:solidFill>
                    <w14:schemeClr w14:val="tx1"/>
                  </w14:solidFill>
                </w14:textFill>
              </w:rPr>
            </w:pPr>
            <w:r>
              <w:rPr>
                <w:rFonts w:hint="eastAsia" w:ascii="Times New Roman" w:cs="Times New Roman"/>
                <w:color w:val="000000" w:themeColor="text1"/>
                <w:kern w:val="2"/>
                <w:highlight w:val="none"/>
                <w:lang w:val="en-US" w:eastAsia="zh-CN"/>
                <w14:textFill>
                  <w14:solidFill>
                    <w14:schemeClr w14:val="tx1"/>
                  </w14:solidFill>
                </w14:textFill>
              </w:rPr>
              <w:t>项目储能站及升压站</w:t>
            </w:r>
            <w:r>
              <w:rPr>
                <w:rFonts w:ascii="Times New Roman" w:cs="Times New Roman"/>
                <w:color w:val="000000" w:themeColor="text1"/>
                <w:kern w:val="2"/>
                <w:highlight w:val="none"/>
                <w14:textFill>
                  <w14:solidFill>
                    <w14:schemeClr w14:val="tx1"/>
                  </w14:solidFill>
                </w14:textFill>
              </w:rPr>
              <w:t>总占地面积约为</w:t>
            </w:r>
            <w:r>
              <w:rPr>
                <w:rFonts w:hint="eastAsia" w:ascii="Times New Roman" w:cs="Times New Roman"/>
                <w:color w:val="000000" w:themeColor="text1"/>
                <w:kern w:val="2"/>
                <w:highlight w:val="none"/>
                <w:lang w:val="en-US" w:eastAsia="zh-CN"/>
                <w14:textFill>
                  <w14:solidFill>
                    <w14:schemeClr w14:val="tx1"/>
                  </w14:solidFill>
                </w14:textFill>
              </w:rPr>
              <w:t>33350</w:t>
            </w:r>
            <w:r>
              <w:rPr>
                <w:rFonts w:ascii="Times New Roman" w:cs="Times New Roman"/>
                <w:color w:val="000000" w:themeColor="text1"/>
                <w:kern w:val="2"/>
                <w:highlight w:val="none"/>
                <w14:textFill>
                  <w14:solidFill>
                    <w14:schemeClr w14:val="tx1"/>
                  </w14:solidFill>
                </w14:textFill>
              </w:rPr>
              <w:t>m</w:t>
            </w:r>
            <w:r>
              <w:rPr>
                <w:rFonts w:ascii="Times New Roman" w:cs="Times New Roman"/>
                <w:color w:val="000000" w:themeColor="text1"/>
                <w:kern w:val="2"/>
                <w:highlight w:val="none"/>
                <w:vertAlign w:val="superscript"/>
                <w14:textFill>
                  <w14:solidFill>
                    <w14:schemeClr w14:val="tx1"/>
                  </w14:solidFill>
                </w14:textFill>
              </w:rPr>
              <w:t>2</w:t>
            </w:r>
            <w:r>
              <w:rPr>
                <w:rFonts w:ascii="Times New Roman" w:cs="Times New Roman"/>
                <w:color w:val="000000" w:themeColor="text1"/>
                <w:kern w:val="2"/>
                <w:highlight w:val="none"/>
                <w14:textFill>
                  <w14:solidFill>
                    <w14:schemeClr w14:val="tx1"/>
                  </w14:solidFill>
                </w14:textFill>
              </w:rPr>
              <w:t>，四周用实体围墙与周边用地分隔开。</w:t>
            </w:r>
            <w:r>
              <w:rPr>
                <w:rFonts w:hint="eastAsia" w:ascii="Times New Roman" w:cs="Times New Roman"/>
                <w:color w:val="000000" w:themeColor="text1"/>
                <w:kern w:val="2"/>
                <w:highlight w:val="none"/>
                <w:lang w:val="en-US" w:eastAsia="zh-CN"/>
                <w14:textFill>
                  <w14:solidFill>
                    <w14:schemeClr w14:val="tx1"/>
                  </w14:solidFill>
                </w14:textFill>
              </w:rPr>
              <w:t>储能站布置在站区南侧，升压站布置在北侧，储能站与升压站之间</w:t>
            </w:r>
            <w:r>
              <w:rPr>
                <w:rFonts w:ascii="Times New Roman" w:cs="Times New Roman"/>
                <w:color w:val="000000" w:themeColor="text1"/>
                <w:kern w:val="2"/>
                <w:highlight w:val="none"/>
                <w14:textFill>
                  <w14:solidFill>
                    <w14:schemeClr w14:val="tx1"/>
                  </w14:solidFill>
                </w14:textFill>
              </w:rPr>
              <w:t>用铁艺围栏进行分隔</w:t>
            </w:r>
            <w:r>
              <w:rPr>
                <w:rFonts w:hint="eastAsia" w:ascii="Times New Roman" w:cs="Times New Roman"/>
                <w:color w:val="000000" w:themeColor="text1"/>
                <w:kern w:val="2"/>
                <w:highlight w:val="none"/>
                <w:lang w:val="en-US" w:eastAsia="zh-CN"/>
                <w14:textFill>
                  <w14:solidFill>
                    <w14:schemeClr w14:val="tx1"/>
                  </w14:solidFill>
                </w14:textFill>
              </w:rPr>
              <w:t>。</w:t>
            </w:r>
          </w:p>
          <w:p w14:paraId="2E91D903">
            <w:pPr>
              <w:pStyle w:val="74"/>
              <w:adjustRightInd/>
              <w:spacing w:line="360" w:lineRule="auto"/>
              <w:ind w:firstLine="480" w:firstLineChars="200"/>
              <w:rPr>
                <w:rFonts w:ascii="Times New Roman" w:cs="Times New Roman"/>
                <w:snapToGrid w:val="0"/>
                <w:color w:val="000000" w:themeColor="text1"/>
                <w:highlight w:val="none"/>
                <w14:textFill>
                  <w14:solidFill>
                    <w14:schemeClr w14:val="tx1"/>
                  </w14:solidFill>
                </w14:textFill>
              </w:rPr>
            </w:pPr>
            <w:r>
              <w:rPr>
                <w:rFonts w:ascii="Times New Roman" w:cs="Times New Roman"/>
                <w:color w:val="000000" w:themeColor="text1"/>
                <w:kern w:val="2"/>
                <w:highlight w:val="none"/>
                <w14:textFill>
                  <w14:solidFill>
                    <w14:schemeClr w14:val="tx1"/>
                  </w14:solidFill>
                </w14:textFill>
              </w:rPr>
              <w:t>升压站包含生活区、生产区两部分，生活区布置在站区</w:t>
            </w:r>
            <w:r>
              <w:rPr>
                <w:rFonts w:hint="eastAsia" w:ascii="Times New Roman" w:cs="Times New Roman"/>
                <w:color w:val="000000" w:themeColor="text1"/>
                <w:kern w:val="2"/>
                <w:highlight w:val="none"/>
                <w:lang w:val="en-US" w:eastAsia="zh-CN"/>
                <w14:textFill>
                  <w14:solidFill>
                    <w14:schemeClr w14:val="tx1"/>
                  </w14:solidFill>
                </w14:textFill>
              </w:rPr>
              <w:t>西</w:t>
            </w:r>
            <w:r>
              <w:rPr>
                <w:rFonts w:ascii="Times New Roman" w:cs="Times New Roman"/>
                <w:color w:val="000000" w:themeColor="text1"/>
                <w:kern w:val="2"/>
                <w:highlight w:val="none"/>
                <w14:textFill>
                  <w14:solidFill>
                    <w14:schemeClr w14:val="tx1"/>
                  </w14:solidFill>
                </w14:textFill>
              </w:rPr>
              <w:t>侧，生产区布置在站区</w:t>
            </w:r>
            <w:r>
              <w:rPr>
                <w:rFonts w:hint="eastAsia" w:ascii="Times New Roman" w:cs="Times New Roman"/>
                <w:color w:val="000000" w:themeColor="text1"/>
                <w:kern w:val="2"/>
                <w:highlight w:val="none"/>
                <w:lang w:val="en-US" w:eastAsia="zh-CN"/>
                <w14:textFill>
                  <w14:solidFill>
                    <w14:schemeClr w14:val="tx1"/>
                  </w14:solidFill>
                </w14:textFill>
              </w:rPr>
              <w:t>东</w:t>
            </w:r>
            <w:r>
              <w:rPr>
                <w:rFonts w:ascii="Times New Roman" w:cs="Times New Roman"/>
                <w:color w:val="000000" w:themeColor="text1"/>
                <w:kern w:val="2"/>
                <w:highlight w:val="none"/>
                <w14:textFill>
                  <w14:solidFill>
                    <w14:schemeClr w14:val="tx1"/>
                  </w14:solidFill>
                </w14:textFill>
              </w:rPr>
              <w:t>侧，生活区与生产区之间用铁艺围栏进行分隔。生活区布置有综合</w:t>
            </w:r>
            <w:r>
              <w:rPr>
                <w:rFonts w:hint="eastAsia" w:ascii="Times New Roman" w:cs="Times New Roman"/>
                <w:color w:val="000000" w:themeColor="text1"/>
                <w:kern w:val="2"/>
                <w:highlight w:val="none"/>
                <w:lang w:val="en-US" w:eastAsia="zh-CN"/>
                <w14:textFill>
                  <w14:solidFill>
                    <w14:schemeClr w14:val="tx1"/>
                  </w14:solidFill>
                </w14:textFill>
              </w:rPr>
              <w:t>用房</w:t>
            </w:r>
            <w:r>
              <w:rPr>
                <w:rFonts w:ascii="Times New Roman" w:cs="Times New Roman"/>
                <w:color w:val="000000" w:themeColor="text1"/>
                <w:kern w:val="2"/>
                <w:highlight w:val="none"/>
                <w14:textFill>
                  <w14:solidFill>
                    <w14:schemeClr w14:val="tx1"/>
                  </w14:solidFill>
                </w14:textFill>
              </w:rPr>
              <w:t>、附属用房、危废舱、一体化水泵房及地下污水处理设备等；生产区布置有</w:t>
            </w:r>
            <w:r>
              <w:rPr>
                <w:rFonts w:hint="eastAsia" w:ascii="Times New Roman" w:cs="Times New Roman"/>
                <w:color w:val="000000" w:themeColor="text1"/>
                <w:kern w:val="2"/>
                <w:highlight w:val="none"/>
                <w:lang w:val="en-US" w:eastAsia="zh-CN"/>
                <w14:textFill>
                  <w14:solidFill>
                    <w14:schemeClr w14:val="tx1"/>
                  </w14:solidFill>
                </w14:textFill>
              </w:rPr>
              <w:t>主变、</w:t>
            </w:r>
            <w:r>
              <w:rPr>
                <w:rFonts w:hint="default" w:ascii="Times New Roman" w:cs="Times New Roman"/>
                <w:color w:val="000000" w:themeColor="text1"/>
                <w:kern w:val="2"/>
                <w:highlight w:val="none"/>
                <w:lang w:val="en-US" w:eastAsia="zh-CN"/>
                <w14:textFill>
                  <w14:solidFill>
                    <w14:schemeClr w14:val="tx1"/>
                  </w14:solidFill>
                </w14:textFill>
              </w:rPr>
              <w:t>35kV</w:t>
            </w:r>
            <w:r>
              <w:rPr>
                <w:rFonts w:hint="eastAsia" w:ascii="Times New Roman" w:cs="Times New Roman"/>
                <w:color w:val="000000" w:themeColor="text1"/>
                <w:kern w:val="2"/>
                <w:highlight w:val="none"/>
                <w:lang w:val="en-US" w:eastAsia="zh-CN"/>
                <w14:textFill>
                  <w14:solidFill>
                    <w14:schemeClr w14:val="tx1"/>
                  </w14:solidFill>
                </w14:textFill>
              </w:rPr>
              <w:t>配电舱、</w:t>
            </w:r>
            <w:r>
              <w:rPr>
                <w:rFonts w:hint="default" w:ascii="Times New Roman" w:cs="Times New Roman"/>
                <w:color w:val="000000" w:themeColor="text1"/>
                <w:kern w:val="2"/>
                <w:highlight w:val="none"/>
                <w:lang w:val="en-US" w:eastAsia="zh-CN"/>
                <w14:textFill>
                  <w14:solidFill>
                    <w14:schemeClr w14:val="tx1"/>
                  </w14:solidFill>
                </w14:textFill>
              </w:rPr>
              <w:t>SVG</w:t>
            </w:r>
            <w:r>
              <w:rPr>
                <w:rFonts w:hint="eastAsia" w:ascii="Times New Roman" w:cs="Times New Roman"/>
                <w:color w:val="000000" w:themeColor="text1"/>
                <w:kern w:val="2"/>
                <w:highlight w:val="none"/>
                <w:lang w:val="en-US" w:eastAsia="zh-CN"/>
                <w14:textFill>
                  <w14:solidFill>
                    <w14:schemeClr w14:val="tx1"/>
                  </w14:solidFill>
                </w14:textFill>
              </w:rPr>
              <w:t>预制舱、二次设备舱、</w:t>
            </w:r>
            <w:r>
              <w:rPr>
                <w:rFonts w:hint="default" w:ascii="Times New Roman" w:cs="Times New Roman"/>
                <w:color w:val="000000" w:themeColor="text1"/>
                <w:kern w:val="2"/>
                <w:highlight w:val="none"/>
                <w:lang w:val="en-US" w:eastAsia="zh-CN"/>
                <w14:textFill>
                  <w14:solidFill>
                    <w14:schemeClr w14:val="tx1"/>
                  </w14:solidFill>
                </w14:textFill>
              </w:rPr>
              <w:t>110kVGIS</w:t>
            </w:r>
            <w:r>
              <w:rPr>
                <w:rFonts w:hint="eastAsia" w:ascii="Times New Roman" w:cs="Times New Roman"/>
                <w:color w:val="000000" w:themeColor="text1"/>
                <w:kern w:val="2"/>
                <w:highlight w:val="none"/>
                <w:lang w:val="en-US" w:eastAsia="zh-CN"/>
                <w14:textFill>
                  <w14:solidFill>
                    <w14:schemeClr w14:val="tx1"/>
                  </w14:solidFill>
                </w14:textFill>
              </w:rPr>
              <w:t>舱、事故油池、接地变</w:t>
            </w:r>
            <w:r>
              <w:rPr>
                <w:rFonts w:ascii="Times New Roman" w:cs="Times New Roman"/>
                <w:color w:val="000000" w:themeColor="text1"/>
                <w:kern w:val="2"/>
                <w:highlight w:val="none"/>
                <w14:textFill>
                  <w14:solidFill>
                    <w14:schemeClr w14:val="tx1"/>
                  </w14:solidFill>
                </w14:textFill>
              </w:rPr>
              <w:t>等。</w:t>
            </w:r>
            <w:r>
              <w:rPr>
                <w:rFonts w:hint="eastAsia" w:ascii="Times New Roman" w:cs="Times New Roman"/>
                <w:color w:val="000000" w:themeColor="text1"/>
                <w:kern w:val="2"/>
                <w:highlight w:val="none"/>
                <w:lang w:val="en-US" w:eastAsia="zh-CN"/>
                <w14:textFill>
                  <w14:solidFill>
                    <w14:schemeClr w14:val="tx1"/>
                  </w14:solidFill>
                </w14:textFill>
              </w:rPr>
              <w:t>储能区布置有储能舱、PCS舱等构筑物。</w:t>
            </w:r>
            <w:r>
              <w:rPr>
                <w:rFonts w:ascii="Times New Roman" w:cs="Times New Roman"/>
                <w:color w:val="000000" w:themeColor="text1"/>
                <w:kern w:val="2"/>
                <w:highlight w:val="none"/>
                <w14:textFill>
                  <w14:solidFill>
                    <w14:schemeClr w14:val="tx1"/>
                  </w14:solidFill>
                </w14:textFill>
              </w:rPr>
              <w:t>升压站</w:t>
            </w:r>
            <w:r>
              <w:rPr>
                <w:rFonts w:hint="eastAsia" w:ascii="Times New Roman" w:cs="Times New Roman"/>
                <w:color w:val="000000" w:themeColor="text1"/>
                <w:kern w:val="2"/>
                <w:highlight w:val="none"/>
                <w:lang w:val="en-US" w:eastAsia="zh-CN"/>
                <w14:textFill>
                  <w14:solidFill>
                    <w14:schemeClr w14:val="tx1"/>
                  </w14:solidFill>
                </w14:textFill>
              </w:rPr>
              <w:t>生活区</w:t>
            </w:r>
            <w:r>
              <w:rPr>
                <w:rFonts w:ascii="Times New Roman" w:cs="Times New Roman"/>
                <w:color w:val="000000" w:themeColor="text1"/>
                <w:kern w:val="2"/>
                <w:highlight w:val="none"/>
                <w14:textFill>
                  <w14:solidFill>
                    <w14:schemeClr w14:val="tx1"/>
                  </w14:solidFill>
                </w14:textFill>
              </w:rPr>
              <w:t>设置一个出入口与站外进站道路连通。</w:t>
            </w:r>
          </w:p>
          <w:p w14:paraId="49AB9211">
            <w:pPr>
              <w:pStyle w:val="74"/>
              <w:adjustRightInd/>
              <w:spacing w:line="360" w:lineRule="auto"/>
              <w:ind w:firstLine="480" w:firstLineChars="200"/>
              <w:rPr>
                <w:rFonts w:hint="eastAsia" w:ascii="Times New Roman" w:cs="Times New Roman"/>
                <w:snapToGrid w:val="0"/>
                <w:color w:val="000000" w:themeColor="text1"/>
                <w:highlight w:val="none"/>
                <w:lang w:val="en-US" w:eastAsia="zh-CN"/>
                <w14:textFill>
                  <w14:solidFill>
                    <w14:schemeClr w14:val="tx1"/>
                  </w14:solidFill>
                </w14:textFill>
              </w:rPr>
            </w:pPr>
            <w:r>
              <w:rPr>
                <w:rFonts w:hint="eastAsia" w:ascii="Times New Roman" w:cs="Times New Roman"/>
                <w:snapToGrid w:val="0"/>
                <w:color w:val="000000" w:themeColor="text1"/>
                <w:highlight w:val="none"/>
                <w:lang w:eastAsia="zh-CN"/>
                <w14:textFill>
                  <w14:solidFill>
                    <w14:schemeClr w14:val="tx1"/>
                  </w14:solidFill>
                </w14:textFill>
              </w:rPr>
              <w:t>（</w:t>
            </w:r>
            <w:r>
              <w:rPr>
                <w:rFonts w:hint="eastAsia" w:ascii="Times New Roman" w:cs="Times New Roman"/>
                <w:snapToGrid w:val="0"/>
                <w:color w:val="000000" w:themeColor="text1"/>
                <w:highlight w:val="none"/>
                <w:lang w:val="en-US" w:eastAsia="zh-CN"/>
                <w14:textFill>
                  <w14:solidFill>
                    <w14:schemeClr w14:val="tx1"/>
                  </w14:solidFill>
                </w14:textFill>
              </w:rPr>
              <w:t>2</w:t>
            </w:r>
            <w:r>
              <w:rPr>
                <w:rFonts w:hint="eastAsia" w:ascii="Times New Roman" w:cs="Times New Roman"/>
                <w:snapToGrid w:val="0"/>
                <w:color w:val="000000" w:themeColor="text1"/>
                <w:highlight w:val="none"/>
                <w:lang w:eastAsia="zh-CN"/>
                <w14:textFill>
                  <w14:solidFill>
                    <w14:schemeClr w14:val="tx1"/>
                  </w14:solidFill>
                </w14:textFill>
              </w:rPr>
              <w:t>）</w:t>
            </w:r>
            <w:r>
              <w:rPr>
                <w:rFonts w:hint="eastAsia" w:ascii="Times New Roman" w:cs="Times New Roman"/>
                <w:snapToGrid w:val="0"/>
                <w:color w:val="000000" w:themeColor="text1"/>
                <w:highlight w:val="none"/>
                <w:lang w:val="en-US" w:eastAsia="zh-CN"/>
                <w14:textFill>
                  <w14:solidFill>
                    <w14:schemeClr w14:val="tx1"/>
                  </w14:solidFill>
                </w14:textFill>
              </w:rPr>
              <w:t>输电线路工程总平面布置</w:t>
            </w:r>
          </w:p>
          <w:p w14:paraId="4D70042A">
            <w:pPr>
              <w:pStyle w:val="74"/>
              <w:adjustRightInd/>
              <w:spacing w:line="360" w:lineRule="auto"/>
              <w:ind w:firstLine="480" w:firstLineChars="200"/>
              <w:rPr>
                <w:rFonts w:hint="default" w:ascii="Times New Roman" w:cs="Times New Roman"/>
                <w:snapToGrid w:val="0"/>
                <w:color w:val="000000" w:themeColor="text1"/>
                <w:highlight w:val="none"/>
                <w:lang w:val="en-US" w:eastAsia="zh-CN"/>
                <w14:textFill>
                  <w14:solidFill>
                    <w14:schemeClr w14:val="tx1"/>
                  </w14:solidFill>
                </w14:textFill>
              </w:rPr>
            </w:pPr>
            <w:r>
              <w:rPr>
                <w:rFonts w:hint="default" w:ascii="Times New Roman" w:cs="Times New Roman"/>
                <w:snapToGrid w:val="0"/>
                <w:color w:val="000000" w:themeColor="text1"/>
                <w:highlight w:val="none"/>
                <w:lang w:val="en-US" w:eastAsia="zh-CN"/>
                <w14:textFill>
                  <w14:solidFill>
                    <w14:schemeClr w14:val="tx1"/>
                  </w14:solidFill>
                </w14:textFill>
              </w:rPr>
              <w:t>奥宇托克逊县10万千瓦/40万千瓦时混合独立储能项目110kV送出线路，本项目新建1条110kV线路，线路自拟建的110kV升压站起，至托克逊工业园220kV变止，线路亘长约3.3km，架空线路导线采用JL/G1A-240/30型钢芯铝绞线，架设双地线，2根地线均采用OPGW-24B1-80复合光缆。采用单回路架空架设。</w:t>
            </w:r>
          </w:p>
          <w:p w14:paraId="2C3F0BAD">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3、工程占地</w:t>
            </w:r>
          </w:p>
          <w:p w14:paraId="1568A3C2">
            <w:pPr>
              <w:pStyle w:val="74"/>
              <w:adjustRightInd/>
              <w:spacing w:line="360" w:lineRule="auto"/>
              <w:ind w:firstLine="480" w:firstLineChars="200"/>
              <w:rPr>
                <w:rFonts w:hint="default" w:ascii="Times New Roman" w:hAnsi="Times New Roman" w:cs="Times New Roman"/>
                <w:color w:val="000000" w:themeColor="text1"/>
                <w:kern w:val="2"/>
                <w:highlight w:val="none"/>
                <w:lang w:val="en-US"/>
                <w14:textFill>
                  <w14:solidFill>
                    <w14:schemeClr w14:val="tx1"/>
                  </w14:solidFill>
                </w14:textFill>
              </w:rPr>
            </w:pPr>
            <w:r>
              <w:rPr>
                <w:rFonts w:hint="default" w:ascii="Times New Roman" w:hAnsi="Times New Roman" w:cs="Times New Roman"/>
                <w:color w:val="000000" w:themeColor="text1"/>
                <w:kern w:val="2"/>
                <w:highlight w:val="none"/>
                <w14:textFill>
                  <w14:solidFill>
                    <w14:schemeClr w14:val="tx1"/>
                  </w14:solidFill>
                </w14:textFill>
              </w:rPr>
              <w:t>本工程临时施工营地</w:t>
            </w:r>
            <w:r>
              <w:rPr>
                <w:rFonts w:hint="default" w:ascii="Times New Roman" w:hAnsi="Times New Roman" w:cs="Times New Roman"/>
                <w:color w:val="000000" w:themeColor="text1"/>
                <w:kern w:val="2"/>
                <w:highlight w:val="none"/>
                <w:lang w:val="en-US" w:eastAsia="zh-CN"/>
                <w14:textFill>
                  <w14:solidFill>
                    <w14:schemeClr w14:val="tx1"/>
                  </w14:solidFill>
                </w14:textFill>
              </w:rPr>
              <w:t>设置在占地红线内，随着施工结束成为</w:t>
            </w:r>
            <w:r>
              <w:rPr>
                <w:rFonts w:hint="default" w:ascii="Times New Roman" w:hAnsi="Times New Roman" w:cs="Times New Roman"/>
                <w:color w:val="000000" w:themeColor="text1"/>
                <w:kern w:val="2"/>
                <w:highlight w:val="none"/>
                <w14:textFill>
                  <w14:solidFill>
                    <w14:schemeClr w14:val="tx1"/>
                  </w14:solidFill>
                </w14:textFill>
              </w:rPr>
              <w:t>，</w:t>
            </w:r>
            <w:r>
              <w:rPr>
                <w:rFonts w:hint="default" w:ascii="Times New Roman" w:hAnsi="Times New Roman" w:cs="Times New Roman"/>
                <w:color w:val="000000" w:themeColor="text1"/>
                <w:kern w:val="2"/>
                <w:highlight w:val="none"/>
                <w:lang w:val="en-US" w:eastAsia="zh-CN"/>
                <w14:textFill>
                  <w14:solidFill>
                    <w14:schemeClr w14:val="tx1"/>
                  </w14:solidFill>
                </w14:textFill>
              </w:rPr>
              <w:t>储能站及</w:t>
            </w:r>
            <w:r>
              <w:rPr>
                <w:rFonts w:hint="default" w:ascii="Times New Roman" w:hAnsi="Times New Roman" w:cs="Times New Roman"/>
                <w:color w:val="000000" w:themeColor="text1"/>
                <w:kern w:val="2"/>
                <w:highlight w:val="none"/>
                <w14:textFill>
                  <w14:solidFill>
                    <w14:schemeClr w14:val="tx1"/>
                  </w14:solidFill>
                </w14:textFill>
              </w:rPr>
              <w:t>升压站永久占地。</w:t>
            </w:r>
            <w:r>
              <w:rPr>
                <w:rFonts w:hint="default" w:ascii="Times New Roman" w:hAnsi="Times New Roman" w:cs="Times New Roman"/>
                <w:color w:val="000000" w:themeColor="text1"/>
                <w:kern w:val="2"/>
                <w:highlight w:val="none"/>
                <w:lang w:val="en-US" w:eastAsia="zh-CN"/>
                <w14:textFill>
                  <w14:solidFill>
                    <w14:schemeClr w14:val="tx1"/>
                  </w14:solidFill>
                </w14:textFill>
              </w:rPr>
              <w:t>项目</w:t>
            </w:r>
            <w:r>
              <w:rPr>
                <w:rFonts w:hint="default" w:ascii="Times New Roman" w:hAnsi="Times New Roman" w:cs="Times New Roman"/>
                <w:color w:val="000000" w:themeColor="text1"/>
                <w:kern w:val="2"/>
                <w:highlight w:val="none"/>
                <w14:textFill>
                  <w14:solidFill>
                    <w14:schemeClr w14:val="tx1"/>
                  </w14:solidFill>
                </w14:textFill>
              </w:rPr>
              <w:t>永久占地包括</w:t>
            </w:r>
            <w:r>
              <w:rPr>
                <w:rFonts w:hint="default" w:ascii="Times New Roman" w:hAnsi="Times New Roman" w:cs="Times New Roman"/>
                <w:color w:val="000000" w:themeColor="text1"/>
                <w:kern w:val="2"/>
                <w:highlight w:val="none"/>
                <w:lang w:val="en-US" w:eastAsia="zh-CN"/>
                <w14:textFill>
                  <w14:solidFill>
                    <w14:schemeClr w14:val="tx1"/>
                  </w14:solidFill>
                </w14:textFill>
              </w:rPr>
              <w:t>站址</w:t>
            </w:r>
            <w:r>
              <w:rPr>
                <w:rFonts w:hint="default" w:ascii="Times New Roman" w:hAnsi="Times New Roman" w:cs="Times New Roman"/>
                <w:color w:val="000000" w:themeColor="text1"/>
                <w:kern w:val="2"/>
                <w:highlight w:val="none"/>
                <w14:textFill>
                  <w14:solidFill>
                    <w14:schemeClr w14:val="tx1"/>
                  </w14:solidFill>
                </w14:textFill>
              </w:rPr>
              <w:t>占地及进站道路占地</w:t>
            </w:r>
            <w:r>
              <w:rPr>
                <w:rFonts w:hint="default" w:ascii="Times New Roman" w:hAnsi="Times New Roman" w:cs="Times New Roman"/>
                <w:color w:val="000000" w:themeColor="text1"/>
                <w:kern w:val="2"/>
                <w:highlight w:val="none"/>
                <w:lang w:eastAsia="zh-CN"/>
                <w14:textFill>
                  <w14:solidFill>
                    <w14:schemeClr w14:val="tx1"/>
                  </w14:solidFill>
                </w14:textFill>
              </w:rPr>
              <w:t>，</w:t>
            </w:r>
            <w:r>
              <w:rPr>
                <w:rFonts w:hint="default" w:ascii="Times New Roman" w:hAnsi="Times New Roman" w:cs="Times New Roman"/>
                <w:color w:val="000000" w:themeColor="text1"/>
                <w:kern w:val="2"/>
                <w:highlight w:val="none"/>
                <w:lang w:val="en-US" w:eastAsia="zh-CN"/>
                <w14:textFill>
                  <w14:solidFill>
                    <w14:schemeClr w14:val="tx1"/>
                  </w14:solidFill>
                </w14:textFill>
              </w:rPr>
              <w:t>本次升压站征地面积333</w:t>
            </w:r>
            <w:r>
              <w:rPr>
                <w:rFonts w:hint="eastAsia" w:ascii="Times New Roman" w:cs="Times New Roman"/>
                <w:color w:val="000000" w:themeColor="text1"/>
                <w:kern w:val="2"/>
                <w:highlight w:val="none"/>
                <w:lang w:val="en-US" w:eastAsia="zh-CN"/>
                <w14:textFill>
                  <w14:solidFill>
                    <w14:schemeClr w14:val="tx1"/>
                  </w14:solidFill>
                </w14:textFill>
              </w:rPr>
              <w:t>50</w:t>
            </w:r>
            <w:r>
              <w:rPr>
                <w:rFonts w:hint="default" w:ascii="Times New Roman" w:hAnsi="Times New Roman" w:cs="Times New Roman"/>
                <w:color w:val="000000" w:themeColor="text1"/>
                <w:kern w:val="2"/>
                <w:highlight w:val="none"/>
                <w:lang w:val="en-US" w:eastAsia="zh-CN"/>
                <w14:textFill>
                  <w14:solidFill>
                    <w14:schemeClr w14:val="tx1"/>
                  </w14:solidFill>
                </w14:textFill>
              </w:rPr>
              <w:t>m</w:t>
            </w:r>
            <w:r>
              <w:rPr>
                <w:rFonts w:hint="default" w:ascii="Times New Roman" w:hAnsi="Times New Roman" w:cs="Times New Roman"/>
                <w:color w:val="000000" w:themeColor="text1"/>
                <w:kern w:val="2"/>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kern w:val="2"/>
                <w:highlight w:val="none"/>
                <w14:textFill>
                  <w14:solidFill>
                    <w14:schemeClr w14:val="tx1"/>
                  </w14:solidFill>
                </w14:textFill>
              </w:rPr>
              <w:t>。</w:t>
            </w:r>
            <w:r>
              <w:rPr>
                <w:rFonts w:hint="default" w:ascii="Times New Roman" w:hAnsi="Times New Roman" w:cs="Times New Roman"/>
                <w:color w:val="000000" w:themeColor="text1"/>
                <w:kern w:val="2"/>
                <w:highlight w:val="none"/>
                <w:lang w:val="en-US" w:eastAsia="zh-CN"/>
                <w14:textFill>
                  <w14:solidFill>
                    <w14:schemeClr w14:val="tx1"/>
                  </w14:solidFill>
                </w14:textFill>
              </w:rPr>
              <w:t>根据</w:t>
            </w:r>
            <w:r>
              <w:rPr>
                <w:rFonts w:hint="default" w:ascii="Times New Roman" w:hAnsi="Times New Roman" w:cs="Times New Roman"/>
                <w:color w:val="000000" w:themeColor="text1"/>
                <w:sz w:val="24"/>
                <w:highlight w:val="none"/>
                <w:lang w:val="en-US" w:eastAsia="zh-CN"/>
                <w14:textFill>
                  <w14:solidFill>
                    <w14:schemeClr w14:val="tx1"/>
                  </w14:solidFill>
                </w14:textFill>
              </w:rPr>
              <w:t>托克逊县自然资源局关于《奥宇托克逊县10万千瓦/40万千瓦时电化学独立储能征求函》的复函，项目占地均为国有未利用地，属于三级建设用地（托克逊县实施产业聚集区规划2022年第二批建设用地）</w:t>
            </w:r>
            <w:r>
              <w:rPr>
                <w:rFonts w:hint="eastAsia" w:ascii="Times New Roman" w:hAnsi="Times New Roman" w:cs="Times New Roman"/>
                <w:color w:val="000000" w:themeColor="text1"/>
                <w:sz w:val="24"/>
                <w:highlight w:val="none"/>
                <w:lang w:val="en-US" w:eastAsia="zh-CN"/>
                <w14:textFill>
                  <w14:solidFill>
                    <w14:schemeClr w14:val="tx1"/>
                  </w14:solidFill>
                </w14:textFill>
              </w:rPr>
              <w:t>，不占用草地及基本农田。</w:t>
            </w:r>
          </w:p>
          <w:p w14:paraId="7F075917">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4、土石方平衡</w:t>
            </w:r>
          </w:p>
          <w:p w14:paraId="57F1CD07">
            <w:pPr>
              <w:spacing w:line="360" w:lineRule="auto"/>
              <w:ind w:firstLine="480" w:firstLineChars="200"/>
              <w:rPr>
                <w:color w:val="000000" w:themeColor="text1"/>
                <w:kern w:val="0"/>
                <w:sz w:val="24"/>
                <w:highlight w:val="none"/>
                <w:lang w:bidi="ar"/>
                <w14:textFill>
                  <w14:solidFill>
                    <w14:schemeClr w14:val="tx1"/>
                  </w14:solidFill>
                </w14:textFill>
              </w:rPr>
            </w:pPr>
            <w:r>
              <w:rPr>
                <w:color w:val="000000" w:themeColor="text1"/>
                <w:kern w:val="0"/>
                <w:sz w:val="24"/>
                <w:highlight w:val="none"/>
                <w:lang w:bidi="ar"/>
                <w14:textFill>
                  <w14:solidFill>
                    <w14:schemeClr w14:val="tx1"/>
                  </w14:solidFill>
                </w14:textFill>
              </w:rPr>
              <w:t>经现场调查和查阅相关施工资料，本工程土石方主要包括</w:t>
            </w:r>
            <w:r>
              <w:rPr>
                <w:rFonts w:hint="eastAsia"/>
                <w:color w:val="000000" w:themeColor="text1"/>
                <w:kern w:val="0"/>
                <w:sz w:val="24"/>
                <w:highlight w:val="none"/>
                <w:lang w:val="en-US" w:eastAsia="zh-CN" w:bidi="ar"/>
                <w14:textFill>
                  <w14:solidFill>
                    <w14:schemeClr w14:val="tx1"/>
                  </w14:solidFill>
                </w14:textFill>
              </w:rPr>
              <w:t>塔基挖方、</w:t>
            </w:r>
            <w:r>
              <w:rPr>
                <w:rFonts w:hint="eastAsia"/>
                <w:color w:val="000000" w:themeColor="text1"/>
                <w:kern w:val="0"/>
                <w:sz w:val="24"/>
                <w:highlight w:val="none"/>
                <w:lang w:bidi="ar"/>
                <w14:textFill>
                  <w14:solidFill>
                    <w14:schemeClr w14:val="tx1"/>
                  </w14:solidFill>
                </w14:textFill>
              </w:rPr>
              <w:t>场地平整、主变压器及设备</w:t>
            </w:r>
            <w:r>
              <w:rPr>
                <w:color w:val="000000" w:themeColor="text1"/>
                <w:kern w:val="0"/>
                <w:sz w:val="24"/>
                <w:highlight w:val="none"/>
                <w:lang w:bidi="ar"/>
                <w14:textFill>
                  <w14:solidFill>
                    <w14:schemeClr w14:val="tx1"/>
                  </w14:solidFill>
                </w14:textFill>
              </w:rPr>
              <w:t>基础施工、</w:t>
            </w:r>
            <w:r>
              <w:rPr>
                <w:rFonts w:hint="eastAsia"/>
                <w:color w:val="000000" w:themeColor="text1"/>
                <w:kern w:val="0"/>
                <w:sz w:val="24"/>
                <w:highlight w:val="none"/>
                <w:lang w:bidi="ar"/>
                <w14:textFill>
                  <w14:solidFill>
                    <w14:schemeClr w14:val="tx1"/>
                  </w14:solidFill>
                </w14:textFill>
              </w:rPr>
              <w:t>道路工程施工</w:t>
            </w:r>
            <w:r>
              <w:rPr>
                <w:color w:val="000000" w:themeColor="text1"/>
                <w:kern w:val="0"/>
                <w:sz w:val="24"/>
                <w:highlight w:val="none"/>
                <w:lang w:bidi="ar"/>
                <w14:textFill>
                  <w14:solidFill>
                    <w14:schemeClr w14:val="tx1"/>
                  </w14:solidFill>
                </w14:textFill>
              </w:rPr>
              <w:t>的开挖与回填。本工程的土石方平衡见下表2-</w:t>
            </w:r>
            <w:r>
              <w:rPr>
                <w:rFonts w:hint="eastAsia"/>
                <w:color w:val="000000" w:themeColor="text1"/>
                <w:kern w:val="0"/>
                <w:sz w:val="24"/>
                <w:highlight w:val="none"/>
                <w:lang w:val="en-US" w:eastAsia="zh-CN" w:bidi="ar"/>
                <w14:textFill>
                  <w14:solidFill>
                    <w14:schemeClr w14:val="tx1"/>
                  </w14:solidFill>
                </w14:textFill>
              </w:rPr>
              <w:t>3</w:t>
            </w:r>
            <w:r>
              <w:rPr>
                <w:color w:val="000000" w:themeColor="text1"/>
                <w:kern w:val="0"/>
                <w:sz w:val="24"/>
                <w:highlight w:val="none"/>
                <w:lang w:bidi="ar"/>
                <w14:textFill>
                  <w14:solidFill>
                    <w14:schemeClr w14:val="tx1"/>
                  </w14:solidFill>
                </w14:textFill>
              </w:rPr>
              <w:t>。</w:t>
            </w:r>
          </w:p>
          <w:p w14:paraId="0FEB5D32">
            <w:pPr>
              <w:pStyle w:val="2"/>
              <w:rPr>
                <w:color w:val="000000" w:themeColor="text1"/>
                <w:kern w:val="0"/>
                <w:sz w:val="24"/>
                <w:highlight w:val="none"/>
                <w:lang w:bidi="ar"/>
                <w14:textFill>
                  <w14:solidFill>
                    <w14:schemeClr w14:val="tx1"/>
                  </w14:solidFill>
                </w14:textFill>
              </w:rPr>
            </w:pPr>
          </w:p>
          <w:p w14:paraId="36DAF764">
            <w:pPr>
              <w:pStyle w:val="3"/>
            </w:pPr>
          </w:p>
          <w:p w14:paraId="7253612D">
            <w:pPr>
              <w:pStyle w:val="13"/>
              <w:spacing w:after="0"/>
              <w:jc w:val="center"/>
              <w:rPr>
                <w:b/>
                <w:bCs/>
                <w:color w:val="000000" w:themeColor="text1"/>
                <w:sz w:val="24"/>
                <w:szCs w:val="32"/>
                <w:highlight w:val="none"/>
                <w14:textFill>
                  <w14:solidFill>
                    <w14:schemeClr w14:val="tx1"/>
                  </w14:solidFill>
                </w14:textFill>
              </w:rPr>
            </w:pPr>
            <w:r>
              <w:rPr>
                <w:b/>
                <w:bCs/>
                <w:color w:val="000000" w:themeColor="text1"/>
                <w:sz w:val="24"/>
                <w:szCs w:val="32"/>
                <w:highlight w:val="none"/>
                <w14:textFill>
                  <w14:solidFill>
                    <w14:schemeClr w14:val="tx1"/>
                  </w14:solidFill>
                </w14:textFill>
              </w:rPr>
              <w:t>表2-</w:t>
            </w:r>
            <w:r>
              <w:rPr>
                <w:rFonts w:hint="eastAsia"/>
                <w:b/>
                <w:bCs/>
                <w:color w:val="000000" w:themeColor="text1"/>
                <w:sz w:val="24"/>
                <w:szCs w:val="32"/>
                <w:highlight w:val="none"/>
                <w:lang w:val="en-US" w:eastAsia="zh-CN"/>
                <w14:textFill>
                  <w14:solidFill>
                    <w14:schemeClr w14:val="tx1"/>
                  </w14:solidFill>
                </w14:textFill>
              </w:rPr>
              <w:t>3</w:t>
            </w:r>
            <w:r>
              <w:rPr>
                <w:b/>
                <w:bCs/>
                <w:color w:val="000000" w:themeColor="text1"/>
                <w:sz w:val="24"/>
                <w:szCs w:val="32"/>
                <w:highlight w:val="none"/>
                <w14:textFill>
                  <w14:solidFill>
                    <w14:schemeClr w14:val="tx1"/>
                  </w14:solidFill>
                </w14:textFill>
              </w:rPr>
              <w:t xml:space="preserve">  项目土石方平衡表  单位：</w:t>
            </w:r>
            <w:r>
              <w:rPr>
                <w:rFonts w:hint="eastAsia"/>
                <w:b/>
                <w:bCs/>
                <w:color w:val="000000" w:themeColor="text1"/>
                <w:sz w:val="24"/>
                <w:szCs w:val="32"/>
                <w:highlight w:val="none"/>
                <w14:textFill>
                  <w14:solidFill>
                    <w14:schemeClr w14:val="tx1"/>
                  </w14:solidFill>
                </w14:textFill>
              </w:rPr>
              <w:t>m³</w:t>
            </w:r>
          </w:p>
          <w:tbl>
            <w:tblPr>
              <w:tblStyle w:val="32"/>
              <w:tblW w:w="81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796"/>
              <w:gridCol w:w="956"/>
              <w:gridCol w:w="1337"/>
              <w:gridCol w:w="1262"/>
              <w:gridCol w:w="1243"/>
              <w:gridCol w:w="1140"/>
            </w:tblGrid>
            <w:tr w14:paraId="72E8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37" w:type="dxa"/>
                  <w:vMerge w:val="restart"/>
                  <w:tcMar>
                    <w:top w:w="0" w:type="dxa"/>
                    <w:left w:w="57" w:type="dxa"/>
                    <w:bottom w:w="0" w:type="dxa"/>
                    <w:right w:w="57" w:type="dxa"/>
                  </w:tcMar>
                  <w:vAlign w:val="center"/>
                </w:tcPr>
                <w:p w14:paraId="03C4012C">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项目</w:t>
                  </w:r>
                  <w:r>
                    <w:rPr>
                      <w:rFonts w:hint="eastAsia"/>
                      <w:b/>
                      <w:bCs/>
                      <w:color w:val="000000" w:themeColor="text1"/>
                      <w:szCs w:val="21"/>
                      <w:highlight w:val="none"/>
                      <w14:textFill>
                        <w14:solidFill>
                          <w14:schemeClr w14:val="tx1"/>
                        </w14:solidFill>
                      </w14:textFill>
                    </w:rPr>
                    <w:t>组成</w:t>
                  </w:r>
                </w:p>
              </w:tc>
              <w:tc>
                <w:tcPr>
                  <w:tcW w:w="796" w:type="dxa"/>
                  <w:vMerge w:val="restart"/>
                  <w:tcMar>
                    <w:top w:w="0" w:type="dxa"/>
                    <w:left w:w="57" w:type="dxa"/>
                    <w:bottom w:w="0" w:type="dxa"/>
                    <w:right w:w="57" w:type="dxa"/>
                  </w:tcMar>
                  <w:vAlign w:val="center"/>
                </w:tcPr>
                <w:p w14:paraId="116DB859">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挖方</w:t>
                  </w:r>
                </w:p>
              </w:tc>
              <w:tc>
                <w:tcPr>
                  <w:tcW w:w="956" w:type="dxa"/>
                  <w:vMerge w:val="restart"/>
                  <w:tcMar>
                    <w:top w:w="0" w:type="dxa"/>
                    <w:left w:w="57" w:type="dxa"/>
                    <w:bottom w:w="0" w:type="dxa"/>
                    <w:right w:w="57" w:type="dxa"/>
                  </w:tcMar>
                  <w:vAlign w:val="center"/>
                </w:tcPr>
                <w:p w14:paraId="3945ED1F">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填方</w:t>
                  </w:r>
                </w:p>
              </w:tc>
              <w:tc>
                <w:tcPr>
                  <w:tcW w:w="1337" w:type="dxa"/>
                  <w:tcMar>
                    <w:top w:w="0" w:type="dxa"/>
                    <w:left w:w="57" w:type="dxa"/>
                    <w:bottom w:w="0" w:type="dxa"/>
                    <w:right w:w="57" w:type="dxa"/>
                  </w:tcMar>
                  <w:vAlign w:val="center"/>
                </w:tcPr>
                <w:p w14:paraId="4AA6A058">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调入</w:t>
                  </w:r>
                </w:p>
              </w:tc>
              <w:tc>
                <w:tcPr>
                  <w:tcW w:w="1262" w:type="dxa"/>
                  <w:tcMar>
                    <w:top w:w="0" w:type="dxa"/>
                    <w:left w:w="57" w:type="dxa"/>
                    <w:bottom w:w="0" w:type="dxa"/>
                    <w:right w:w="57" w:type="dxa"/>
                  </w:tcMar>
                  <w:vAlign w:val="center"/>
                </w:tcPr>
                <w:p w14:paraId="756220E3">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调出</w:t>
                  </w:r>
                </w:p>
              </w:tc>
              <w:tc>
                <w:tcPr>
                  <w:tcW w:w="1243" w:type="dxa"/>
                  <w:tcMar>
                    <w:top w:w="0" w:type="dxa"/>
                    <w:left w:w="57" w:type="dxa"/>
                    <w:bottom w:w="0" w:type="dxa"/>
                    <w:right w:w="57" w:type="dxa"/>
                  </w:tcMar>
                  <w:vAlign w:val="center"/>
                </w:tcPr>
                <w:p w14:paraId="5094AB43">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借方</w:t>
                  </w:r>
                </w:p>
              </w:tc>
              <w:tc>
                <w:tcPr>
                  <w:tcW w:w="1140" w:type="dxa"/>
                  <w:tcMar>
                    <w:top w:w="0" w:type="dxa"/>
                    <w:left w:w="57" w:type="dxa"/>
                    <w:bottom w:w="0" w:type="dxa"/>
                    <w:right w:w="57" w:type="dxa"/>
                  </w:tcMar>
                  <w:vAlign w:val="center"/>
                </w:tcPr>
                <w:p w14:paraId="727AFA7C">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弃方</w:t>
                  </w:r>
                </w:p>
              </w:tc>
            </w:tr>
            <w:tr w14:paraId="4069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37" w:type="dxa"/>
                  <w:vMerge w:val="continue"/>
                  <w:tcMar>
                    <w:top w:w="0" w:type="dxa"/>
                    <w:left w:w="57" w:type="dxa"/>
                    <w:bottom w:w="0" w:type="dxa"/>
                    <w:right w:w="57" w:type="dxa"/>
                  </w:tcMar>
                  <w:vAlign w:val="center"/>
                </w:tcPr>
                <w:p w14:paraId="572D06D3">
                  <w:pPr>
                    <w:jc w:val="center"/>
                    <w:rPr>
                      <w:b/>
                      <w:bCs/>
                      <w:color w:val="000000" w:themeColor="text1"/>
                      <w:szCs w:val="21"/>
                      <w:highlight w:val="none"/>
                      <w14:textFill>
                        <w14:solidFill>
                          <w14:schemeClr w14:val="tx1"/>
                        </w14:solidFill>
                      </w14:textFill>
                    </w:rPr>
                  </w:pPr>
                </w:p>
              </w:tc>
              <w:tc>
                <w:tcPr>
                  <w:tcW w:w="796" w:type="dxa"/>
                  <w:vMerge w:val="continue"/>
                  <w:tcMar>
                    <w:top w:w="0" w:type="dxa"/>
                    <w:left w:w="57" w:type="dxa"/>
                    <w:bottom w:w="0" w:type="dxa"/>
                    <w:right w:w="57" w:type="dxa"/>
                  </w:tcMar>
                  <w:vAlign w:val="center"/>
                </w:tcPr>
                <w:p w14:paraId="756BA3CA">
                  <w:pPr>
                    <w:jc w:val="center"/>
                    <w:rPr>
                      <w:b/>
                      <w:bCs/>
                      <w:color w:val="000000" w:themeColor="text1"/>
                      <w:szCs w:val="21"/>
                      <w:highlight w:val="none"/>
                      <w14:textFill>
                        <w14:solidFill>
                          <w14:schemeClr w14:val="tx1"/>
                        </w14:solidFill>
                      </w14:textFill>
                    </w:rPr>
                  </w:pPr>
                </w:p>
              </w:tc>
              <w:tc>
                <w:tcPr>
                  <w:tcW w:w="956" w:type="dxa"/>
                  <w:vMerge w:val="continue"/>
                  <w:tcMar>
                    <w:top w:w="0" w:type="dxa"/>
                    <w:left w:w="57" w:type="dxa"/>
                    <w:bottom w:w="0" w:type="dxa"/>
                    <w:right w:w="57" w:type="dxa"/>
                  </w:tcMar>
                  <w:vAlign w:val="center"/>
                </w:tcPr>
                <w:p w14:paraId="3D77861A">
                  <w:pPr>
                    <w:jc w:val="center"/>
                    <w:rPr>
                      <w:b/>
                      <w:bCs/>
                      <w:color w:val="000000" w:themeColor="text1"/>
                      <w:szCs w:val="21"/>
                      <w:highlight w:val="none"/>
                      <w14:textFill>
                        <w14:solidFill>
                          <w14:schemeClr w14:val="tx1"/>
                        </w14:solidFill>
                      </w14:textFill>
                    </w:rPr>
                  </w:pPr>
                </w:p>
              </w:tc>
              <w:tc>
                <w:tcPr>
                  <w:tcW w:w="1337" w:type="dxa"/>
                  <w:tcMar>
                    <w:top w:w="0" w:type="dxa"/>
                    <w:left w:w="57" w:type="dxa"/>
                    <w:bottom w:w="0" w:type="dxa"/>
                    <w:right w:w="57" w:type="dxa"/>
                  </w:tcMar>
                  <w:vAlign w:val="center"/>
                </w:tcPr>
                <w:p w14:paraId="2D6067E4">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数量/来源</w:t>
                  </w:r>
                </w:p>
              </w:tc>
              <w:tc>
                <w:tcPr>
                  <w:tcW w:w="1262" w:type="dxa"/>
                  <w:tcMar>
                    <w:top w:w="0" w:type="dxa"/>
                    <w:left w:w="57" w:type="dxa"/>
                    <w:bottom w:w="0" w:type="dxa"/>
                    <w:right w:w="57" w:type="dxa"/>
                  </w:tcMar>
                  <w:vAlign w:val="center"/>
                </w:tcPr>
                <w:p w14:paraId="667E6480">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数量/去向</w:t>
                  </w:r>
                </w:p>
              </w:tc>
              <w:tc>
                <w:tcPr>
                  <w:tcW w:w="1243" w:type="dxa"/>
                  <w:tcMar>
                    <w:top w:w="0" w:type="dxa"/>
                    <w:left w:w="57" w:type="dxa"/>
                    <w:bottom w:w="0" w:type="dxa"/>
                    <w:right w:w="57" w:type="dxa"/>
                  </w:tcMar>
                  <w:vAlign w:val="center"/>
                </w:tcPr>
                <w:p w14:paraId="19E27811">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数量/来源</w:t>
                  </w:r>
                </w:p>
              </w:tc>
              <w:tc>
                <w:tcPr>
                  <w:tcW w:w="1140" w:type="dxa"/>
                  <w:tcMar>
                    <w:top w:w="0" w:type="dxa"/>
                    <w:left w:w="57" w:type="dxa"/>
                    <w:bottom w:w="0" w:type="dxa"/>
                    <w:right w:w="57" w:type="dxa"/>
                  </w:tcMar>
                  <w:vAlign w:val="center"/>
                </w:tcPr>
                <w:p w14:paraId="2024D76E">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数量</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去向</w:t>
                  </w:r>
                </w:p>
              </w:tc>
            </w:tr>
            <w:tr w14:paraId="0503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37" w:type="dxa"/>
                  <w:tcMar>
                    <w:top w:w="0" w:type="dxa"/>
                    <w:left w:w="57" w:type="dxa"/>
                    <w:bottom w:w="0" w:type="dxa"/>
                    <w:right w:w="57" w:type="dxa"/>
                  </w:tcMar>
                  <w:vAlign w:val="center"/>
                </w:tcPr>
                <w:p w14:paraId="23BDEC5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场地平整</w:t>
                  </w:r>
                </w:p>
              </w:tc>
              <w:tc>
                <w:tcPr>
                  <w:tcW w:w="796" w:type="dxa"/>
                  <w:tcMar>
                    <w:top w:w="0" w:type="dxa"/>
                    <w:left w:w="57" w:type="dxa"/>
                    <w:bottom w:w="0" w:type="dxa"/>
                    <w:right w:w="57" w:type="dxa"/>
                  </w:tcMar>
                  <w:vAlign w:val="center"/>
                </w:tcPr>
                <w:p w14:paraId="481FF941">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6906</w:t>
                  </w:r>
                </w:p>
              </w:tc>
              <w:tc>
                <w:tcPr>
                  <w:tcW w:w="956" w:type="dxa"/>
                  <w:tcMar>
                    <w:top w:w="0" w:type="dxa"/>
                    <w:left w:w="57" w:type="dxa"/>
                    <w:bottom w:w="0" w:type="dxa"/>
                    <w:right w:w="57" w:type="dxa"/>
                  </w:tcMar>
                  <w:vAlign w:val="center"/>
                </w:tcPr>
                <w:p w14:paraId="0DAA08E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10037</w:t>
                  </w:r>
                </w:p>
              </w:tc>
              <w:tc>
                <w:tcPr>
                  <w:tcW w:w="1337" w:type="dxa"/>
                  <w:tcMar>
                    <w:top w:w="0" w:type="dxa"/>
                    <w:left w:w="57" w:type="dxa"/>
                    <w:bottom w:w="0" w:type="dxa"/>
                    <w:right w:w="57" w:type="dxa"/>
                  </w:tcMar>
                  <w:vAlign w:val="center"/>
                </w:tcPr>
                <w:p w14:paraId="4F2575E4">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649</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主变基础</w:t>
                  </w:r>
                </w:p>
              </w:tc>
              <w:tc>
                <w:tcPr>
                  <w:tcW w:w="1262" w:type="dxa"/>
                  <w:tcMar>
                    <w:top w:w="0" w:type="dxa"/>
                    <w:left w:w="57" w:type="dxa"/>
                    <w:bottom w:w="0" w:type="dxa"/>
                    <w:right w:w="57" w:type="dxa"/>
                  </w:tcMar>
                  <w:vAlign w:val="center"/>
                </w:tcPr>
                <w:p w14:paraId="6B288717">
                  <w:pPr>
                    <w:jc w:val="center"/>
                    <w:rPr>
                      <w:color w:val="000000" w:themeColor="text1"/>
                      <w:szCs w:val="21"/>
                      <w:highlight w:val="none"/>
                      <w14:textFill>
                        <w14:solidFill>
                          <w14:schemeClr w14:val="tx1"/>
                        </w14:solidFill>
                      </w14:textFill>
                    </w:rPr>
                  </w:pPr>
                </w:p>
              </w:tc>
              <w:tc>
                <w:tcPr>
                  <w:tcW w:w="1243" w:type="dxa"/>
                  <w:tcMar>
                    <w:top w:w="0" w:type="dxa"/>
                    <w:left w:w="57" w:type="dxa"/>
                    <w:bottom w:w="0" w:type="dxa"/>
                    <w:right w:w="57" w:type="dxa"/>
                  </w:tcMar>
                  <w:vAlign w:val="center"/>
                </w:tcPr>
                <w:p w14:paraId="0CD36057">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2482</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附近商品料场</w:t>
                  </w:r>
                  <w:r>
                    <w:rPr>
                      <w:rFonts w:hint="eastAsia"/>
                      <w:color w:val="000000" w:themeColor="text1"/>
                      <w:szCs w:val="21"/>
                      <w:highlight w:val="none"/>
                      <w14:textFill>
                        <w14:solidFill>
                          <w14:schemeClr w14:val="tx1"/>
                        </w14:solidFill>
                      </w14:textFill>
                    </w:rPr>
                    <w:t>外购</w:t>
                  </w:r>
                </w:p>
              </w:tc>
              <w:tc>
                <w:tcPr>
                  <w:tcW w:w="1140" w:type="dxa"/>
                  <w:tcMar>
                    <w:top w:w="0" w:type="dxa"/>
                    <w:left w:w="57" w:type="dxa"/>
                    <w:bottom w:w="0" w:type="dxa"/>
                    <w:right w:w="57" w:type="dxa"/>
                  </w:tcMar>
                  <w:vAlign w:val="center"/>
                </w:tcPr>
                <w:p w14:paraId="24239B23">
                  <w:pPr>
                    <w:jc w:val="center"/>
                    <w:rPr>
                      <w:color w:val="000000" w:themeColor="text1"/>
                      <w:szCs w:val="21"/>
                      <w:highlight w:val="none"/>
                      <w14:textFill>
                        <w14:solidFill>
                          <w14:schemeClr w14:val="tx1"/>
                        </w14:solidFill>
                      </w14:textFill>
                    </w:rPr>
                  </w:pPr>
                </w:p>
              </w:tc>
            </w:tr>
            <w:tr w14:paraId="1B07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37" w:type="dxa"/>
                  <w:tcMar>
                    <w:top w:w="0" w:type="dxa"/>
                    <w:left w:w="57" w:type="dxa"/>
                    <w:bottom w:w="0" w:type="dxa"/>
                    <w:right w:w="57" w:type="dxa"/>
                  </w:tcMar>
                  <w:vAlign w:val="center"/>
                </w:tcPr>
                <w:p w14:paraId="6947A23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主变压器及附属设备基础</w:t>
                  </w:r>
                  <w:r>
                    <w:rPr>
                      <w:rFonts w:hint="eastAsia"/>
                      <w:color w:val="000000" w:themeColor="text1"/>
                      <w:szCs w:val="21"/>
                      <w:highlight w:val="none"/>
                      <w14:textFill>
                        <w14:solidFill>
                          <w14:schemeClr w14:val="tx1"/>
                        </w14:solidFill>
                      </w14:textFill>
                    </w:rPr>
                    <w:t>①</w:t>
                  </w:r>
                </w:p>
              </w:tc>
              <w:tc>
                <w:tcPr>
                  <w:tcW w:w="796" w:type="dxa"/>
                  <w:tcMar>
                    <w:top w:w="0" w:type="dxa"/>
                    <w:left w:w="57" w:type="dxa"/>
                    <w:bottom w:w="0" w:type="dxa"/>
                    <w:right w:w="57" w:type="dxa"/>
                  </w:tcMar>
                  <w:vAlign w:val="center"/>
                </w:tcPr>
                <w:p w14:paraId="7C268FBC">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849</w:t>
                  </w:r>
                </w:p>
              </w:tc>
              <w:tc>
                <w:tcPr>
                  <w:tcW w:w="956" w:type="dxa"/>
                  <w:tcMar>
                    <w:top w:w="0" w:type="dxa"/>
                    <w:left w:w="57" w:type="dxa"/>
                    <w:bottom w:w="0" w:type="dxa"/>
                    <w:right w:w="57" w:type="dxa"/>
                  </w:tcMar>
                  <w:vAlign w:val="center"/>
                </w:tcPr>
                <w:p w14:paraId="6E65203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200</w:t>
                  </w:r>
                </w:p>
              </w:tc>
              <w:tc>
                <w:tcPr>
                  <w:tcW w:w="1337" w:type="dxa"/>
                  <w:tcMar>
                    <w:top w:w="0" w:type="dxa"/>
                    <w:left w:w="57" w:type="dxa"/>
                    <w:bottom w:w="0" w:type="dxa"/>
                    <w:right w:w="57" w:type="dxa"/>
                  </w:tcMar>
                  <w:vAlign w:val="center"/>
                </w:tcPr>
                <w:p w14:paraId="389301F4">
                  <w:pPr>
                    <w:jc w:val="center"/>
                    <w:rPr>
                      <w:color w:val="000000" w:themeColor="text1"/>
                      <w:szCs w:val="21"/>
                      <w:highlight w:val="none"/>
                      <w14:textFill>
                        <w14:solidFill>
                          <w14:schemeClr w14:val="tx1"/>
                        </w14:solidFill>
                      </w14:textFill>
                    </w:rPr>
                  </w:pPr>
                </w:p>
              </w:tc>
              <w:tc>
                <w:tcPr>
                  <w:tcW w:w="1262" w:type="dxa"/>
                  <w:tcMar>
                    <w:top w:w="0" w:type="dxa"/>
                    <w:left w:w="57" w:type="dxa"/>
                    <w:bottom w:w="0" w:type="dxa"/>
                    <w:right w:w="57" w:type="dxa"/>
                  </w:tcMar>
                  <w:vAlign w:val="center"/>
                </w:tcPr>
                <w:p w14:paraId="7ABECB39">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649/场地平整</w:t>
                  </w:r>
                </w:p>
              </w:tc>
              <w:tc>
                <w:tcPr>
                  <w:tcW w:w="1243" w:type="dxa"/>
                  <w:tcMar>
                    <w:top w:w="0" w:type="dxa"/>
                    <w:left w:w="57" w:type="dxa"/>
                    <w:bottom w:w="0" w:type="dxa"/>
                    <w:right w:w="57" w:type="dxa"/>
                  </w:tcMar>
                  <w:vAlign w:val="center"/>
                </w:tcPr>
                <w:p w14:paraId="048744E5">
                  <w:pPr>
                    <w:jc w:val="center"/>
                    <w:rPr>
                      <w:color w:val="000000" w:themeColor="text1"/>
                      <w:szCs w:val="21"/>
                      <w:highlight w:val="none"/>
                      <w14:textFill>
                        <w14:solidFill>
                          <w14:schemeClr w14:val="tx1"/>
                        </w14:solidFill>
                      </w14:textFill>
                    </w:rPr>
                  </w:pPr>
                </w:p>
              </w:tc>
              <w:tc>
                <w:tcPr>
                  <w:tcW w:w="1140" w:type="dxa"/>
                  <w:tcMar>
                    <w:top w:w="0" w:type="dxa"/>
                    <w:left w:w="57" w:type="dxa"/>
                    <w:bottom w:w="0" w:type="dxa"/>
                    <w:right w:w="57" w:type="dxa"/>
                  </w:tcMar>
                  <w:vAlign w:val="center"/>
                </w:tcPr>
                <w:p w14:paraId="546AA9FB">
                  <w:pPr>
                    <w:jc w:val="center"/>
                    <w:rPr>
                      <w:color w:val="000000" w:themeColor="text1"/>
                      <w:szCs w:val="21"/>
                      <w:highlight w:val="none"/>
                      <w14:textFill>
                        <w14:solidFill>
                          <w14:schemeClr w14:val="tx1"/>
                        </w14:solidFill>
                      </w14:textFill>
                    </w:rPr>
                  </w:pPr>
                </w:p>
              </w:tc>
            </w:tr>
            <w:tr w14:paraId="5230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37" w:type="dxa"/>
                  <w:tcMar>
                    <w:top w:w="0" w:type="dxa"/>
                    <w:left w:w="57" w:type="dxa"/>
                    <w:bottom w:w="0" w:type="dxa"/>
                    <w:right w:w="57" w:type="dxa"/>
                  </w:tcMar>
                  <w:vAlign w:val="center"/>
                </w:tcPr>
                <w:p w14:paraId="18A1B791">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道路工程</w:t>
                  </w:r>
                </w:p>
              </w:tc>
              <w:tc>
                <w:tcPr>
                  <w:tcW w:w="796" w:type="dxa"/>
                  <w:tcMar>
                    <w:top w:w="0" w:type="dxa"/>
                    <w:left w:w="57" w:type="dxa"/>
                    <w:bottom w:w="0" w:type="dxa"/>
                    <w:right w:w="57" w:type="dxa"/>
                  </w:tcMar>
                  <w:vAlign w:val="center"/>
                </w:tcPr>
                <w:p w14:paraId="0F0C0733">
                  <w:pPr>
                    <w:widowControl/>
                    <w:jc w:val="center"/>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390</w:t>
                  </w:r>
                </w:p>
              </w:tc>
              <w:tc>
                <w:tcPr>
                  <w:tcW w:w="956" w:type="dxa"/>
                  <w:tcMar>
                    <w:top w:w="0" w:type="dxa"/>
                    <w:left w:w="57" w:type="dxa"/>
                    <w:bottom w:w="0" w:type="dxa"/>
                    <w:right w:w="57" w:type="dxa"/>
                  </w:tcMar>
                  <w:vAlign w:val="center"/>
                </w:tcPr>
                <w:p w14:paraId="5B7CFAFB">
                  <w:pPr>
                    <w:widowControl/>
                    <w:jc w:val="center"/>
                    <w:textAlignment w:val="center"/>
                    <w:rPr>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390</w:t>
                  </w:r>
                </w:p>
              </w:tc>
              <w:tc>
                <w:tcPr>
                  <w:tcW w:w="1337" w:type="dxa"/>
                  <w:tcMar>
                    <w:top w:w="0" w:type="dxa"/>
                    <w:left w:w="57" w:type="dxa"/>
                    <w:bottom w:w="0" w:type="dxa"/>
                    <w:right w:w="57" w:type="dxa"/>
                  </w:tcMar>
                  <w:vAlign w:val="center"/>
                </w:tcPr>
                <w:p w14:paraId="64B545A6">
                  <w:pPr>
                    <w:jc w:val="center"/>
                    <w:rPr>
                      <w:color w:val="000000" w:themeColor="text1"/>
                      <w:szCs w:val="21"/>
                      <w:highlight w:val="none"/>
                      <w14:textFill>
                        <w14:solidFill>
                          <w14:schemeClr w14:val="tx1"/>
                        </w14:solidFill>
                      </w14:textFill>
                    </w:rPr>
                  </w:pPr>
                </w:p>
              </w:tc>
              <w:tc>
                <w:tcPr>
                  <w:tcW w:w="1262" w:type="dxa"/>
                  <w:tcMar>
                    <w:top w:w="0" w:type="dxa"/>
                    <w:left w:w="57" w:type="dxa"/>
                    <w:bottom w:w="0" w:type="dxa"/>
                    <w:right w:w="57" w:type="dxa"/>
                  </w:tcMar>
                  <w:vAlign w:val="center"/>
                </w:tcPr>
                <w:p w14:paraId="193DE2AD">
                  <w:pPr>
                    <w:jc w:val="center"/>
                    <w:rPr>
                      <w:color w:val="000000" w:themeColor="text1"/>
                      <w:szCs w:val="21"/>
                      <w:highlight w:val="none"/>
                      <w14:textFill>
                        <w14:solidFill>
                          <w14:schemeClr w14:val="tx1"/>
                        </w14:solidFill>
                      </w14:textFill>
                    </w:rPr>
                  </w:pPr>
                </w:p>
              </w:tc>
              <w:tc>
                <w:tcPr>
                  <w:tcW w:w="1243" w:type="dxa"/>
                  <w:tcMar>
                    <w:top w:w="0" w:type="dxa"/>
                    <w:left w:w="57" w:type="dxa"/>
                    <w:bottom w:w="0" w:type="dxa"/>
                    <w:right w:w="57" w:type="dxa"/>
                  </w:tcMar>
                  <w:vAlign w:val="center"/>
                </w:tcPr>
                <w:p w14:paraId="762DB380">
                  <w:pPr>
                    <w:jc w:val="center"/>
                    <w:rPr>
                      <w:color w:val="000000" w:themeColor="text1"/>
                      <w:szCs w:val="21"/>
                      <w:highlight w:val="none"/>
                      <w14:textFill>
                        <w14:solidFill>
                          <w14:schemeClr w14:val="tx1"/>
                        </w14:solidFill>
                      </w14:textFill>
                    </w:rPr>
                  </w:pPr>
                </w:p>
              </w:tc>
              <w:tc>
                <w:tcPr>
                  <w:tcW w:w="1140" w:type="dxa"/>
                  <w:tcMar>
                    <w:top w:w="0" w:type="dxa"/>
                    <w:left w:w="57" w:type="dxa"/>
                    <w:bottom w:w="0" w:type="dxa"/>
                    <w:right w:w="57" w:type="dxa"/>
                  </w:tcMar>
                  <w:vAlign w:val="center"/>
                </w:tcPr>
                <w:p w14:paraId="524C3F98">
                  <w:pPr>
                    <w:jc w:val="center"/>
                    <w:rPr>
                      <w:color w:val="000000" w:themeColor="text1"/>
                      <w:szCs w:val="21"/>
                      <w:highlight w:val="none"/>
                      <w14:textFill>
                        <w14:solidFill>
                          <w14:schemeClr w14:val="tx1"/>
                        </w14:solidFill>
                      </w14:textFill>
                    </w:rPr>
                  </w:pPr>
                </w:p>
              </w:tc>
            </w:tr>
            <w:tr w14:paraId="1F63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37" w:type="dxa"/>
                  <w:tcMar>
                    <w:top w:w="0" w:type="dxa"/>
                    <w:left w:w="57" w:type="dxa"/>
                    <w:bottom w:w="0" w:type="dxa"/>
                    <w:right w:w="57" w:type="dxa"/>
                  </w:tcMar>
                  <w:vAlign w:val="center"/>
                </w:tcPr>
                <w:p w14:paraId="6C694FB6">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塔基工程</w:t>
                  </w:r>
                </w:p>
              </w:tc>
              <w:tc>
                <w:tcPr>
                  <w:tcW w:w="796" w:type="dxa"/>
                  <w:tcMar>
                    <w:top w:w="0" w:type="dxa"/>
                    <w:left w:w="57" w:type="dxa"/>
                    <w:bottom w:w="0" w:type="dxa"/>
                    <w:right w:w="57" w:type="dxa"/>
                  </w:tcMar>
                  <w:vAlign w:val="center"/>
                </w:tcPr>
                <w:p w14:paraId="39DD31F9">
                  <w:pPr>
                    <w:widowControl/>
                    <w:jc w:val="center"/>
                    <w:textAlignment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400</w:t>
                  </w:r>
                </w:p>
              </w:tc>
              <w:tc>
                <w:tcPr>
                  <w:tcW w:w="956" w:type="dxa"/>
                  <w:tcMar>
                    <w:top w:w="0" w:type="dxa"/>
                    <w:left w:w="57" w:type="dxa"/>
                    <w:bottom w:w="0" w:type="dxa"/>
                    <w:right w:w="57" w:type="dxa"/>
                  </w:tcMar>
                  <w:vAlign w:val="center"/>
                </w:tcPr>
                <w:p w14:paraId="60687ABC">
                  <w:pPr>
                    <w:widowControl/>
                    <w:jc w:val="center"/>
                    <w:textAlignment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400</w:t>
                  </w:r>
                </w:p>
              </w:tc>
              <w:tc>
                <w:tcPr>
                  <w:tcW w:w="1337" w:type="dxa"/>
                  <w:tcMar>
                    <w:top w:w="0" w:type="dxa"/>
                    <w:left w:w="57" w:type="dxa"/>
                    <w:bottom w:w="0" w:type="dxa"/>
                    <w:right w:w="57" w:type="dxa"/>
                  </w:tcMar>
                  <w:vAlign w:val="center"/>
                </w:tcPr>
                <w:p w14:paraId="66C3E9FD">
                  <w:pPr>
                    <w:jc w:val="center"/>
                    <w:rPr>
                      <w:color w:val="000000" w:themeColor="text1"/>
                      <w:szCs w:val="21"/>
                      <w:highlight w:val="none"/>
                      <w14:textFill>
                        <w14:solidFill>
                          <w14:schemeClr w14:val="tx1"/>
                        </w14:solidFill>
                      </w14:textFill>
                    </w:rPr>
                  </w:pPr>
                </w:p>
              </w:tc>
              <w:tc>
                <w:tcPr>
                  <w:tcW w:w="1262" w:type="dxa"/>
                  <w:tcMar>
                    <w:top w:w="0" w:type="dxa"/>
                    <w:left w:w="57" w:type="dxa"/>
                    <w:bottom w:w="0" w:type="dxa"/>
                    <w:right w:w="57" w:type="dxa"/>
                  </w:tcMar>
                  <w:vAlign w:val="center"/>
                </w:tcPr>
                <w:p w14:paraId="393D0F47">
                  <w:pPr>
                    <w:jc w:val="center"/>
                    <w:rPr>
                      <w:color w:val="000000" w:themeColor="text1"/>
                      <w:szCs w:val="21"/>
                      <w:highlight w:val="none"/>
                      <w14:textFill>
                        <w14:solidFill>
                          <w14:schemeClr w14:val="tx1"/>
                        </w14:solidFill>
                      </w14:textFill>
                    </w:rPr>
                  </w:pPr>
                </w:p>
              </w:tc>
              <w:tc>
                <w:tcPr>
                  <w:tcW w:w="1243" w:type="dxa"/>
                  <w:tcMar>
                    <w:top w:w="0" w:type="dxa"/>
                    <w:left w:w="57" w:type="dxa"/>
                    <w:bottom w:w="0" w:type="dxa"/>
                    <w:right w:w="57" w:type="dxa"/>
                  </w:tcMar>
                  <w:vAlign w:val="center"/>
                </w:tcPr>
                <w:p w14:paraId="0C6E707D">
                  <w:pPr>
                    <w:jc w:val="center"/>
                    <w:rPr>
                      <w:color w:val="000000" w:themeColor="text1"/>
                      <w:szCs w:val="21"/>
                      <w:highlight w:val="none"/>
                      <w14:textFill>
                        <w14:solidFill>
                          <w14:schemeClr w14:val="tx1"/>
                        </w14:solidFill>
                      </w14:textFill>
                    </w:rPr>
                  </w:pPr>
                </w:p>
              </w:tc>
              <w:tc>
                <w:tcPr>
                  <w:tcW w:w="1140" w:type="dxa"/>
                  <w:tcMar>
                    <w:top w:w="0" w:type="dxa"/>
                    <w:left w:w="57" w:type="dxa"/>
                    <w:bottom w:w="0" w:type="dxa"/>
                    <w:right w:w="57" w:type="dxa"/>
                  </w:tcMar>
                  <w:vAlign w:val="center"/>
                </w:tcPr>
                <w:p w14:paraId="332265AC">
                  <w:pPr>
                    <w:jc w:val="center"/>
                    <w:rPr>
                      <w:color w:val="000000" w:themeColor="text1"/>
                      <w:szCs w:val="21"/>
                      <w:highlight w:val="none"/>
                      <w14:textFill>
                        <w14:solidFill>
                          <w14:schemeClr w14:val="tx1"/>
                        </w14:solidFill>
                      </w14:textFill>
                    </w:rPr>
                  </w:pPr>
                </w:p>
              </w:tc>
            </w:tr>
            <w:tr w14:paraId="5CA5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37" w:type="dxa"/>
                  <w:tcMar>
                    <w:top w:w="0" w:type="dxa"/>
                    <w:left w:w="57" w:type="dxa"/>
                    <w:bottom w:w="0" w:type="dxa"/>
                    <w:right w:w="57" w:type="dxa"/>
                  </w:tcMar>
                  <w:vAlign w:val="center"/>
                </w:tcPr>
                <w:p w14:paraId="28EE14A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合计</w:t>
                  </w:r>
                </w:p>
              </w:tc>
              <w:tc>
                <w:tcPr>
                  <w:tcW w:w="796" w:type="dxa"/>
                  <w:tcMar>
                    <w:top w:w="0" w:type="dxa"/>
                    <w:left w:w="57" w:type="dxa"/>
                    <w:bottom w:w="0" w:type="dxa"/>
                    <w:right w:w="57" w:type="dxa"/>
                  </w:tcMar>
                  <w:vAlign w:val="center"/>
                </w:tcPr>
                <w:p w14:paraId="509AACC5">
                  <w:pPr>
                    <w:widowControl/>
                    <w:jc w:val="center"/>
                    <w:textAlignment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8545</w:t>
                  </w:r>
                </w:p>
              </w:tc>
              <w:tc>
                <w:tcPr>
                  <w:tcW w:w="956" w:type="dxa"/>
                  <w:tcMar>
                    <w:top w:w="0" w:type="dxa"/>
                    <w:left w:w="57" w:type="dxa"/>
                    <w:bottom w:w="0" w:type="dxa"/>
                    <w:right w:w="57" w:type="dxa"/>
                  </w:tcMar>
                  <w:vAlign w:val="center"/>
                </w:tcPr>
                <w:p w14:paraId="58E2EF8F">
                  <w:pPr>
                    <w:widowControl/>
                    <w:jc w:val="center"/>
                    <w:textAlignment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11027</w:t>
                  </w:r>
                </w:p>
              </w:tc>
              <w:tc>
                <w:tcPr>
                  <w:tcW w:w="1337" w:type="dxa"/>
                  <w:tcMar>
                    <w:top w:w="0" w:type="dxa"/>
                    <w:left w:w="57" w:type="dxa"/>
                    <w:bottom w:w="0" w:type="dxa"/>
                    <w:right w:w="57" w:type="dxa"/>
                  </w:tcMar>
                  <w:vAlign w:val="center"/>
                </w:tcPr>
                <w:p w14:paraId="150D33AB">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649</w:t>
                  </w:r>
                </w:p>
              </w:tc>
              <w:tc>
                <w:tcPr>
                  <w:tcW w:w="1262" w:type="dxa"/>
                  <w:tcMar>
                    <w:top w:w="0" w:type="dxa"/>
                    <w:left w:w="57" w:type="dxa"/>
                    <w:bottom w:w="0" w:type="dxa"/>
                    <w:right w:w="57" w:type="dxa"/>
                  </w:tcMar>
                  <w:vAlign w:val="center"/>
                </w:tcPr>
                <w:p w14:paraId="3683DE1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649</w:t>
                  </w:r>
                </w:p>
              </w:tc>
              <w:tc>
                <w:tcPr>
                  <w:tcW w:w="1243" w:type="dxa"/>
                  <w:tcMar>
                    <w:top w:w="0" w:type="dxa"/>
                    <w:left w:w="57" w:type="dxa"/>
                    <w:bottom w:w="0" w:type="dxa"/>
                    <w:right w:w="57" w:type="dxa"/>
                  </w:tcMar>
                  <w:vAlign w:val="center"/>
                </w:tcPr>
                <w:p w14:paraId="7BED0B2C">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2482</w:t>
                  </w:r>
                </w:p>
              </w:tc>
              <w:tc>
                <w:tcPr>
                  <w:tcW w:w="1140" w:type="dxa"/>
                  <w:tcMar>
                    <w:top w:w="0" w:type="dxa"/>
                    <w:left w:w="57" w:type="dxa"/>
                    <w:bottom w:w="0" w:type="dxa"/>
                    <w:right w:w="57" w:type="dxa"/>
                  </w:tcMar>
                  <w:vAlign w:val="center"/>
                </w:tcPr>
                <w:p w14:paraId="4FD294DD">
                  <w:pPr>
                    <w:jc w:val="center"/>
                    <w:rPr>
                      <w:color w:val="000000" w:themeColor="text1"/>
                      <w:szCs w:val="21"/>
                      <w:highlight w:val="none"/>
                      <w14:textFill>
                        <w14:solidFill>
                          <w14:schemeClr w14:val="tx1"/>
                        </w14:solidFill>
                      </w14:textFill>
                    </w:rPr>
                  </w:pPr>
                </w:p>
              </w:tc>
            </w:tr>
            <w:tr w14:paraId="7694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71" w:type="dxa"/>
                  <w:gridSpan w:val="7"/>
                  <w:tcMar>
                    <w:top w:w="0" w:type="dxa"/>
                    <w:left w:w="57" w:type="dxa"/>
                    <w:bottom w:w="0" w:type="dxa"/>
                    <w:right w:w="57" w:type="dxa"/>
                  </w:tcMar>
                  <w:vAlign w:val="center"/>
                </w:tcPr>
                <w:p w14:paraId="359ED53B">
                  <w:pPr>
                    <w:jc w:val="both"/>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kern w:val="0"/>
                      <w:sz w:val="21"/>
                      <w:szCs w:val="21"/>
                      <w:highlight w:val="none"/>
                      <w:lang w:val="en-US" w:eastAsia="zh-CN" w:bidi="ar"/>
                      <w14:textFill>
                        <w14:solidFill>
                          <w14:schemeClr w14:val="tx1"/>
                        </w14:solidFill>
                      </w14:textFill>
                    </w:rPr>
                    <w:t>本次环评要求建设单位外购土方需从具有合法手续的正规商品料场购买</w:t>
                  </w:r>
                </w:p>
              </w:tc>
            </w:tr>
          </w:tbl>
          <w:p w14:paraId="4D34C890">
            <w:pPr>
              <w:spacing w:line="360" w:lineRule="auto"/>
              <w:ind w:firstLine="480" w:firstLineChars="200"/>
              <w:rPr>
                <w:color w:val="000000" w:themeColor="text1"/>
                <w:sz w:val="24"/>
                <w:highlight w:val="none"/>
                <w14:textFill>
                  <w14:solidFill>
                    <w14:schemeClr w14:val="tx1"/>
                  </w14:solidFill>
                </w14:textFill>
              </w:rPr>
            </w:pPr>
          </w:p>
        </w:tc>
      </w:tr>
      <w:tr w14:paraId="73D57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7" w:hRule="atLeast"/>
          <w:jc w:val="center"/>
        </w:trPr>
        <w:tc>
          <w:tcPr>
            <w:tcW w:w="710" w:type="dxa"/>
            <w:vAlign w:val="center"/>
          </w:tcPr>
          <w:p w14:paraId="369BF873">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施工方案</w:t>
            </w:r>
          </w:p>
        </w:tc>
        <w:tc>
          <w:tcPr>
            <w:tcW w:w="8382" w:type="dxa"/>
          </w:tcPr>
          <w:p w14:paraId="18971258">
            <w:pPr>
              <w:pStyle w:val="41"/>
              <w:spacing w:before="120" w:beforeLines="50" w:line="360" w:lineRule="auto"/>
              <w:jc w:val="left"/>
              <w:rPr>
                <w:rFonts w:ascii="Times New Roman" w:cs="Times New Roman"/>
                <w:b/>
                <w:bCs/>
                <w:color w:val="000000" w:themeColor="text1"/>
                <w:szCs w:val="32"/>
                <w:highlight w:val="none"/>
                <w14:textFill>
                  <w14:solidFill>
                    <w14:schemeClr w14:val="tx1"/>
                  </w14:solidFill>
                </w14:textFill>
              </w:rPr>
            </w:pPr>
            <w:r>
              <w:rPr>
                <w:rFonts w:hint="eastAsia" w:ascii="Times New Roman" w:cs="Times New Roman"/>
                <w:b/>
                <w:bCs/>
                <w:color w:val="000000" w:themeColor="text1"/>
                <w:szCs w:val="32"/>
                <w:highlight w:val="none"/>
                <w14:textFill>
                  <w14:solidFill>
                    <w14:schemeClr w14:val="tx1"/>
                  </w14:solidFill>
                </w14:textFill>
              </w:rPr>
              <w:t>1、</w:t>
            </w:r>
            <w:r>
              <w:rPr>
                <w:rFonts w:ascii="Times New Roman" w:cs="Times New Roman"/>
                <w:b/>
                <w:bCs/>
                <w:color w:val="000000" w:themeColor="text1"/>
                <w:szCs w:val="32"/>
                <w:highlight w:val="none"/>
                <w14:textFill>
                  <w14:solidFill>
                    <w14:schemeClr w14:val="tx1"/>
                  </w14:solidFill>
                </w14:textFill>
              </w:rPr>
              <w:t>施工工艺和方法</w:t>
            </w:r>
          </w:p>
          <w:p w14:paraId="76A78724">
            <w:pPr>
              <w:pStyle w:val="41"/>
              <w:spacing w:line="360" w:lineRule="auto"/>
              <w:ind w:firstLine="480" w:firstLineChars="200"/>
              <w:jc w:val="left"/>
              <w:rPr>
                <w:rFonts w:ascii="Times New Roman" w:cs="Times New Roman"/>
                <w:b w:val="0"/>
                <w:bCs/>
                <w:color w:val="000000" w:themeColor="text1"/>
                <w:szCs w:val="32"/>
                <w:highlight w:val="none"/>
                <w14:textFill>
                  <w14:solidFill>
                    <w14:schemeClr w14:val="tx1"/>
                  </w14:solidFill>
                </w14:textFill>
              </w:rPr>
            </w:pPr>
            <w:r>
              <w:rPr>
                <w:rFonts w:hint="eastAsia" w:ascii="Times New Roman" w:cs="Times New Roman"/>
                <w:b w:val="0"/>
                <w:bCs/>
                <w:color w:val="000000" w:themeColor="text1"/>
                <w:szCs w:val="32"/>
                <w:highlight w:val="none"/>
                <w14:textFill>
                  <w14:solidFill>
                    <w14:schemeClr w14:val="tx1"/>
                  </w14:solidFill>
                </w14:textFill>
              </w:rPr>
              <w:t>（1）施工工艺</w:t>
            </w:r>
          </w:p>
          <w:p w14:paraId="13F873BB">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ascii="Times New Roman" w:cs="Times New Roman"/>
                <w:color w:val="000000" w:themeColor="text1"/>
                <w:kern w:val="2"/>
                <w:highlight w:val="none"/>
                <w14:textFill>
                  <w14:solidFill>
                    <w14:schemeClr w14:val="tx1"/>
                  </w14:solidFill>
                </w14:textFill>
              </w:rPr>
              <w:t>①</w:t>
            </w:r>
            <w:r>
              <w:rPr>
                <w:rFonts w:hint="eastAsia" w:ascii="Times New Roman" w:cs="Times New Roman"/>
                <w:color w:val="000000" w:themeColor="text1"/>
                <w:kern w:val="2"/>
                <w:highlight w:val="none"/>
                <w14:textFill>
                  <w14:solidFill>
                    <w14:schemeClr w14:val="tx1"/>
                  </w14:solidFill>
                </w14:textFill>
              </w:rPr>
              <w:t>地基处理</w:t>
            </w:r>
          </w:p>
          <w:p w14:paraId="3D7C85F4">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hint="eastAsia" w:ascii="Times New Roman" w:cs="Times New Roman"/>
                <w:color w:val="000000" w:themeColor="text1"/>
                <w:kern w:val="2"/>
                <w:highlight w:val="none"/>
                <w14:textFill>
                  <w14:solidFill>
                    <w14:schemeClr w14:val="tx1"/>
                  </w14:solidFill>
                </w14:textFill>
              </w:rPr>
              <w:t>对场地进行平整。</w:t>
            </w:r>
          </w:p>
          <w:p w14:paraId="6D2BC43E">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ascii="Times New Roman" w:cs="Times New Roman"/>
                <w:color w:val="000000" w:themeColor="text1"/>
                <w:kern w:val="2"/>
                <w:highlight w:val="none"/>
                <w14:textFill>
                  <w14:solidFill>
                    <w14:schemeClr w14:val="tx1"/>
                  </w14:solidFill>
                </w14:textFill>
              </w:rPr>
              <w:t>②</w:t>
            </w:r>
            <w:r>
              <w:rPr>
                <w:rFonts w:hint="eastAsia" w:ascii="Times New Roman" w:cs="Times New Roman"/>
                <w:color w:val="000000" w:themeColor="text1"/>
                <w:kern w:val="2"/>
                <w:highlight w:val="none"/>
                <w14:textFill>
                  <w14:solidFill>
                    <w14:schemeClr w14:val="tx1"/>
                  </w14:solidFill>
                </w14:textFill>
              </w:rPr>
              <w:t>建构筑物土石方开挖</w:t>
            </w:r>
          </w:p>
          <w:p w14:paraId="43148039">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ascii="Times New Roman" w:cs="Times New Roman"/>
                <w:color w:val="000000" w:themeColor="text1"/>
                <w:kern w:val="2"/>
                <w:highlight w:val="none"/>
                <w14:textFill>
                  <w14:solidFill>
                    <w14:schemeClr w14:val="tx1"/>
                  </w14:solidFill>
                </w14:textFill>
              </w:rPr>
              <w:t>基础施工主要为主变油坑、事故油池</w:t>
            </w:r>
            <w:r>
              <w:rPr>
                <w:rFonts w:hint="eastAsia" w:ascii="Times New Roman" w:cs="Times New Roman"/>
                <w:color w:val="000000" w:themeColor="text1"/>
                <w:kern w:val="2"/>
                <w:highlight w:val="none"/>
                <w:lang w:eastAsia="zh-CN"/>
                <w14:textFill>
                  <w14:solidFill>
                    <w14:schemeClr w14:val="tx1"/>
                  </w14:solidFill>
                </w14:textFill>
              </w:rPr>
              <w:t>、</w:t>
            </w:r>
            <w:r>
              <w:rPr>
                <w:rFonts w:hint="eastAsia" w:ascii="Times New Roman" w:cs="Times New Roman"/>
                <w:color w:val="000000" w:themeColor="text1"/>
                <w:kern w:val="2"/>
                <w:highlight w:val="none"/>
                <w:lang w:val="en-US" w:eastAsia="zh-CN"/>
                <w14:textFill>
                  <w14:solidFill>
                    <w14:schemeClr w14:val="tx1"/>
                  </w14:solidFill>
                </w14:textFill>
              </w:rPr>
              <w:t>储能舱、PCS舱</w:t>
            </w:r>
            <w:r>
              <w:rPr>
                <w:rFonts w:ascii="Times New Roman" w:cs="Times New Roman"/>
                <w:color w:val="000000" w:themeColor="text1"/>
                <w:kern w:val="2"/>
                <w:highlight w:val="none"/>
                <w14:textFill>
                  <w14:solidFill>
                    <w14:schemeClr w14:val="tx1"/>
                  </w14:solidFill>
                </w14:textFill>
              </w:rPr>
              <w:t>等基础施工，基础开挖主要采用人工方式；施工机具主要包括运输车辆、电焊机等。本项目采用商品混凝土，施工现场不设搅拌装置。</w:t>
            </w:r>
          </w:p>
          <w:p w14:paraId="0487F4BC">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ascii="Times New Roman" w:cs="Times New Roman"/>
                <w:color w:val="000000" w:themeColor="text1"/>
                <w:kern w:val="2"/>
                <w:highlight w:val="none"/>
                <w14:textFill>
                  <w14:solidFill>
                    <w14:schemeClr w14:val="tx1"/>
                  </w14:solidFill>
                </w14:textFill>
              </w:rPr>
              <w:t>③土建施工</w:t>
            </w:r>
          </w:p>
          <w:p w14:paraId="6EC48498">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ascii="Times New Roman" w:cs="Times New Roman"/>
                <w:color w:val="000000" w:themeColor="text1"/>
                <w:kern w:val="2"/>
                <w:highlight w:val="none"/>
                <w14:textFill>
                  <w14:solidFill>
                    <w14:schemeClr w14:val="tx1"/>
                  </w14:solidFill>
                </w14:textFill>
              </w:rPr>
              <w:t>采用机械和人工结合开挖基槽并修整边坡，基底夯实，钢模板</w:t>
            </w:r>
            <w:r>
              <w:rPr>
                <w:rFonts w:hint="eastAsia" w:ascii="Times New Roman" w:cs="Times New Roman"/>
                <w:color w:val="000000" w:themeColor="text1"/>
                <w:kern w:val="2"/>
                <w:highlight w:val="none"/>
                <w:lang w:eastAsia="zh-CN"/>
                <w14:textFill>
                  <w14:solidFill>
                    <w14:schemeClr w14:val="tx1"/>
                  </w14:solidFill>
                </w14:textFill>
              </w:rPr>
              <w:t>浇筑</w:t>
            </w:r>
            <w:r>
              <w:rPr>
                <w:rFonts w:ascii="Times New Roman" w:cs="Times New Roman"/>
                <w:color w:val="000000" w:themeColor="text1"/>
                <w:kern w:val="2"/>
                <w:highlight w:val="none"/>
                <w14:textFill>
                  <w14:solidFill>
                    <w14:schemeClr w14:val="tx1"/>
                  </w14:solidFill>
                </w14:textFill>
              </w:rPr>
              <w:t>基础，采用钢筋混凝土及浆砌砖混相结合</w:t>
            </w:r>
            <w:r>
              <w:rPr>
                <w:rFonts w:hint="eastAsia" w:ascii="Times New Roman" w:cs="Times New Roman"/>
                <w:color w:val="000000" w:themeColor="text1"/>
                <w:kern w:val="2"/>
                <w:highlight w:val="none"/>
                <w14:textFill>
                  <w14:solidFill>
                    <w14:schemeClr w14:val="tx1"/>
                  </w14:solidFill>
                </w14:textFill>
              </w:rPr>
              <w:t>。</w:t>
            </w:r>
          </w:p>
          <w:p w14:paraId="041FB32F">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hint="eastAsia" w:hAnsi="宋体"/>
                <w:color w:val="000000" w:themeColor="text1"/>
                <w:kern w:val="2"/>
                <w:highlight w:val="none"/>
                <w14:textFill>
                  <w14:solidFill>
                    <w14:schemeClr w14:val="tx1"/>
                  </w14:solidFill>
                </w14:textFill>
              </w:rPr>
              <w:t>④</w:t>
            </w:r>
            <w:r>
              <w:rPr>
                <w:rFonts w:ascii="Times New Roman" w:cs="Times New Roman"/>
                <w:color w:val="000000" w:themeColor="text1"/>
                <w:kern w:val="2"/>
                <w:highlight w:val="none"/>
                <w14:textFill>
                  <w14:solidFill>
                    <w14:schemeClr w14:val="tx1"/>
                  </w14:solidFill>
                </w14:textFill>
              </w:rPr>
              <w:t>设备安装</w:t>
            </w:r>
          </w:p>
          <w:p w14:paraId="4F29BE35">
            <w:pPr>
              <w:pStyle w:val="74"/>
              <w:spacing w:line="360" w:lineRule="auto"/>
              <w:ind w:firstLine="480" w:firstLineChars="200"/>
              <w:rPr>
                <w:rFonts w:ascii="Times New Roman" w:cs="Times New Roman"/>
                <w:color w:val="000000" w:themeColor="text1"/>
                <w:kern w:val="2"/>
                <w:highlight w:val="none"/>
                <w14:textFill>
                  <w14:solidFill>
                    <w14:schemeClr w14:val="tx1"/>
                  </w14:solidFill>
                </w14:textFill>
              </w:rPr>
            </w:pPr>
            <w:r>
              <w:rPr>
                <w:rFonts w:hint="eastAsia" w:ascii="Times New Roman" w:cs="Times New Roman"/>
                <w:color w:val="000000" w:themeColor="text1"/>
                <w:kern w:val="2"/>
                <w:highlight w:val="none"/>
                <w14:textFill>
                  <w14:solidFill>
                    <w14:schemeClr w14:val="tx1"/>
                  </w14:solidFill>
                </w14:textFill>
              </w:rPr>
              <w:t>设备安装主要包括主变压器、中性点设备等电气设备安装，施工机具主要包括吊车等。</w:t>
            </w:r>
          </w:p>
          <w:p w14:paraId="42B8384C">
            <w:pPr>
              <w:pStyle w:val="41"/>
              <w:spacing w:line="360" w:lineRule="auto"/>
              <w:ind w:firstLine="480" w:firstLineChars="200"/>
              <w:jc w:val="left"/>
              <w:rPr>
                <w:rFonts w:hint="eastAsia" w:ascii="宋体" w:hAnsi="宋体" w:eastAsia="宋体" w:cs="宋体"/>
                <w:b w:val="0"/>
                <w:bCs w:val="0"/>
                <w:color w:val="000000" w:themeColor="text1"/>
                <w:highlight w:val="none"/>
                <w14:textFill>
                  <w14:solidFill>
                    <w14:schemeClr w14:val="tx1"/>
                  </w14:solidFill>
                </w14:textFill>
              </w:rPr>
            </w:pPr>
            <w:r>
              <w:rPr>
                <w:rFonts w:hint="eastAsia" w:hAnsi="宋体"/>
                <w:b w:val="0"/>
                <w:bCs w:val="0"/>
                <w:color w:val="000000" w:themeColor="text1"/>
                <w:highlight w:val="none"/>
                <w14:textFill>
                  <w14:solidFill>
                    <w14:schemeClr w14:val="tx1"/>
                  </w14:solidFill>
                </w14:textFill>
              </w:rPr>
              <w:t>⑤</w:t>
            </w:r>
            <w:r>
              <w:rPr>
                <w:rFonts w:ascii="Times New Roman" w:cs="Times New Roman"/>
                <w:b w:val="0"/>
                <w:bCs w:val="0"/>
                <w:color w:val="000000" w:themeColor="text1"/>
                <w:highlight w:val="none"/>
                <w14:textFill>
                  <w14:solidFill>
                    <w14:schemeClr w14:val="tx1"/>
                  </w14:solidFill>
                </w14:textFill>
              </w:rPr>
              <w:t>投入</w:t>
            </w:r>
            <w:r>
              <w:rPr>
                <w:rFonts w:hint="eastAsia" w:ascii="宋体" w:hAnsi="宋体" w:eastAsia="宋体" w:cs="宋体"/>
                <w:b w:val="0"/>
                <w:bCs w:val="0"/>
                <w:color w:val="000000" w:themeColor="text1"/>
                <w:highlight w:val="none"/>
                <w14:textFill>
                  <w14:solidFill>
                    <w14:schemeClr w14:val="tx1"/>
                  </w14:solidFill>
                </w14:textFill>
              </w:rPr>
              <w:t>使用</w:t>
            </w:r>
            <w:r>
              <w:rPr>
                <w:rFonts w:hint="eastAsia" w:ascii="宋体" w:hAnsi="宋体" w:eastAsia="宋体" w:cs="宋体"/>
                <w:b w:val="0"/>
                <w:bCs w:val="0"/>
                <w:color w:val="000000" w:themeColor="text1"/>
                <w:highlight w:val="none"/>
                <w:lang w:eastAsia="zh-CN"/>
                <w14:textFill>
                  <w14:solidFill>
                    <w14:schemeClr w14:val="tx1"/>
                  </w14:solidFill>
                </w14:textFill>
              </w:rPr>
              <w:t>：</w:t>
            </w:r>
            <w:r>
              <w:rPr>
                <w:rFonts w:hint="eastAsia" w:ascii="宋体" w:hAnsi="宋体" w:eastAsia="宋体" w:cs="宋体"/>
                <w:b w:val="0"/>
                <w:bCs w:val="0"/>
                <w:color w:val="000000" w:themeColor="text1"/>
                <w:highlight w:val="none"/>
                <w14:textFill>
                  <w14:solidFill>
                    <w14:schemeClr w14:val="tx1"/>
                  </w14:solidFill>
                </w14:textFill>
              </w:rPr>
              <w:t>通过验收投入运行。</w:t>
            </w:r>
          </w:p>
          <w:p w14:paraId="30548B7C">
            <w:pPr>
              <w:pStyle w:val="74"/>
              <w:spacing w:line="360" w:lineRule="auto"/>
              <w:jc w:val="center"/>
              <w:rPr>
                <w:rFonts w:ascii="Times New Roman" w:cs="Times New Roman"/>
                <w:color w:val="000000" w:themeColor="text1"/>
                <w:kern w:val="2"/>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4799965" cy="548005"/>
                  <wp:effectExtent l="0" t="0" r="635" b="444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8"/>
                          <a:stretch>
                            <a:fillRect/>
                          </a:stretch>
                        </pic:blipFill>
                        <pic:spPr>
                          <a:xfrm>
                            <a:off x="0" y="0"/>
                            <a:ext cx="4799965" cy="548005"/>
                          </a:xfrm>
                          <a:prstGeom prst="rect">
                            <a:avLst/>
                          </a:prstGeom>
                          <a:noFill/>
                          <a:ln>
                            <a:noFill/>
                          </a:ln>
                        </pic:spPr>
                      </pic:pic>
                    </a:graphicData>
                  </a:graphic>
                </wp:inline>
              </w:drawing>
            </w:r>
          </w:p>
          <w:p w14:paraId="3677DFA7">
            <w:pPr>
              <w:pStyle w:val="41"/>
              <w:spacing w:line="360" w:lineRule="auto"/>
              <w:ind w:firstLine="482" w:firstLineChars="200"/>
              <w:rPr>
                <w:rFonts w:ascii="Times New Roman" w:cs="Times New Roman"/>
                <w:color w:val="000000" w:themeColor="text1"/>
                <w:sz w:val="32"/>
                <w:szCs w:val="40"/>
                <w:highlight w:val="none"/>
                <w14:textFill>
                  <w14:solidFill>
                    <w14:schemeClr w14:val="tx1"/>
                  </w14:solidFill>
                </w14:textFill>
              </w:rPr>
            </w:pPr>
            <w:r>
              <w:rPr>
                <w:rFonts w:ascii="Times New Roman" w:cs="Times New Roman"/>
                <w:b/>
                <w:bCs/>
                <w:color w:val="000000" w:themeColor="text1"/>
                <w:highlight w:val="none"/>
                <w14:textFill>
                  <w14:solidFill>
                    <w14:schemeClr w14:val="tx1"/>
                  </w14:solidFill>
                </w14:textFill>
              </w:rPr>
              <w:t>图2-</w:t>
            </w:r>
            <w:r>
              <w:rPr>
                <w:rFonts w:hint="eastAsia" w:ascii="Times New Roman" w:cs="Times New Roman"/>
                <w:b/>
                <w:bCs/>
                <w:color w:val="000000" w:themeColor="text1"/>
                <w:highlight w:val="none"/>
                <w14:textFill>
                  <w14:solidFill>
                    <w14:schemeClr w14:val="tx1"/>
                  </w14:solidFill>
                </w14:textFill>
              </w:rPr>
              <w:t xml:space="preserve">1 </w:t>
            </w:r>
            <w:r>
              <w:rPr>
                <w:rFonts w:ascii="Times New Roman" w:cs="Times New Roman"/>
                <w:b/>
                <w:bCs/>
                <w:color w:val="000000" w:themeColor="text1"/>
                <w:highlight w:val="none"/>
                <w14:textFill>
                  <w14:solidFill>
                    <w14:schemeClr w14:val="tx1"/>
                  </w14:solidFill>
                </w14:textFill>
              </w:rPr>
              <w:t xml:space="preserve"> </w:t>
            </w:r>
            <w:r>
              <w:rPr>
                <w:rFonts w:hint="eastAsia" w:ascii="Times New Roman" w:cs="Times New Roman"/>
                <w:b/>
                <w:bCs/>
                <w:color w:val="000000" w:themeColor="text1"/>
                <w:highlight w:val="none"/>
                <w14:textFill>
                  <w14:solidFill>
                    <w14:schemeClr w14:val="tx1"/>
                  </w14:solidFill>
                </w14:textFill>
              </w:rPr>
              <w:t>工程</w:t>
            </w:r>
            <w:r>
              <w:rPr>
                <w:rFonts w:ascii="Times New Roman" w:cs="Times New Roman"/>
                <w:b/>
                <w:bCs/>
                <w:color w:val="000000" w:themeColor="text1"/>
                <w:highlight w:val="none"/>
                <w14:textFill>
                  <w14:solidFill>
                    <w14:schemeClr w14:val="tx1"/>
                  </w14:solidFill>
                </w14:textFill>
              </w:rPr>
              <w:t>主要施工工艺图</w:t>
            </w:r>
          </w:p>
          <w:p w14:paraId="2FCBC7B6">
            <w:pPr>
              <w:pStyle w:val="41"/>
              <w:spacing w:line="360" w:lineRule="auto"/>
              <w:jc w:val="left"/>
              <w:rPr>
                <w:rFonts w:ascii="Times New Roman" w:cs="Times New Roman"/>
                <w:b/>
                <w:bCs/>
                <w:color w:val="000000" w:themeColor="text1"/>
                <w:highlight w:val="none"/>
                <w14:textFill>
                  <w14:solidFill>
                    <w14:schemeClr w14:val="tx1"/>
                  </w14:solidFill>
                </w14:textFill>
              </w:rPr>
            </w:pPr>
            <w:r>
              <w:rPr>
                <w:rFonts w:hint="eastAsia" w:ascii="Times New Roman" w:cs="Times New Roman"/>
                <w:b/>
                <w:bCs/>
                <w:color w:val="000000" w:themeColor="text1"/>
                <w:highlight w:val="none"/>
                <w14:textFill>
                  <w14:solidFill>
                    <w14:schemeClr w14:val="tx1"/>
                  </w14:solidFill>
                </w14:textFill>
              </w:rPr>
              <w:t>2、施工时序及建设周期</w:t>
            </w:r>
          </w:p>
          <w:p w14:paraId="7E22B670">
            <w:pPr>
              <w:widowControl/>
              <w:spacing w:line="360" w:lineRule="auto"/>
              <w:ind w:firstLine="480" w:firstLineChars="200"/>
              <w:jc w:val="left"/>
              <w:rPr>
                <w:b/>
                <w:bCs/>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根据场址的气候条件、施工条件等因素，合理安排工期，做到当年开工，当年投产，尽量避免在冬季雨季施工。在确保科学合理、经济可靠的原则下，确定本项目建设期为12个月，</w:t>
            </w:r>
            <w:r>
              <w:rPr>
                <w:bCs/>
                <w:color w:val="000000" w:themeColor="text1"/>
                <w:sz w:val="24"/>
                <w:highlight w:val="none"/>
                <w14:textFill>
                  <w14:solidFill>
                    <w14:schemeClr w14:val="tx1"/>
                  </w14:solidFill>
                </w14:textFill>
              </w:rPr>
              <w:t>项目分项工程节点计划见表2-</w:t>
            </w:r>
            <w:r>
              <w:rPr>
                <w:rFonts w:hint="eastAsia"/>
                <w:bCs/>
                <w:color w:val="000000" w:themeColor="text1"/>
                <w:sz w:val="24"/>
                <w:highlight w:val="none"/>
                <w:lang w:val="en-US" w:eastAsia="zh-CN"/>
                <w14:textFill>
                  <w14:solidFill>
                    <w14:schemeClr w14:val="tx1"/>
                  </w14:solidFill>
                </w14:textFill>
              </w:rPr>
              <w:t>4</w:t>
            </w:r>
            <w:r>
              <w:rPr>
                <w:bCs/>
                <w:color w:val="000000" w:themeColor="text1"/>
                <w:sz w:val="24"/>
                <w:highlight w:val="none"/>
                <w14:textFill>
                  <w14:solidFill>
                    <w14:schemeClr w14:val="tx1"/>
                  </w14:solidFill>
                </w14:textFill>
              </w:rPr>
              <w:t>。</w:t>
            </w:r>
          </w:p>
          <w:p w14:paraId="5BD3B282">
            <w:pPr>
              <w:pStyle w:val="13"/>
              <w:spacing w:after="0"/>
              <w:jc w:val="center"/>
              <w:rPr>
                <w:b/>
                <w:bCs/>
                <w:color w:val="000000" w:themeColor="text1"/>
                <w:sz w:val="24"/>
                <w:szCs w:val="32"/>
                <w:highlight w:val="none"/>
                <w14:textFill>
                  <w14:solidFill>
                    <w14:schemeClr w14:val="tx1"/>
                  </w14:solidFill>
                </w14:textFill>
              </w:rPr>
            </w:pPr>
            <w:r>
              <w:rPr>
                <w:b/>
                <w:bCs/>
                <w:color w:val="000000" w:themeColor="text1"/>
                <w:sz w:val="24"/>
                <w:szCs w:val="32"/>
                <w:highlight w:val="none"/>
                <w14:textFill>
                  <w14:solidFill>
                    <w14:schemeClr w14:val="tx1"/>
                  </w14:solidFill>
                </w14:textFill>
              </w:rPr>
              <w:t>表2</w:t>
            </w:r>
            <w:r>
              <w:rPr>
                <w:rFonts w:hint="eastAsia"/>
                <w:b/>
                <w:bCs/>
                <w:color w:val="000000" w:themeColor="text1"/>
                <w:sz w:val="24"/>
                <w:szCs w:val="32"/>
                <w:highlight w:val="none"/>
                <w:lang w:val="en-US" w:eastAsia="zh-CN"/>
                <w14:textFill>
                  <w14:solidFill>
                    <w14:schemeClr w14:val="tx1"/>
                  </w14:solidFill>
                </w14:textFill>
              </w:rPr>
              <w:t>-4</w:t>
            </w:r>
            <w:r>
              <w:rPr>
                <w:rFonts w:hint="eastAsia"/>
                <w:b/>
                <w:bCs/>
                <w:color w:val="000000" w:themeColor="text1"/>
                <w:sz w:val="24"/>
                <w:szCs w:val="32"/>
                <w:highlight w:val="none"/>
                <w14:textFill>
                  <w14:solidFill>
                    <w14:schemeClr w14:val="tx1"/>
                  </w14:solidFill>
                </w14:textFill>
              </w:rPr>
              <w:t xml:space="preserve">  </w:t>
            </w:r>
            <w:r>
              <w:rPr>
                <w:b/>
                <w:bCs/>
                <w:color w:val="000000" w:themeColor="text1"/>
                <w:sz w:val="24"/>
                <w:szCs w:val="32"/>
                <w:highlight w:val="none"/>
                <w14:textFill>
                  <w14:solidFill>
                    <w14:schemeClr w14:val="tx1"/>
                  </w14:solidFill>
                </w14:textFill>
              </w:rPr>
              <w:t>项目节点计划表</w:t>
            </w:r>
          </w:p>
          <w:tbl>
            <w:tblPr>
              <w:tblStyle w:val="32"/>
              <w:tblW w:w="8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4640"/>
              <w:gridCol w:w="2743"/>
            </w:tblGrid>
            <w:tr w14:paraId="6B0D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6" w:type="dxa"/>
                  <w:vAlign w:val="center"/>
                </w:tcPr>
                <w:p w14:paraId="637401E9">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序号</w:t>
                  </w:r>
                </w:p>
              </w:tc>
              <w:tc>
                <w:tcPr>
                  <w:tcW w:w="4640" w:type="dxa"/>
                  <w:vAlign w:val="center"/>
                </w:tcPr>
                <w:p w14:paraId="747A3BEE">
                  <w:pPr>
                    <w:widowControl/>
                    <w:jc w:val="center"/>
                    <w:rPr>
                      <w:b/>
                      <w:bCs/>
                      <w:color w:val="000000" w:themeColor="text1"/>
                      <w:kern w:val="0"/>
                      <w:szCs w:val="21"/>
                      <w:highlight w:val="none"/>
                      <w:lang w:bidi="ar"/>
                      <w14:textFill>
                        <w14:solidFill>
                          <w14:schemeClr w14:val="tx1"/>
                        </w14:solidFill>
                      </w14:textFill>
                    </w:rPr>
                  </w:pPr>
                  <w:r>
                    <w:rPr>
                      <w:rFonts w:hint="eastAsia"/>
                      <w:b/>
                      <w:bCs/>
                      <w:color w:val="000000" w:themeColor="text1"/>
                      <w:kern w:val="0"/>
                      <w:szCs w:val="21"/>
                      <w:highlight w:val="none"/>
                      <w:lang w:bidi="ar"/>
                      <w14:textFill>
                        <w14:solidFill>
                          <w14:schemeClr w14:val="tx1"/>
                        </w14:solidFill>
                      </w14:textFill>
                    </w:rPr>
                    <w:t>节点名称</w:t>
                  </w:r>
                </w:p>
              </w:tc>
              <w:tc>
                <w:tcPr>
                  <w:tcW w:w="2743" w:type="dxa"/>
                  <w:vAlign w:val="center"/>
                </w:tcPr>
                <w:p w14:paraId="105A1612">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控制工期</w:t>
                  </w:r>
                </w:p>
              </w:tc>
            </w:tr>
            <w:tr w14:paraId="172E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6" w:type="dxa"/>
                  <w:vAlign w:val="center"/>
                </w:tcPr>
                <w:p w14:paraId="7C2A3A7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4640" w:type="dxa"/>
                  <w:vAlign w:val="center"/>
                </w:tcPr>
                <w:p w14:paraId="7B11EC3A">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为施工准备期，主要完成</w:t>
                  </w:r>
                  <w:r>
                    <w:rPr>
                      <w:rFonts w:hint="eastAsia"/>
                      <w:color w:val="000000" w:themeColor="text1"/>
                      <w:szCs w:val="21"/>
                      <w:highlight w:val="none"/>
                      <w14:textFill>
                        <w14:solidFill>
                          <w14:schemeClr w14:val="tx1"/>
                        </w14:solidFill>
                      </w14:textFill>
                    </w:rPr>
                    <w:t>站址</w:t>
                  </w:r>
                  <w:r>
                    <w:rPr>
                      <w:color w:val="000000" w:themeColor="text1"/>
                      <w:szCs w:val="21"/>
                      <w:highlight w:val="none"/>
                      <w14:textFill>
                        <w14:solidFill>
                          <w14:schemeClr w14:val="tx1"/>
                        </w14:solidFill>
                      </w14:textFill>
                    </w:rPr>
                    <w:t>内</w:t>
                  </w:r>
                  <w:r>
                    <w:rPr>
                      <w:rFonts w:hint="eastAsia"/>
                      <w:color w:val="000000" w:themeColor="text1"/>
                      <w:szCs w:val="21"/>
                      <w:highlight w:val="none"/>
                      <w14:textFill>
                        <w14:solidFill>
                          <w14:schemeClr w14:val="tx1"/>
                        </w14:solidFill>
                      </w14:textFill>
                    </w:rPr>
                    <w:t>场地平整</w:t>
                  </w:r>
                  <w:r>
                    <w:rPr>
                      <w:color w:val="000000" w:themeColor="text1"/>
                      <w:szCs w:val="21"/>
                      <w:highlight w:val="none"/>
                      <w14:textFill>
                        <w14:solidFill>
                          <w14:schemeClr w14:val="tx1"/>
                        </w14:solidFill>
                      </w14:textFill>
                    </w:rPr>
                    <w:t>及</w:t>
                  </w:r>
                  <w:r>
                    <w:rPr>
                      <w:rFonts w:hint="eastAsia"/>
                      <w:color w:val="000000" w:themeColor="text1"/>
                      <w:szCs w:val="21"/>
                      <w:highlight w:val="none"/>
                      <w14:textFill>
                        <w14:solidFill>
                          <w14:schemeClr w14:val="tx1"/>
                        </w14:solidFill>
                      </w14:textFill>
                    </w:rPr>
                    <w:t>进站</w:t>
                  </w:r>
                  <w:r>
                    <w:rPr>
                      <w:color w:val="000000" w:themeColor="text1"/>
                      <w:szCs w:val="21"/>
                      <w:highlight w:val="none"/>
                      <w14:textFill>
                        <w14:solidFill>
                          <w14:schemeClr w14:val="tx1"/>
                        </w14:solidFill>
                      </w14:textFill>
                    </w:rPr>
                    <w:t>道路的施工</w:t>
                  </w:r>
                </w:p>
              </w:tc>
              <w:tc>
                <w:tcPr>
                  <w:tcW w:w="2743" w:type="dxa"/>
                  <w:vAlign w:val="center"/>
                </w:tcPr>
                <w:p w14:paraId="79A056C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第1个月初到第2个月</w:t>
                  </w:r>
                </w:p>
              </w:tc>
            </w:tr>
            <w:tr w14:paraId="04D1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6" w:type="dxa"/>
                  <w:vAlign w:val="center"/>
                </w:tcPr>
                <w:p w14:paraId="702FCF9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4640" w:type="dxa"/>
                  <w:vAlign w:val="center"/>
                </w:tcPr>
                <w:p w14:paraId="753B5AE5">
                  <w:pPr>
                    <w:widowControl/>
                    <w:jc w:val="center"/>
                    <w:rPr>
                      <w:color w:val="000000" w:themeColor="text1"/>
                      <w:szCs w:val="21"/>
                      <w:highlight w:val="none"/>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主变</w:t>
                  </w:r>
                  <w:r>
                    <w:rPr>
                      <w:color w:val="000000" w:themeColor="text1"/>
                      <w:kern w:val="0"/>
                      <w:szCs w:val="21"/>
                      <w:highlight w:val="none"/>
                      <w:lang w:bidi="ar"/>
                      <w14:textFill>
                        <w14:solidFill>
                          <w14:schemeClr w14:val="tx1"/>
                        </w14:solidFill>
                      </w14:textFill>
                    </w:rPr>
                    <w:t>基础开始施工</w:t>
                  </w:r>
                  <w:r>
                    <w:rPr>
                      <w:rFonts w:hint="eastAsia"/>
                      <w:color w:val="000000" w:themeColor="text1"/>
                      <w:kern w:val="0"/>
                      <w:szCs w:val="21"/>
                      <w:highlight w:val="none"/>
                      <w:lang w:bidi="ar"/>
                      <w14:textFill>
                        <w14:solidFill>
                          <w14:schemeClr w14:val="tx1"/>
                        </w14:solidFill>
                      </w14:textFill>
                    </w:rPr>
                    <w:t>，同时对整个站址建（构）筑物基础进行施工</w:t>
                  </w:r>
                </w:p>
              </w:tc>
              <w:tc>
                <w:tcPr>
                  <w:tcW w:w="2743" w:type="dxa"/>
                  <w:vAlign w:val="center"/>
                </w:tcPr>
                <w:p w14:paraId="011B066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第2个月初</w:t>
                  </w:r>
                </w:p>
              </w:tc>
            </w:tr>
            <w:tr w14:paraId="1C72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6" w:type="dxa"/>
                  <w:vAlign w:val="center"/>
                </w:tcPr>
                <w:p w14:paraId="61EA33A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4640" w:type="dxa"/>
                  <w:vAlign w:val="center"/>
                </w:tcPr>
                <w:p w14:paraId="70CD3211">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对</w:t>
                  </w:r>
                  <w:r>
                    <w:rPr>
                      <w:rFonts w:hint="eastAsia"/>
                      <w:color w:val="000000" w:themeColor="text1"/>
                      <w:szCs w:val="21"/>
                      <w:highlight w:val="none"/>
                      <w14:textFill>
                        <w14:solidFill>
                          <w14:schemeClr w14:val="tx1"/>
                        </w14:solidFill>
                      </w14:textFill>
                    </w:rPr>
                    <w:t>主变压器</w:t>
                  </w:r>
                  <w:r>
                    <w:rPr>
                      <w:color w:val="000000" w:themeColor="text1"/>
                      <w:szCs w:val="21"/>
                      <w:highlight w:val="none"/>
                      <w14:textFill>
                        <w14:solidFill>
                          <w14:schemeClr w14:val="tx1"/>
                        </w14:solidFill>
                      </w14:textFill>
                    </w:rPr>
                    <w:t>进行安装</w:t>
                  </w:r>
                </w:p>
              </w:tc>
              <w:tc>
                <w:tcPr>
                  <w:tcW w:w="2743" w:type="dxa"/>
                  <w:vAlign w:val="center"/>
                </w:tcPr>
                <w:p w14:paraId="0B06BC4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第3个月初起到第6个月底</w:t>
                  </w:r>
                </w:p>
              </w:tc>
            </w:tr>
            <w:tr w14:paraId="7C43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6" w:type="dxa"/>
                  <w:vAlign w:val="center"/>
                </w:tcPr>
                <w:p w14:paraId="71DEC923">
                  <w:pPr>
                    <w:jc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4</w:t>
                  </w:r>
                </w:p>
              </w:tc>
              <w:tc>
                <w:tcPr>
                  <w:tcW w:w="4640" w:type="dxa"/>
                  <w:vAlign w:val="center"/>
                </w:tcPr>
                <w:p w14:paraId="0AD7274C">
                  <w:pPr>
                    <w:widowControl/>
                    <w:jc w:val="center"/>
                    <w:rPr>
                      <w:color w:val="000000" w:themeColor="text1"/>
                      <w:szCs w:val="21"/>
                      <w:highlight w:val="none"/>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输电线路</w:t>
                  </w:r>
                  <w:r>
                    <w:rPr>
                      <w:rFonts w:hint="default" w:ascii="Times New Roman" w:hAnsi="Times New Roman" w:cs="Times New Roman"/>
                      <w:color w:val="000000" w:themeColor="text1"/>
                      <w:szCs w:val="21"/>
                      <w:lang w:val="en-US" w:eastAsia="zh-CN"/>
                      <w14:textFill>
                        <w14:solidFill>
                          <w14:schemeClr w14:val="tx1"/>
                        </w14:solidFill>
                      </w14:textFill>
                    </w:rPr>
                    <w:t>铺设</w:t>
                  </w:r>
                </w:p>
              </w:tc>
              <w:tc>
                <w:tcPr>
                  <w:tcW w:w="2743" w:type="dxa"/>
                  <w:vAlign w:val="center"/>
                </w:tcPr>
                <w:p w14:paraId="7B0B518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第6个月初起到第11个月初</w:t>
                  </w:r>
                </w:p>
              </w:tc>
            </w:tr>
            <w:tr w14:paraId="3CD4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6" w:type="dxa"/>
                  <w:vAlign w:val="center"/>
                </w:tcPr>
                <w:p w14:paraId="3A88E3A0">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5</w:t>
                  </w:r>
                </w:p>
              </w:tc>
              <w:tc>
                <w:tcPr>
                  <w:tcW w:w="4640" w:type="dxa"/>
                  <w:vAlign w:val="center"/>
                </w:tcPr>
                <w:p w14:paraId="30913FE0">
                  <w:pPr>
                    <w:widowControl/>
                    <w:jc w:val="center"/>
                    <w:rPr>
                      <w:color w:val="000000" w:themeColor="text1"/>
                      <w:szCs w:val="21"/>
                      <w:highlight w:val="none"/>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完成</w:t>
                  </w:r>
                  <w:r>
                    <w:rPr>
                      <w:color w:val="000000" w:themeColor="text1"/>
                      <w:kern w:val="0"/>
                      <w:szCs w:val="21"/>
                      <w:highlight w:val="none"/>
                      <w:lang w:bidi="ar"/>
                      <w14:textFill>
                        <w14:solidFill>
                          <w14:schemeClr w14:val="tx1"/>
                        </w14:solidFill>
                      </w14:textFill>
                    </w:rPr>
                    <w:t>调试</w:t>
                  </w:r>
                  <w:r>
                    <w:rPr>
                      <w:rFonts w:hint="eastAsia"/>
                      <w:color w:val="000000" w:themeColor="text1"/>
                      <w:kern w:val="0"/>
                      <w:szCs w:val="21"/>
                      <w:highlight w:val="none"/>
                      <w:lang w:bidi="ar"/>
                      <w14:textFill>
                        <w14:solidFill>
                          <w14:schemeClr w14:val="tx1"/>
                        </w14:solidFill>
                      </w14:textFill>
                    </w:rPr>
                    <w:t>验收</w:t>
                  </w:r>
                </w:p>
              </w:tc>
              <w:tc>
                <w:tcPr>
                  <w:tcW w:w="2743" w:type="dxa"/>
                  <w:vAlign w:val="center"/>
                </w:tcPr>
                <w:p w14:paraId="4F4C4A8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第11个月初~第11个月底</w:t>
                  </w:r>
                </w:p>
              </w:tc>
            </w:tr>
            <w:tr w14:paraId="153F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6" w:type="dxa"/>
                  <w:vAlign w:val="center"/>
                </w:tcPr>
                <w:p w14:paraId="410B4C6A">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6</w:t>
                  </w:r>
                </w:p>
              </w:tc>
              <w:tc>
                <w:tcPr>
                  <w:tcW w:w="4640" w:type="dxa"/>
                  <w:vAlign w:val="center"/>
                </w:tcPr>
                <w:p w14:paraId="697F60BD">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从第12个月初起开始对安装项目内容进行全面检查测试，到第12个月底投入运行</w:t>
                  </w:r>
                </w:p>
              </w:tc>
              <w:tc>
                <w:tcPr>
                  <w:tcW w:w="2743" w:type="dxa"/>
                  <w:vAlign w:val="center"/>
                </w:tcPr>
                <w:p w14:paraId="56AF118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第12个月初</w:t>
                  </w:r>
                  <w:r>
                    <w:rPr>
                      <w:rFonts w:hint="eastAsia"/>
                      <w:color w:val="000000" w:themeColor="text1"/>
                      <w:szCs w:val="21"/>
                      <w:highlight w:val="none"/>
                      <w14:textFill>
                        <w14:solidFill>
                          <w14:schemeClr w14:val="tx1"/>
                        </w14:solidFill>
                      </w14:textFill>
                    </w:rPr>
                    <w:t>~第12个月底</w:t>
                  </w:r>
                </w:p>
              </w:tc>
            </w:tr>
          </w:tbl>
          <w:p w14:paraId="516D940C">
            <w:pPr>
              <w:pStyle w:val="41"/>
              <w:spacing w:line="360" w:lineRule="auto"/>
              <w:ind w:firstLine="480" w:firstLineChars="200"/>
              <w:jc w:val="left"/>
              <w:rPr>
                <w:rFonts w:ascii="Times New Roman" w:cs="Times New Roman"/>
                <w:color w:val="000000" w:themeColor="text1"/>
                <w:highlight w:val="none"/>
                <w14:textFill>
                  <w14:solidFill>
                    <w14:schemeClr w14:val="tx1"/>
                  </w14:solidFill>
                </w14:textFill>
              </w:rPr>
            </w:pPr>
          </w:p>
        </w:tc>
      </w:tr>
      <w:tr w14:paraId="12074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0" w:hRule="atLeast"/>
          <w:jc w:val="center"/>
        </w:trPr>
        <w:tc>
          <w:tcPr>
            <w:tcW w:w="710" w:type="dxa"/>
            <w:vAlign w:val="center"/>
          </w:tcPr>
          <w:p w14:paraId="5F5D60EB">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w:t>
            </w:r>
          </w:p>
        </w:tc>
        <w:tc>
          <w:tcPr>
            <w:tcW w:w="8382" w:type="dxa"/>
            <w:vAlign w:val="center"/>
          </w:tcPr>
          <w:p w14:paraId="1C5C0A6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tc>
      </w:tr>
    </w:tbl>
    <w:p w14:paraId="3CCEC989">
      <w:pPr>
        <w:pStyle w:val="27"/>
        <w:jc w:val="center"/>
        <w:rPr>
          <w:rFonts w:hint="eastAsia" w:ascii="黑体" w:hAnsi="黑体" w:eastAsia="黑体"/>
          <w:snapToGrid w:val="0"/>
          <w:color w:val="000000" w:themeColor="text1"/>
          <w:sz w:val="30"/>
          <w:szCs w:val="30"/>
          <w:highlight w:val="none"/>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641665C8">
      <w:pPr>
        <w:pStyle w:val="27"/>
        <w:spacing w:after="0" w:afterAutospacing="0"/>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18" w:name="_Toc186"/>
      <w:bookmarkStart w:id="19" w:name="_Toc26154"/>
      <w:r>
        <w:rPr>
          <w:rFonts w:hint="eastAsia" w:ascii="黑体" w:hAnsi="黑体" w:eastAsia="黑体"/>
          <w:snapToGrid w:val="0"/>
          <w:color w:val="000000" w:themeColor="text1"/>
          <w:sz w:val="30"/>
          <w:szCs w:val="30"/>
          <w:highlight w:val="none"/>
          <w14:textFill>
            <w14:solidFill>
              <w14:schemeClr w14:val="tx1"/>
            </w14:solidFill>
          </w14:textFill>
        </w:rPr>
        <w:t>三、生态环境现状、保护目标及评价标准</w:t>
      </w:r>
      <w:bookmarkEnd w:id="18"/>
      <w:bookmarkEnd w:id="19"/>
    </w:p>
    <w:tbl>
      <w:tblPr>
        <w:tblStyle w:val="32"/>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8438"/>
      </w:tblGrid>
      <w:tr w14:paraId="7C7980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4A4BA1C4">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生态环境现状</w:t>
            </w:r>
          </w:p>
        </w:tc>
        <w:tc>
          <w:tcPr>
            <w:tcW w:w="8425" w:type="dxa"/>
            <w:vAlign w:val="center"/>
          </w:tcPr>
          <w:p w14:paraId="5289BC8F">
            <w:pPr>
              <w:widowControl/>
              <w:spacing w:line="360" w:lineRule="auto"/>
              <w:jc w:val="lef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w:t>
            </w:r>
            <w:r>
              <w:rPr>
                <w:b/>
                <w:bCs/>
                <w:color w:val="000000" w:themeColor="text1"/>
                <w:sz w:val="24"/>
                <w:highlight w:val="none"/>
                <w14:textFill>
                  <w14:solidFill>
                    <w14:schemeClr w14:val="tx1"/>
                  </w14:solidFill>
                </w14:textFill>
              </w:rPr>
              <w:t>本项目主体功能区规划</w:t>
            </w:r>
            <w:r>
              <w:rPr>
                <w:rFonts w:hint="eastAsia"/>
                <w:b/>
                <w:bCs/>
                <w:color w:val="000000" w:themeColor="text1"/>
                <w:sz w:val="24"/>
                <w:highlight w:val="none"/>
                <w14:textFill>
                  <w14:solidFill>
                    <w14:schemeClr w14:val="tx1"/>
                  </w14:solidFill>
                </w14:textFill>
              </w:rPr>
              <w:t>情况</w:t>
            </w:r>
          </w:p>
          <w:p w14:paraId="0913AA6C">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根据《新疆维吾尔自治区主体功能区规划》，新疆主体功能区按开发方式，分为重点开发区域、限制开发区域</w:t>
            </w:r>
            <w:r>
              <w:rPr>
                <w:color w:val="000000" w:themeColor="text1"/>
                <w:sz w:val="24"/>
                <w:highlight w:val="none"/>
                <w14:textFill>
                  <w14:solidFill>
                    <w14:schemeClr w14:val="tx1"/>
                  </w14:solidFill>
                </w14:textFill>
              </w:rPr>
              <w:t>和禁止开发区域；按开发内容，分为城市化地区、农产品主产区</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重点生态功能区三类；按层级，分为国家和自治区级两个层面。</w:t>
            </w:r>
          </w:p>
          <w:p w14:paraId="527D96FF">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本项目位于</w:t>
            </w:r>
            <w:r>
              <w:rPr>
                <w:rFonts w:hint="eastAsia"/>
                <w:color w:val="000000" w:themeColor="text1"/>
                <w:sz w:val="24"/>
                <w:highlight w:val="none"/>
                <w14:textFill>
                  <w14:solidFill>
                    <w14:schemeClr w14:val="tx1"/>
                  </w14:solidFill>
                </w14:textFill>
              </w:rPr>
              <w:t>新疆维吾尔自治区吐鲁番市</w:t>
            </w:r>
            <w:r>
              <w:rPr>
                <w:rFonts w:hint="eastAsia"/>
                <w:color w:val="000000" w:themeColor="text1"/>
                <w:sz w:val="24"/>
                <w:highlight w:val="none"/>
                <w:lang w:val="en-US" w:eastAsia="zh-CN"/>
                <w14:textFill>
                  <w14:solidFill>
                    <w14:schemeClr w14:val="tx1"/>
                  </w14:solidFill>
                </w14:textFill>
              </w:rPr>
              <w:t>托克逊</w:t>
            </w:r>
            <w:r>
              <w:rPr>
                <w:rFonts w:hint="eastAsia"/>
                <w:color w:val="000000" w:themeColor="text1"/>
                <w:sz w:val="24"/>
                <w:highlight w:val="none"/>
                <w14:textFill>
                  <w14:solidFill>
                    <w14:schemeClr w14:val="tx1"/>
                  </w14:solidFill>
                </w14:textFill>
              </w:rPr>
              <w:t>县境</w:t>
            </w:r>
            <w:r>
              <w:rPr>
                <w:color w:val="000000" w:themeColor="text1"/>
                <w:sz w:val="24"/>
                <w:highlight w:val="none"/>
                <w14:textFill>
                  <w14:solidFill>
                    <w14:schemeClr w14:val="tx1"/>
                  </w14:solidFill>
                </w14:textFill>
              </w:rPr>
              <w:t>内，不属于主体功能区划中确定的国家和自治区层面的禁止开发区域。对照《新疆维吾尔自治区主体功能区规划》的划分，本工程所在区域属于国家级农产品主产区，为限制开发区域。</w:t>
            </w:r>
          </w:p>
          <w:p w14:paraId="3716A375">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限制开发区域</w:t>
            </w:r>
            <w:r>
              <w:rPr>
                <w:rFonts w:hint="eastAsia"/>
                <w:snapToGrid w:val="0"/>
                <w:color w:val="000000" w:themeColor="text1"/>
                <w:kern w:val="0"/>
                <w:sz w:val="24"/>
                <w:highlight w:val="none"/>
                <w14:textFill>
                  <w14:solidFill>
                    <w14:schemeClr w14:val="tx1"/>
                  </w14:solidFill>
                </w14:textFill>
              </w:rPr>
              <w:t>（农产品主产区）</w:t>
            </w:r>
            <w:r>
              <w:rPr>
                <w:snapToGrid w:val="0"/>
                <w:color w:val="000000" w:themeColor="text1"/>
                <w:kern w:val="0"/>
                <w:sz w:val="24"/>
                <w:highlight w:val="none"/>
                <w14:textFill>
                  <w14:solidFill>
                    <w14:schemeClr w14:val="tx1"/>
                  </w14:solidFill>
                </w14:textFill>
              </w:rPr>
              <w:t>——限制进行大规模高强度工业化城镇化开发的重点生态功能区。其功能定位是：保障农牧产品供给安全的重要区域，农牧民安居乐业的美好家园，社会主义新农村建设的示范区。开发原则：加强土地整治，搞好规划，统筹安排、连片推进，加快中低产田改造，鼓励农民开展土壤改良</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加强水利设施建设，加快水源工程、大中型灌区配套和节水改造工程建设</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加强人工影响天气能力建设</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优化农牧业生产布局和品种结构，搞好农牧业布局规划，科学确定各区域农牧业发展重点，形成优势突出和特色鲜明的农牧业产业带和生产区</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支持优势农产品主产区农产品加工、流通、储运设施的建设，引导农牧产品加工、流通、储运企业向优势产区聚集</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以县域为重点推进城镇建设和非农产业发展，加强县城和乡镇公共服务设施建设，完善小城镇公共服务和居住功能。</w:t>
            </w:r>
          </w:p>
          <w:p w14:paraId="7A898BC7">
            <w:pPr>
              <w:adjustRightInd w:val="0"/>
              <w:snapToGrid w:val="0"/>
              <w:spacing w:line="360" w:lineRule="auto"/>
              <w:ind w:firstLine="480" w:firstLineChars="200"/>
              <w:rPr>
                <w:snapToGrid w:val="0"/>
                <w:color w:val="000000" w:themeColor="text1"/>
                <w:kern w:val="0"/>
                <w:sz w:val="24"/>
                <w:highlight w:val="none"/>
                <w14:textFill>
                  <w14:solidFill>
                    <w14:schemeClr w14:val="tx1"/>
                  </w14:solidFill>
                </w14:textFill>
              </w:rPr>
            </w:pPr>
            <w:r>
              <w:rPr>
                <w:snapToGrid w:val="0"/>
                <w:color w:val="000000" w:themeColor="text1"/>
                <w:kern w:val="0"/>
                <w:sz w:val="24"/>
                <w:highlight w:val="none"/>
                <w14:textFill>
                  <w14:solidFill>
                    <w14:schemeClr w14:val="tx1"/>
                  </w14:solidFill>
                </w14:textFill>
              </w:rPr>
              <w:t>本项目</w:t>
            </w:r>
            <w:r>
              <w:rPr>
                <w:rFonts w:hint="eastAsia"/>
                <w:snapToGrid w:val="0"/>
                <w:color w:val="000000" w:themeColor="text1"/>
                <w:kern w:val="0"/>
                <w:sz w:val="24"/>
                <w:highlight w:val="none"/>
                <w14:textFill>
                  <w14:solidFill>
                    <w14:schemeClr w14:val="tx1"/>
                  </w14:solidFill>
                </w14:textFill>
              </w:rPr>
              <w:t>为</w:t>
            </w:r>
            <w:r>
              <w:rPr>
                <w:color w:val="000000" w:themeColor="text1"/>
                <w:kern w:val="0"/>
                <w:sz w:val="24"/>
                <w:highlight w:val="none"/>
                <w14:textFill>
                  <w14:solidFill>
                    <w14:schemeClr w14:val="tx1"/>
                  </w14:solidFill>
                </w14:textFill>
              </w:rPr>
              <w:t>电力能源基础设施建设工程</w:t>
            </w:r>
            <w:r>
              <w:rPr>
                <w:snapToGrid w:val="0"/>
                <w:color w:val="000000" w:themeColor="text1"/>
                <w:kern w:val="0"/>
                <w:sz w:val="24"/>
                <w:highlight w:val="none"/>
                <w14:textFill>
                  <w14:solidFill>
                    <w14:schemeClr w14:val="tx1"/>
                  </w14:solidFill>
                </w14:textFill>
              </w:rPr>
              <w:t>，项目所在区域不在</w:t>
            </w:r>
            <w:r>
              <w:rPr>
                <w:rFonts w:hint="eastAsia"/>
                <w:snapToGrid w:val="0"/>
                <w:color w:val="000000" w:themeColor="text1"/>
                <w:kern w:val="0"/>
                <w:sz w:val="24"/>
                <w:highlight w:val="none"/>
                <w:lang w:eastAsia="zh-CN"/>
                <w14:textFill>
                  <w14:solidFill>
                    <w14:schemeClr w14:val="tx1"/>
                  </w14:solidFill>
                </w14:textFill>
              </w:rPr>
              <w:t>生态保护红线</w:t>
            </w:r>
            <w:r>
              <w:rPr>
                <w:snapToGrid w:val="0"/>
                <w:color w:val="000000" w:themeColor="text1"/>
                <w:kern w:val="0"/>
                <w:sz w:val="24"/>
                <w:highlight w:val="none"/>
                <w14:textFill>
                  <w14:solidFill>
                    <w14:schemeClr w14:val="tx1"/>
                  </w14:solidFill>
                </w14:textFill>
              </w:rPr>
              <w:t>区内，工程所占土地</w:t>
            </w:r>
            <w:r>
              <w:rPr>
                <w:rFonts w:hint="eastAsia"/>
                <w:snapToGrid w:val="0"/>
                <w:color w:val="000000" w:themeColor="text1"/>
                <w:kern w:val="0"/>
                <w:sz w:val="24"/>
                <w:highlight w:val="none"/>
                <w14:textFill>
                  <w14:solidFill>
                    <w14:schemeClr w14:val="tx1"/>
                  </w14:solidFill>
                </w14:textFill>
              </w:rPr>
              <w:t>不涉及基本农田</w:t>
            </w:r>
            <w:r>
              <w:rPr>
                <w:snapToGrid w:val="0"/>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符合以上</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加强基础设施建设</w:t>
            </w: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的开发原则；</w:t>
            </w:r>
            <w:r>
              <w:rPr>
                <w:snapToGrid w:val="0"/>
                <w:color w:val="000000" w:themeColor="text1"/>
                <w:kern w:val="0"/>
                <w:sz w:val="24"/>
                <w:highlight w:val="none"/>
                <w14:textFill>
                  <w14:solidFill>
                    <w14:schemeClr w14:val="tx1"/>
                  </w14:solidFill>
                </w14:textFill>
              </w:rPr>
              <w:t>项目不属于限制开发区域中大规模高强度工业化城镇化开发项目，本环评已提出尽量少占用土地及施工后的生态恢复相关要求，同时要求建设单位需对开发活动严格控制，尽可能减少对生态系统的干扰</w:t>
            </w:r>
            <w:r>
              <w:rPr>
                <w:rFonts w:hint="eastAsia"/>
                <w:snapToGrid w:val="0"/>
                <w:color w:val="000000" w:themeColor="text1"/>
                <w:kern w:val="0"/>
                <w:sz w:val="24"/>
                <w:highlight w:val="none"/>
                <w14:textFill>
                  <w14:solidFill>
                    <w14:schemeClr w14:val="tx1"/>
                  </w14:solidFill>
                </w14:textFill>
              </w:rPr>
              <w:t>；</w:t>
            </w:r>
            <w:r>
              <w:rPr>
                <w:snapToGrid w:val="0"/>
                <w:color w:val="000000" w:themeColor="text1"/>
                <w:kern w:val="0"/>
                <w:sz w:val="24"/>
                <w:highlight w:val="none"/>
                <w14:textFill>
                  <w14:solidFill>
                    <w14:schemeClr w14:val="tx1"/>
                  </w14:solidFill>
                </w14:textFill>
              </w:rPr>
              <w:t>在项目实施过程中积极采取生态保护措施，加强</w:t>
            </w:r>
            <w:r>
              <w:rPr>
                <w:rFonts w:hint="eastAsia"/>
                <w:snapToGrid w:val="0"/>
                <w:color w:val="000000" w:themeColor="text1"/>
                <w:kern w:val="0"/>
                <w:sz w:val="24"/>
                <w:highlight w:val="none"/>
                <w14:textFill>
                  <w14:solidFill>
                    <w14:schemeClr w14:val="tx1"/>
                  </w14:solidFill>
                </w14:textFill>
              </w:rPr>
              <w:t>对生态系统保护和恢复，维护自然生态环境，积极落实本次环评提出的各项生态环境保护措施，能够满足以上开发原则。</w:t>
            </w:r>
          </w:p>
          <w:p w14:paraId="09C44E0D">
            <w:pPr>
              <w:widowControl/>
              <w:spacing w:line="360" w:lineRule="auto"/>
              <w:jc w:val="left"/>
              <w:rPr>
                <w:b/>
                <w:bCs/>
                <w:color w:val="000000" w:themeColor="text1"/>
                <w:sz w:val="24"/>
                <w:highlight w:val="none"/>
                <w14:textFill>
                  <w14:solidFill>
                    <w14:schemeClr w14:val="tx1"/>
                  </w14:solidFill>
                </w14:textFill>
              </w:rPr>
            </w:pPr>
          </w:p>
          <w:p w14:paraId="4AF30CD5">
            <w:pPr>
              <w:widowControl/>
              <w:spacing w:line="360" w:lineRule="auto"/>
              <w:jc w:val="left"/>
              <w:rPr>
                <w:b/>
                <w:bCs/>
                <w:color w:val="000000" w:themeColor="text1"/>
                <w:sz w:val="24"/>
                <w:highlight w:val="none"/>
                <w14:textFill>
                  <w14:solidFill>
                    <w14:schemeClr w14:val="tx1"/>
                  </w14:solidFill>
                </w14:textFill>
              </w:rPr>
            </w:pPr>
          </w:p>
          <w:p w14:paraId="6940257D">
            <w:pPr>
              <w:widowControl/>
              <w:spacing w:line="360" w:lineRule="auto"/>
              <w:jc w:val="left"/>
              <w:rPr>
                <w:b/>
                <w:bCs/>
                <w:color w:val="000000" w:themeColor="text1"/>
                <w:kern w:val="0"/>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w:t>
            </w:r>
            <w:r>
              <w:rPr>
                <w:b/>
                <w:bCs/>
                <w:color w:val="000000" w:themeColor="text1"/>
                <w:sz w:val="24"/>
                <w:highlight w:val="none"/>
                <w14:textFill>
                  <w14:solidFill>
                    <w14:schemeClr w14:val="tx1"/>
                  </w14:solidFill>
                </w14:textFill>
              </w:rPr>
              <w:t>本项目</w:t>
            </w:r>
            <w:r>
              <w:rPr>
                <w:rFonts w:hint="eastAsia"/>
                <w:b/>
                <w:bCs/>
                <w:color w:val="000000" w:themeColor="text1"/>
                <w:sz w:val="24"/>
                <w:highlight w:val="none"/>
                <w14:textFill>
                  <w14:solidFill>
                    <w14:schemeClr w14:val="tx1"/>
                  </w14:solidFill>
                </w14:textFill>
              </w:rPr>
              <w:t>生态功能区划</w:t>
            </w:r>
            <w:r>
              <w:rPr>
                <w:rFonts w:hint="eastAsia"/>
                <w:b/>
                <w:bCs/>
                <w:color w:val="000000" w:themeColor="text1"/>
                <w:sz w:val="24"/>
                <w:highlight w:val="none"/>
                <w:lang w:bidi="zh-CN"/>
                <w14:textFill>
                  <w14:solidFill>
                    <w14:schemeClr w14:val="tx1"/>
                  </w14:solidFill>
                </w14:textFill>
              </w:rPr>
              <w:t>情况</w:t>
            </w:r>
          </w:p>
          <w:p w14:paraId="5CEB0BA4">
            <w:pPr>
              <w:widowControl/>
              <w:spacing w:line="360" w:lineRule="auto"/>
              <w:ind w:firstLine="480" w:firstLineChars="200"/>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根据《新疆生态功能区划》，本项目所在区域属于Ⅲ天山山地温性草原、森林生态区，Ⅲ</w:t>
            </w:r>
            <w:r>
              <w:rPr>
                <w:rFonts w:hint="eastAsia"/>
                <w:color w:val="000000" w:themeColor="text1"/>
                <w:kern w:val="0"/>
                <w:sz w:val="24"/>
                <w:highlight w:val="none"/>
                <w:vertAlign w:val="subscript"/>
                <w:lang w:val="en-US" w:eastAsia="zh-CN"/>
                <w14:textFill>
                  <w14:solidFill>
                    <w14:schemeClr w14:val="tx1"/>
                  </w14:solidFill>
                </w14:textFill>
              </w:rPr>
              <w:t>3</w:t>
            </w:r>
            <w:r>
              <w:rPr>
                <w:rFonts w:hint="eastAsia"/>
                <w:color w:val="000000" w:themeColor="text1"/>
                <w:kern w:val="0"/>
                <w:sz w:val="24"/>
                <w:highlight w:val="none"/>
                <w14:textFill>
                  <w14:solidFill>
                    <w14:schemeClr w14:val="tx1"/>
                  </w14:solidFill>
                </w14:textFill>
              </w:rPr>
              <w:t>天山南坡草原牧业、绿洲农业生态亚区</w:t>
            </w:r>
            <w:r>
              <w:rPr>
                <w:color w:val="000000" w:themeColor="text1"/>
                <w:kern w:val="0"/>
                <w:sz w:val="24"/>
                <w:highlight w:val="none"/>
                <w14:textFill>
                  <w14:solidFill>
                    <w14:schemeClr w14:val="tx1"/>
                  </w14:solidFill>
                </w14:textFill>
              </w:rPr>
              <w:t>，</w:t>
            </w:r>
            <w:r>
              <w:rPr>
                <w:rFonts w:hint="eastAsia"/>
                <w:color w:val="000000" w:themeColor="text1"/>
                <w:kern w:val="0"/>
                <w:sz w:val="24"/>
                <w:highlight w:val="none"/>
                <w:lang w:val="en-US" w:eastAsia="zh-CN"/>
                <w14:textFill>
                  <w14:solidFill>
                    <w14:schemeClr w14:val="tx1"/>
                  </w14:solidFill>
                </w14:textFill>
              </w:rPr>
              <w:t>50</w:t>
            </w:r>
            <w:r>
              <w:rPr>
                <w:color w:val="000000" w:themeColor="text1"/>
                <w:kern w:val="0"/>
                <w:sz w:val="24"/>
                <w:highlight w:val="none"/>
                <w14:textFill>
                  <w14:solidFill>
                    <w14:schemeClr w14:val="tx1"/>
                  </w14:solidFill>
                </w14:textFill>
              </w:rPr>
              <w:t>.</w:t>
            </w:r>
            <w:r>
              <w:rPr>
                <w:rFonts w:hint="eastAsia"/>
                <w:color w:val="000000" w:themeColor="text1"/>
                <w:kern w:val="0"/>
                <w:sz w:val="24"/>
                <w:highlight w:val="none"/>
                <w14:textFill>
                  <w14:solidFill>
                    <w14:schemeClr w14:val="tx1"/>
                  </w14:solidFill>
                </w14:textFill>
              </w:rPr>
              <w:t>吐鲁番盆地绿洲特色农业与旅游生态功能区</w:t>
            </w:r>
            <w:r>
              <w:rPr>
                <w:color w:val="000000" w:themeColor="text1"/>
                <w:kern w:val="0"/>
                <w:sz w:val="24"/>
                <w:highlight w:val="none"/>
                <w14:textFill>
                  <w14:solidFill>
                    <w14:schemeClr w14:val="tx1"/>
                  </w14:solidFill>
                </w14:textFill>
              </w:rPr>
              <w:t>。该生态功能区主要生态服务功能、生态敏感因子、主要生态环境问题和主要保护目标简表3-1。</w:t>
            </w:r>
          </w:p>
          <w:p w14:paraId="402A8D9C">
            <w:pPr>
              <w:adjustRightInd w:val="0"/>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表3-1  项目区生态功能区划简表</w:t>
            </w:r>
          </w:p>
          <w:tbl>
            <w:tblPr>
              <w:tblStyle w:val="3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879"/>
              <w:gridCol w:w="736"/>
              <w:gridCol w:w="984"/>
              <w:gridCol w:w="746"/>
              <w:gridCol w:w="821"/>
              <w:gridCol w:w="956"/>
              <w:gridCol w:w="647"/>
              <w:gridCol w:w="897"/>
              <w:gridCol w:w="821"/>
            </w:tblGrid>
            <w:tr w14:paraId="0C6B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421" w:type="pct"/>
                  <w:gridSpan w:val="3"/>
                  <w:tcMar>
                    <w:top w:w="0" w:type="dxa"/>
                    <w:left w:w="57" w:type="dxa"/>
                    <w:bottom w:w="0" w:type="dxa"/>
                    <w:right w:w="57" w:type="dxa"/>
                  </w:tcMar>
                  <w:vAlign w:val="center"/>
                </w:tcPr>
                <w:p w14:paraId="3B877D41">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生态功能分区单元</w:t>
                  </w:r>
                </w:p>
              </w:tc>
              <w:tc>
                <w:tcPr>
                  <w:tcW w:w="599" w:type="pct"/>
                  <w:vMerge w:val="restart"/>
                  <w:tcMar>
                    <w:top w:w="0" w:type="dxa"/>
                    <w:left w:w="57" w:type="dxa"/>
                    <w:bottom w:w="0" w:type="dxa"/>
                    <w:right w:w="57" w:type="dxa"/>
                  </w:tcMar>
                  <w:vAlign w:val="center"/>
                </w:tcPr>
                <w:p w14:paraId="57DCE973">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隶属行政区</w:t>
                  </w:r>
                </w:p>
              </w:tc>
              <w:tc>
                <w:tcPr>
                  <w:tcW w:w="454" w:type="pct"/>
                  <w:vMerge w:val="restart"/>
                  <w:tcMar>
                    <w:top w:w="0" w:type="dxa"/>
                    <w:left w:w="57" w:type="dxa"/>
                    <w:bottom w:w="0" w:type="dxa"/>
                    <w:right w:w="57" w:type="dxa"/>
                  </w:tcMar>
                  <w:vAlign w:val="center"/>
                </w:tcPr>
                <w:p w14:paraId="50F4BB84">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主要生态服务功能</w:t>
                  </w:r>
                </w:p>
              </w:tc>
              <w:tc>
                <w:tcPr>
                  <w:tcW w:w="500" w:type="pct"/>
                  <w:vMerge w:val="restart"/>
                  <w:tcMar>
                    <w:top w:w="0" w:type="dxa"/>
                    <w:left w:w="57" w:type="dxa"/>
                    <w:bottom w:w="0" w:type="dxa"/>
                    <w:right w:w="57" w:type="dxa"/>
                  </w:tcMar>
                  <w:vAlign w:val="center"/>
                </w:tcPr>
                <w:p w14:paraId="57CA8F84">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主要生态环境问题</w:t>
                  </w:r>
                </w:p>
              </w:tc>
              <w:tc>
                <w:tcPr>
                  <w:tcW w:w="582" w:type="pct"/>
                  <w:vMerge w:val="restart"/>
                  <w:tcMar>
                    <w:top w:w="0" w:type="dxa"/>
                    <w:left w:w="57" w:type="dxa"/>
                    <w:bottom w:w="0" w:type="dxa"/>
                    <w:right w:w="57" w:type="dxa"/>
                  </w:tcMar>
                  <w:vAlign w:val="center"/>
                </w:tcPr>
                <w:p w14:paraId="10F0AF9F">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主要生态敏感因子、敏感程度</w:t>
                  </w:r>
                </w:p>
              </w:tc>
              <w:tc>
                <w:tcPr>
                  <w:tcW w:w="394" w:type="pct"/>
                  <w:vMerge w:val="restart"/>
                  <w:tcMar>
                    <w:top w:w="0" w:type="dxa"/>
                    <w:left w:w="57" w:type="dxa"/>
                    <w:bottom w:w="0" w:type="dxa"/>
                    <w:right w:w="57" w:type="dxa"/>
                  </w:tcMar>
                  <w:vAlign w:val="center"/>
                </w:tcPr>
                <w:p w14:paraId="7C8E131E">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主要保护目标</w:t>
                  </w:r>
                </w:p>
              </w:tc>
              <w:tc>
                <w:tcPr>
                  <w:tcW w:w="546" w:type="pct"/>
                  <w:vMerge w:val="restart"/>
                  <w:tcMar>
                    <w:top w:w="0" w:type="dxa"/>
                    <w:left w:w="57" w:type="dxa"/>
                    <w:bottom w:w="0" w:type="dxa"/>
                    <w:right w:w="57" w:type="dxa"/>
                  </w:tcMar>
                  <w:vAlign w:val="center"/>
                </w:tcPr>
                <w:p w14:paraId="7180541E">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主要保护措施</w:t>
                  </w:r>
                </w:p>
              </w:tc>
              <w:tc>
                <w:tcPr>
                  <w:tcW w:w="500" w:type="pct"/>
                  <w:vMerge w:val="restart"/>
                  <w:tcMar>
                    <w:top w:w="0" w:type="dxa"/>
                    <w:left w:w="57" w:type="dxa"/>
                    <w:bottom w:w="0" w:type="dxa"/>
                    <w:right w:w="57" w:type="dxa"/>
                  </w:tcMar>
                  <w:vAlign w:val="center"/>
                </w:tcPr>
                <w:p w14:paraId="6327E43A">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适宜发展方向</w:t>
                  </w:r>
                </w:p>
              </w:tc>
            </w:tr>
            <w:tr w14:paraId="6781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pct"/>
                  <w:tcMar>
                    <w:top w:w="0" w:type="dxa"/>
                    <w:left w:w="57" w:type="dxa"/>
                    <w:bottom w:w="0" w:type="dxa"/>
                    <w:right w:w="57" w:type="dxa"/>
                  </w:tcMar>
                  <w:vAlign w:val="center"/>
                </w:tcPr>
                <w:p w14:paraId="139FA335">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生态区</w:t>
                  </w:r>
                </w:p>
              </w:tc>
              <w:tc>
                <w:tcPr>
                  <w:tcW w:w="535" w:type="pct"/>
                  <w:tcMar>
                    <w:top w:w="0" w:type="dxa"/>
                    <w:left w:w="57" w:type="dxa"/>
                    <w:bottom w:w="0" w:type="dxa"/>
                    <w:right w:w="57" w:type="dxa"/>
                  </w:tcMar>
                  <w:vAlign w:val="center"/>
                </w:tcPr>
                <w:p w14:paraId="6E44F175">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生态亚区</w:t>
                  </w:r>
                </w:p>
              </w:tc>
              <w:tc>
                <w:tcPr>
                  <w:tcW w:w="447" w:type="pct"/>
                  <w:tcMar>
                    <w:top w:w="0" w:type="dxa"/>
                    <w:left w:w="57" w:type="dxa"/>
                    <w:bottom w:w="0" w:type="dxa"/>
                    <w:right w:w="57" w:type="dxa"/>
                  </w:tcMar>
                  <w:vAlign w:val="center"/>
                </w:tcPr>
                <w:p w14:paraId="65F00119">
                  <w:pPr>
                    <w:pStyle w:val="96"/>
                    <w:rPr>
                      <w:rFonts w:ascii="Times New Roman" w:hAnsi="Times New Roman"/>
                      <w:b/>
                      <w:bCs/>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21"/>
                      <w:szCs w:val="21"/>
                      <w:highlight w:val="none"/>
                      <w14:textFill>
                        <w14:solidFill>
                          <w14:schemeClr w14:val="tx1"/>
                        </w14:solidFill>
                      </w14:textFill>
                    </w:rPr>
                    <w:t>生态功能区</w:t>
                  </w:r>
                </w:p>
              </w:tc>
              <w:tc>
                <w:tcPr>
                  <w:tcW w:w="599" w:type="pct"/>
                  <w:vMerge w:val="continue"/>
                  <w:tcMar>
                    <w:top w:w="0" w:type="dxa"/>
                    <w:left w:w="57" w:type="dxa"/>
                    <w:bottom w:w="0" w:type="dxa"/>
                    <w:right w:w="57" w:type="dxa"/>
                  </w:tcMar>
                  <w:vAlign w:val="center"/>
                </w:tcPr>
                <w:p w14:paraId="436715FE">
                  <w:pPr>
                    <w:pStyle w:val="96"/>
                    <w:rPr>
                      <w:rFonts w:ascii="Times New Roman" w:hAnsi="Times New Roman"/>
                      <w:b/>
                      <w:bCs/>
                      <w:color w:val="000000" w:themeColor="text1"/>
                      <w:sz w:val="21"/>
                      <w:szCs w:val="21"/>
                      <w:highlight w:val="none"/>
                      <w14:textFill>
                        <w14:solidFill>
                          <w14:schemeClr w14:val="tx1"/>
                        </w14:solidFill>
                      </w14:textFill>
                    </w:rPr>
                  </w:pPr>
                </w:p>
              </w:tc>
              <w:tc>
                <w:tcPr>
                  <w:tcW w:w="454" w:type="pct"/>
                  <w:vMerge w:val="continue"/>
                  <w:tcMar>
                    <w:top w:w="0" w:type="dxa"/>
                    <w:left w:w="57" w:type="dxa"/>
                    <w:bottom w:w="0" w:type="dxa"/>
                    <w:right w:w="57" w:type="dxa"/>
                  </w:tcMar>
                  <w:vAlign w:val="center"/>
                </w:tcPr>
                <w:p w14:paraId="64C3790E">
                  <w:pPr>
                    <w:pStyle w:val="96"/>
                    <w:rPr>
                      <w:rFonts w:ascii="Times New Roman" w:hAnsi="Times New Roman"/>
                      <w:b/>
                      <w:bCs/>
                      <w:color w:val="000000" w:themeColor="text1"/>
                      <w:sz w:val="21"/>
                      <w:szCs w:val="21"/>
                      <w:highlight w:val="none"/>
                      <w14:textFill>
                        <w14:solidFill>
                          <w14:schemeClr w14:val="tx1"/>
                        </w14:solidFill>
                      </w14:textFill>
                    </w:rPr>
                  </w:pPr>
                </w:p>
              </w:tc>
              <w:tc>
                <w:tcPr>
                  <w:tcW w:w="500" w:type="pct"/>
                  <w:vMerge w:val="continue"/>
                  <w:tcMar>
                    <w:top w:w="0" w:type="dxa"/>
                    <w:left w:w="57" w:type="dxa"/>
                    <w:bottom w:w="0" w:type="dxa"/>
                    <w:right w:w="57" w:type="dxa"/>
                  </w:tcMar>
                  <w:vAlign w:val="center"/>
                </w:tcPr>
                <w:p w14:paraId="3A07E860">
                  <w:pPr>
                    <w:pStyle w:val="96"/>
                    <w:rPr>
                      <w:rFonts w:ascii="Times New Roman" w:hAnsi="Times New Roman"/>
                      <w:b/>
                      <w:bCs/>
                      <w:color w:val="000000" w:themeColor="text1"/>
                      <w:sz w:val="21"/>
                      <w:szCs w:val="21"/>
                      <w:highlight w:val="none"/>
                      <w14:textFill>
                        <w14:solidFill>
                          <w14:schemeClr w14:val="tx1"/>
                        </w14:solidFill>
                      </w14:textFill>
                    </w:rPr>
                  </w:pPr>
                </w:p>
              </w:tc>
              <w:tc>
                <w:tcPr>
                  <w:tcW w:w="582" w:type="pct"/>
                  <w:vMerge w:val="continue"/>
                  <w:tcMar>
                    <w:top w:w="0" w:type="dxa"/>
                    <w:left w:w="57" w:type="dxa"/>
                    <w:bottom w:w="0" w:type="dxa"/>
                    <w:right w:w="57" w:type="dxa"/>
                  </w:tcMar>
                  <w:vAlign w:val="center"/>
                </w:tcPr>
                <w:p w14:paraId="5C6A7FFE">
                  <w:pPr>
                    <w:pStyle w:val="96"/>
                    <w:rPr>
                      <w:rFonts w:ascii="Times New Roman" w:hAnsi="Times New Roman"/>
                      <w:b/>
                      <w:bCs/>
                      <w:color w:val="000000" w:themeColor="text1"/>
                      <w:sz w:val="21"/>
                      <w:szCs w:val="21"/>
                      <w:highlight w:val="none"/>
                      <w14:textFill>
                        <w14:solidFill>
                          <w14:schemeClr w14:val="tx1"/>
                        </w14:solidFill>
                      </w14:textFill>
                    </w:rPr>
                  </w:pPr>
                </w:p>
              </w:tc>
              <w:tc>
                <w:tcPr>
                  <w:tcW w:w="394" w:type="pct"/>
                  <w:vMerge w:val="continue"/>
                  <w:tcMar>
                    <w:top w:w="0" w:type="dxa"/>
                    <w:left w:w="57" w:type="dxa"/>
                    <w:bottom w:w="0" w:type="dxa"/>
                    <w:right w:w="57" w:type="dxa"/>
                  </w:tcMar>
                  <w:vAlign w:val="center"/>
                </w:tcPr>
                <w:p w14:paraId="7CBD1A4C">
                  <w:pPr>
                    <w:pStyle w:val="96"/>
                    <w:rPr>
                      <w:rFonts w:ascii="Times New Roman" w:hAnsi="Times New Roman"/>
                      <w:b/>
                      <w:bCs/>
                      <w:color w:val="000000" w:themeColor="text1"/>
                      <w:sz w:val="21"/>
                      <w:szCs w:val="21"/>
                      <w:highlight w:val="none"/>
                      <w14:textFill>
                        <w14:solidFill>
                          <w14:schemeClr w14:val="tx1"/>
                        </w14:solidFill>
                      </w14:textFill>
                    </w:rPr>
                  </w:pPr>
                </w:p>
              </w:tc>
              <w:tc>
                <w:tcPr>
                  <w:tcW w:w="546" w:type="pct"/>
                  <w:vMerge w:val="continue"/>
                  <w:tcMar>
                    <w:top w:w="0" w:type="dxa"/>
                    <w:left w:w="57" w:type="dxa"/>
                    <w:bottom w:w="0" w:type="dxa"/>
                    <w:right w:w="57" w:type="dxa"/>
                  </w:tcMar>
                  <w:vAlign w:val="center"/>
                </w:tcPr>
                <w:p w14:paraId="7DA6CC71">
                  <w:pPr>
                    <w:pStyle w:val="96"/>
                    <w:rPr>
                      <w:rFonts w:ascii="Times New Roman" w:hAnsi="Times New Roman"/>
                      <w:b/>
                      <w:bCs/>
                      <w:color w:val="000000" w:themeColor="text1"/>
                      <w:sz w:val="21"/>
                      <w:szCs w:val="21"/>
                      <w:highlight w:val="none"/>
                      <w14:textFill>
                        <w14:solidFill>
                          <w14:schemeClr w14:val="tx1"/>
                        </w14:solidFill>
                      </w14:textFill>
                    </w:rPr>
                  </w:pPr>
                </w:p>
              </w:tc>
              <w:tc>
                <w:tcPr>
                  <w:tcW w:w="500" w:type="pct"/>
                  <w:vMerge w:val="continue"/>
                  <w:tcMar>
                    <w:top w:w="0" w:type="dxa"/>
                    <w:left w:w="57" w:type="dxa"/>
                    <w:bottom w:w="0" w:type="dxa"/>
                    <w:right w:w="57" w:type="dxa"/>
                  </w:tcMar>
                  <w:vAlign w:val="center"/>
                </w:tcPr>
                <w:p w14:paraId="02FE0E8E">
                  <w:pPr>
                    <w:pStyle w:val="96"/>
                    <w:rPr>
                      <w:rFonts w:ascii="Times New Roman" w:hAnsi="Times New Roman"/>
                      <w:b/>
                      <w:bCs/>
                      <w:color w:val="000000" w:themeColor="text1"/>
                      <w:sz w:val="21"/>
                      <w:szCs w:val="21"/>
                      <w:highlight w:val="none"/>
                      <w14:textFill>
                        <w14:solidFill>
                          <w14:schemeClr w14:val="tx1"/>
                        </w14:solidFill>
                      </w14:textFill>
                    </w:rPr>
                  </w:pPr>
                </w:p>
              </w:tc>
            </w:tr>
            <w:tr w14:paraId="151C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pct"/>
                  <w:tcMar>
                    <w:top w:w="0" w:type="dxa"/>
                    <w:left w:w="57" w:type="dxa"/>
                    <w:bottom w:w="0" w:type="dxa"/>
                    <w:right w:w="57" w:type="dxa"/>
                  </w:tcMar>
                  <w:vAlign w:val="center"/>
                </w:tcPr>
                <w:p w14:paraId="5C3672F8">
                  <w:pPr>
                    <w:pStyle w:val="96"/>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Ⅲ天山山地温性草原、森林生态区</w:t>
                  </w:r>
                </w:p>
              </w:tc>
              <w:tc>
                <w:tcPr>
                  <w:tcW w:w="535" w:type="pct"/>
                  <w:tcMar>
                    <w:top w:w="0" w:type="dxa"/>
                    <w:left w:w="57" w:type="dxa"/>
                    <w:bottom w:w="0" w:type="dxa"/>
                    <w:right w:w="57" w:type="dxa"/>
                  </w:tcMar>
                  <w:vAlign w:val="center"/>
                </w:tcPr>
                <w:p w14:paraId="2FE585B0">
                  <w:pPr>
                    <w:pStyle w:val="96"/>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Ⅲ</w:t>
                  </w:r>
                  <w:r>
                    <w:rPr>
                      <w:rFonts w:hint="eastAsia" w:ascii="Times New Roman" w:hAnsi="Times New Roman"/>
                      <w:color w:val="000000" w:themeColor="text1"/>
                      <w:sz w:val="21"/>
                      <w:szCs w:val="21"/>
                      <w:highlight w:val="none"/>
                      <w:vertAlign w:val="subscript"/>
                      <w:lang w:val="en-US" w:eastAsia="zh-CN"/>
                      <w14:textFill>
                        <w14:solidFill>
                          <w14:schemeClr w14:val="tx1"/>
                        </w14:solidFill>
                      </w14:textFill>
                    </w:rPr>
                    <w:t>3</w:t>
                  </w:r>
                  <w:r>
                    <w:rPr>
                      <w:rFonts w:hint="eastAsia" w:ascii="Times New Roman" w:hAnsi="Times New Roman"/>
                      <w:color w:val="000000" w:themeColor="text1"/>
                      <w:sz w:val="21"/>
                      <w:szCs w:val="21"/>
                      <w:highlight w:val="none"/>
                      <w14:textFill>
                        <w14:solidFill>
                          <w14:schemeClr w14:val="tx1"/>
                        </w14:solidFill>
                      </w14:textFill>
                    </w:rPr>
                    <w:t>天山南坡草原牧业、绿洲农业生态亚区</w:t>
                  </w:r>
                </w:p>
              </w:tc>
              <w:tc>
                <w:tcPr>
                  <w:tcW w:w="447" w:type="pct"/>
                  <w:tcMar>
                    <w:top w:w="0" w:type="dxa"/>
                    <w:left w:w="57" w:type="dxa"/>
                    <w:bottom w:w="0" w:type="dxa"/>
                    <w:right w:w="57" w:type="dxa"/>
                  </w:tcMar>
                  <w:vAlign w:val="center"/>
                </w:tcPr>
                <w:p w14:paraId="13467281">
                  <w:pPr>
                    <w:pStyle w:val="96"/>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lang w:val="en-US" w:eastAsia="zh-CN"/>
                      <w14:textFill>
                        <w14:solidFill>
                          <w14:schemeClr w14:val="tx1"/>
                        </w14:solidFill>
                      </w14:textFill>
                    </w:rPr>
                    <w:t>50</w:t>
                  </w:r>
                  <w:r>
                    <w:rPr>
                      <w:rFonts w:hint="eastAsia" w:ascii="Times New Roman" w:hAnsi="Times New Roman"/>
                      <w:color w:val="000000" w:themeColor="text1"/>
                      <w:sz w:val="21"/>
                      <w:szCs w:val="21"/>
                      <w:highlight w:val="none"/>
                      <w14:textFill>
                        <w14:solidFill>
                          <w14:schemeClr w14:val="tx1"/>
                        </w14:solidFill>
                      </w14:textFill>
                    </w:rPr>
                    <w:t>．吐鲁番盆地绿洲特色农业与旅游生态功能区</w:t>
                  </w:r>
                </w:p>
              </w:tc>
              <w:tc>
                <w:tcPr>
                  <w:tcW w:w="599" w:type="pct"/>
                  <w:tcMar>
                    <w:top w:w="0" w:type="dxa"/>
                    <w:left w:w="57" w:type="dxa"/>
                    <w:bottom w:w="0" w:type="dxa"/>
                    <w:right w:w="57" w:type="dxa"/>
                  </w:tcMar>
                  <w:vAlign w:val="center"/>
                </w:tcPr>
                <w:p w14:paraId="10A36FDF">
                  <w:pP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吐鲁番市、托克逊县、鄯善县</w:t>
                  </w:r>
                </w:p>
              </w:tc>
              <w:tc>
                <w:tcPr>
                  <w:tcW w:w="454" w:type="pct"/>
                  <w:tcMar>
                    <w:top w:w="0" w:type="dxa"/>
                    <w:left w:w="57" w:type="dxa"/>
                    <w:bottom w:w="0" w:type="dxa"/>
                    <w:right w:w="57" w:type="dxa"/>
                  </w:tcMar>
                  <w:vAlign w:val="center"/>
                </w:tcPr>
                <w:p w14:paraId="6907698B">
                  <w:pPr>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特色农产品生产、旅游</w:t>
                  </w:r>
                </w:p>
              </w:tc>
              <w:tc>
                <w:tcPr>
                  <w:tcW w:w="500" w:type="pct"/>
                  <w:tcMar>
                    <w:top w:w="0" w:type="dxa"/>
                    <w:left w:w="57" w:type="dxa"/>
                    <w:bottom w:w="0" w:type="dxa"/>
                    <w:right w:w="57" w:type="dxa"/>
                  </w:tcMar>
                  <w:vAlign w:val="center"/>
                </w:tcPr>
                <w:p w14:paraId="5C68E7CA">
                  <w:pPr>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水资源短缺、地下水超采、风沙灾害严重、干热风多</w:t>
                  </w:r>
                </w:p>
              </w:tc>
              <w:tc>
                <w:tcPr>
                  <w:tcW w:w="582" w:type="pct"/>
                  <w:tcMar>
                    <w:top w:w="0" w:type="dxa"/>
                    <w:left w:w="57" w:type="dxa"/>
                    <w:bottom w:w="0" w:type="dxa"/>
                    <w:right w:w="57" w:type="dxa"/>
                  </w:tcMar>
                  <w:vAlign w:val="center"/>
                </w:tcPr>
                <w:p w14:paraId="3F91189C">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土壤侵蚀极度敏感，土地沙漠化轻度敏感，土壤盐渍化局部地段高度敏感</w:t>
                  </w:r>
                </w:p>
              </w:tc>
              <w:tc>
                <w:tcPr>
                  <w:tcW w:w="394" w:type="pct"/>
                  <w:tcMar>
                    <w:top w:w="0" w:type="dxa"/>
                    <w:left w:w="57" w:type="dxa"/>
                    <w:bottom w:w="0" w:type="dxa"/>
                    <w:right w:w="57" w:type="dxa"/>
                  </w:tcMar>
                  <w:vAlign w:val="center"/>
                </w:tcPr>
                <w:p w14:paraId="3C69E58D">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保护文物古迹保护坎儿井、保护农田、保护荒漠植被和砾幕</w:t>
                  </w:r>
                </w:p>
              </w:tc>
              <w:tc>
                <w:tcPr>
                  <w:tcW w:w="546" w:type="pct"/>
                  <w:tcMar>
                    <w:top w:w="0" w:type="dxa"/>
                    <w:left w:w="57" w:type="dxa"/>
                    <w:bottom w:w="0" w:type="dxa"/>
                    <w:right w:w="57" w:type="dxa"/>
                  </w:tcMar>
                  <w:vAlign w:val="center"/>
                </w:tcPr>
                <w:p w14:paraId="459813A3">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地表水和地下水调控开发、节水灌溉、建设防护林、加强文物保护</w:t>
                  </w:r>
                </w:p>
              </w:tc>
              <w:tc>
                <w:tcPr>
                  <w:tcW w:w="500" w:type="pct"/>
                  <w:tcMar>
                    <w:top w:w="0" w:type="dxa"/>
                    <w:left w:w="57" w:type="dxa"/>
                    <w:bottom w:w="0" w:type="dxa"/>
                    <w:right w:w="57" w:type="dxa"/>
                  </w:tcMar>
                  <w:vAlign w:val="center"/>
                </w:tcPr>
                <w:p w14:paraId="76361DA4">
                  <w:pPr>
                    <w:pStyle w:val="96"/>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充分利用光热资源，发展以葡萄、长绒棉等为主的特色农业，合理有序地发展旅游</w:t>
                  </w:r>
                </w:p>
              </w:tc>
            </w:tr>
          </w:tbl>
          <w:p w14:paraId="729475E2">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本项目位于</w:t>
            </w:r>
            <w:r>
              <w:rPr>
                <w:rFonts w:hint="eastAsia"/>
                <w:color w:val="000000" w:themeColor="text1"/>
                <w:sz w:val="24"/>
                <w:highlight w:val="none"/>
                <w14:textFill>
                  <w14:solidFill>
                    <w14:schemeClr w14:val="tx1"/>
                  </w14:solidFill>
                </w14:textFill>
              </w:rPr>
              <w:t>吐鲁番市</w:t>
            </w:r>
            <w:r>
              <w:rPr>
                <w:rFonts w:hint="eastAsia"/>
                <w:color w:val="000000" w:themeColor="text1"/>
                <w:sz w:val="24"/>
                <w:highlight w:val="none"/>
                <w:lang w:val="en-US" w:eastAsia="zh-CN"/>
                <w14:textFill>
                  <w14:solidFill>
                    <w14:schemeClr w14:val="tx1"/>
                  </w14:solidFill>
                </w14:textFill>
              </w:rPr>
              <w:t>托克逊</w:t>
            </w:r>
            <w:r>
              <w:rPr>
                <w:rFonts w:hint="eastAsia"/>
                <w:color w:val="000000" w:themeColor="text1"/>
                <w:sz w:val="24"/>
                <w:highlight w:val="none"/>
                <w14:textFill>
                  <w14:solidFill>
                    <w14:schemeClr w14:val="tx1"/>
                  </w14:solidFill>
                </w14:textFill>
              </w:rPr>
              <w:t>县，占地为裸地，区域生物种类较少，周围没有重要生态环境区、生态脆弱带等，</w:t>
            </w:r>
            <w:r>
              <w:rPr>
                <w:color w:val="000000" w:themeColor="text1"/>
                <w:sz w:val="24"/>
                <w:highlight w:val="none"/>
                <w14:textFill>
                  <w14:solidFill>
                    <w14:schemeClr w14:val="tx1"/>
                  </w14:solidFill>
                </w14:textFill>
              </w:rPr>
              <w:t>无国家、省级保护野生动物，无名胜古迹和人文景观。</w:t>
            </w:r>
          </w:p>
          <w:p w14:paraId="447B5557">
            <w:pPr>
              <w:snapToGrid w:val="0"/>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bidi="zh-CN"/>
                <w14:textFill>
                  <w14:solidFill>
                    <w14:schemeClr w14:val="tx1"/>
                  </w14:solidFill>
                </w14:textFill>
              </w:rPr>
              <w:t>3、项目所在地</w:t>
            </w:r>
            <w:r>
              <w:rPr>
                <w:b/>
                <w:bCs/>
                <w:color w:val="000000" w:themeColor="text1"/>
                <w:sz w:val="24"/>
                <w:highlight w:val="none"/>
                <w:lang w:bidi="zh-CN"/>
                <w14:textFill>
                  <w14:solidFill>
                    <w14:schemeClr w14:val="tx1"/>
                  </w14:solidFill>
                </w14:textFill>
              </w:rPr>
              <w:t>生态</w:t>
            </w:r>
            <w:r>
              <w:rPr>
                <w:rFonts w:hint="eastAsia"/>
                <w:b/>
                <w:bCs/>
                <w:color w:val="000000" w:themeColor="text1"/>
                <w:sz w:val="24"/>
                <w:highlight w:val="none"/>
                <w:lang w:bidi="zh-CN"/>
                <w14:textFill>
                  <w14:solidFill>
                    <w14:schemeClr w14:val="tx1"/>
                  </w14:solidFill>
                </w14:textFill>
              </w:rPr>
              <w:t>环境现状</w:t>
            </w:r>
          </w:p>
          <w:p w14:paraId="4A85B65C">
            <w:pPr>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3.1土地利用现状</w:t>
            </w:r>
          </w:p>
          <w:p w14:paraId="06B1B367">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工程位于戈壁荒漠地貌，占地类型主要为未利用地，区域土地现状为戈壁荒漠，无植被发育。本工程占地符合中华人民共和国国家标准《开发建设项目水土保持技术规范》的相关规定，不占用农田、耕地等生产力较高的土地。</w:t>
            </w:r>
          </w:p>
          <w:p w14:paraId="6A3C30EF">
            <w:pPr>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3.2土壤类型</w:t>
            </w:r>
          </w:p>
          <w:p w14:paraId="222E3BB5">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按照《中国土壤》和《新疆土壤》等著述的土壤分类系统，依据《新疆维吾尔自治区土壤类型图》和野外实地调查，本项目所在区域土壤类型以棕漠土为主。</w:t>
            </w:r>
          </w:p>
          <w:p w14:paraId="62B56465">
            <w:pPr>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3.3植被类型</w:t>
            </w:r>
          </w:p>
          <w:p w14:paraId="63D96822">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本项目占地为戈壁荒漠，地表为裸地，无植物发育。经核实项目区无保护植物分布。项目用地范围不涉及草地，不涉及基本农田及林地。</w:t>
            </w:r>
          </w:p>
          <w:p w14:paraId="267CBA58">
            <w:pPr>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3.4野生动物分布</w:t>
            </w:r>
          </w:p>
          <w:p w14:paraId="1A057B37">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根据现场调查及资料记载，</w:t>
            </w:r>
            <w:r>
              <w:rPr>
                <w:rFonts w:hint="eastAsia"/>
                <w:color w:val="000000" w:themeColor="text1"/>
                <w:sz w:val="24"/>
                <w:highlight w:val="none"/>
                <w14:textFill>
                  <w14:solidFill>
                    <w14:schemeClr w14:val="tx1"/>
                  </w14:solidFill>
                </w14:textFill>
              </w:rPr>
              <w:t>由于本项目场址区域处在戈壁荒漠裸地，无大型野生动物，只偶见一些小的动物和飞禽，如鼠、蜥蜴等。项目建设区域不涉及野生动物的栖息地、迁徙通道、水源、食源等。</w:t>
            </w:r>
            <w:r>
              <w:rPr>
                <w:rFonts w:hint="eastAsia"/>
                <w:color w:val="000000" w:themeColor="text1"/>
                <w:sz w:val="24"/>
                <w:highlight w:val="none"/>
                <w:lang w:val="en-US" w:eastAsia="zh-CN"/>
                <w14:textFill>
                  <w14:solidFill>
                    <w14:schemeClr w14:val="tx1"/>
                  </w14:solidFill>
                </w14:textFill>
              </w:rPr>
              <w:t>根据《国家重点保护野生动物名录》（生态环境部2021年2月11日发布）及新疆维吾尔自治区人民政府办公厅《关于公布新疆维吾尔自治区重点保护野生动物名录（修订）的通知》（新政发〔2022〕75号，2022年9月21日发布），</w:t>
            </w:r>
            <w:r>
              <w:rPr>
                <w:rFonts w:hint="eastAsia"/>
                <w:color w:val="000000" w:themeColor="text1"/>
                <w:sz w:val="24"/>
                <w:highlight w:val="none"/>
                <w14:textFill>
                  <w14:solidFill>
                    <w14:schemeClr w14:val="tx1"/>
                  </w14:solidFill>
                </w14:textFill>
              </w:rPr>
              <w:t>项目所在区域无国家及自治区级野生保护动物，无国家及自治区保护的珍稀、濒危物种分布。</w:t>
            </w:r>
          </w:p>
          <w:p w14:paraId="5F54BE20">
            <w:pPr>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3.5土壤沙化程度及水土流失</w:t>
            </w:r>
          </w:p>
          <w:p w14:paraId="510EC6F6">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根据《新疆第六次沙化土地监测报告》，本项目所在区域为非沙化土地。</w:t>
            </w:r>
          </w:p>
          <w:p w14:paraId="3EF3B671">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项目区地处</w:t>
            </w:r>
            <w:r>
              <w:rPr>
                <w:rFonts w:hint="eastAsia"/>
                <w:color w:val="000000" w:themeColor="text1"/>
                <w:sz w:val="24"/>
                <w:highlight w:val="none"/>
                <w:lang w:val="en-US" w:eastAsia="zh-CN"/>
                <w14:textFill>
                  <w14:solidFill>
                    <w14:schemeClr w14:val="tx1"/>
                  </w14:solidFill>
                </w14:textFill>
              </w:rPr>
              <w:t>托克逊</w:t>
            </w:r>
            <w:r>
              <w:rPr>
                <w:rFonts w:hint="eastAsia"/>
                <w:color w:val="000000" w:themeColor="text1"/>
                <w:sz w:val="24"/>
                <w:highlight w:val="none"/>
                <w14:textFill>
                  <w14:solidFill>
                    <w14:schemeClr w14:val="tx1"/>
                  </w14:solidFill>
                </w14:textFill>
              </w:rPr>
              <w:t>县，根据《全国水土保持规划国家级水土流失重点预防区和重点治理区复核划分成果》、《</w:t>
            </w:r>
            <w:r>
              <w:rPr>
                <w:rFonts w:hint="eastAsia"/>
                <w:color w:val="000000" w:themeColor="text1"/>
                <w:sz w:val="24"/>
                <w:highlight w:val="none"/>
                <w:lang w:val="en-US" w:eastAsia="zh-CN"/>
                <w14:textFill>
                  <w14:solidFill>
                    <w14:schemeClr w14:val="tx1"/>
                  </w14:solidFill>
                </w14:textFill>
              </w:rPr>
              <w:t>关于印发新疆维吾尔自治区区级</w:t>
            </w:r>
            <w:r>
              <w:rPr>
                <w:rFonts w:hint="eastAsia"/>
                <w:color w:val="000000" w:themeColor="text1"/>
                <w:sz w:val="24"/>
                <w:highlight w:val="none"/>
                <w14:textFill>
                  <w14:solidFill>
                    <w14:schemeClr w14:val="tx1"/>
                  </w14:solidFill>
                </w14:textFill>
              </w:rPr>
              <w:t>水土流失重点预防区和重点治理区复核划分成果》，本项目所在县级行政区</w:t>
            </w:r>
            <w:r>
              <w:rPr>
                <w:rFonts w:hint="eastAsia"/>
                <w:color w:val="000000" w:themeColor="text1"/>
                <w:sz w:val="24"/>
                <w:highlight w:val="none"/>
                <w:lang w:val="en-US" w:eastAsia="zh-CN"/>
                <w14:textFill>
                  <w14:solidFill>
                    <w14:schemeClr w14:val="tx1"/>
                  </w14:solidFill>
                </w14:textFill>
              </w:rPr>
              <w:t>托克逊</w:t>
            </w:r>
            <w:r>
              <w:rPr>
                <w:rFonts w:hint="eastAsia"/>
                <w:color w:val="000000" w:themeColor="text1"/>
                <w:sz w:val="24"/>
                <w:highlight w:val="none"/>
                <w14:textFill>
                  <w14:solidFill>
                    <w14:schemeClr w14:val="tx1"/>
                  </w14:solidFill>
                </w14:textFill>
              </w:rPr>
              <w:t>县不属于国家级水土流失重点预防区和重点治理区，不属于新疆维吾尔自治区重点预防区、重点治理区</w:t>
            </w:r>
            <w:r>
              <w:rPr>
                <w:color w:val="000000" w:themeColor="text1"/>
                <w:sz w:val="24"/>
                <w:highlight w:val="none"/>
                <w14:textFill>
                  <w14:solidFill>
                    <w14:schemeClr w14:val="tx1"/>
                  </w14:solidFill>
                </w14:textFill>
              </w:rPr>
              <w:t>。</w:t>
            </w:r>
          </w:p>
          <w:p w14:paraId="26AAD62F">
            <w:pPr>
              <w:widowControl/>
              <w:spacing w:line="360" w:lineRule="auto"/>
              <w:jc w:val="lef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4、</w:t>
            </w:r>
            <w:r>
              <w:rPr>
                <w:b/>
                <w:bCs/>
                <w:color w:val="000000" w:themeColor="text1"/>
                <w:sz w:val="24"/>
                <w:highlight w:val="none"/>
                <w14:textFill>
                  <w14:solidFill>
                    <w14:schemeClr w14:val="tx1"/>
                  </w14:solidFill>
                </w14:textFill>
              </w:rPr>
              <w:t>项目所在区域环境质量现状</w:t>
            </w:r>
          </w:p>
          <w:p w14:paraId="02E78758">
            <w:pPr>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4.1环境空气质量现状</w:t>
            </w:r>
          </w:p>
          <w:p w14:paraId="584960C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根据《环境影响评价技术导则—大气环境》（HJ2.2-2018）要求，本项目区域环境空气评价基本污染物SO</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、NO</w:t>
            </w:r>
            <w:r>
              <w:rPr>
                <w:color w:val="000000" w:themeColor="text1"/>
                <w:sz w:val="24"/>
                <w:highlight w:val="none"/>
                <w:vertAlign w:val="subscript"/>
                <w14:textFill>
                  <w14:solidFill>
                    <w14:schemeClr w14:val="tx1"/>
                  </w14:solidFill>
                </w14:textFill>
              </w:rPr>
              <w:t>2</w:t>
            </w:r>
            <w:r>
              <w:rPr>
                <w:color w:val="000000" w:themeColor="text1"/>
                <w:sz w:val="24"/>
                <w:highlight w:val="none"/>
                <w:shd w:val="clear" w:color="auto" w:fill="FFFFFF"/>
                <w14:textFill>
                  <w14:solidFill>
                    <w14:schemeClr w14:val="tx1"/>
                  </w14:solidFill>
                </w14:textFill>
              </w:rPr>
              <w:t>、PM</w:t>
            </w:r>
            <w:r>
              <w:rPr>
                <w:rFonts w:eastAsia="微软雅黑"/>
                <w:color w:val="000000" w:themeColor="text1"/>
                <w:sz w:val="24"/>
                <w:highlight w:val="none"/>
                <w:shd w:val="clear" w:color="auto" w:fill="FFFFFF"/>
                <w:vertAlign w:val="subscript"/>
                <w14:textFill>
                  <w14:solidFill>
                    <w14:schemeClr w14:val="tx1"/>
                  </w14:solidFill>
                </w14:textFill>
              </w:rPr>
              <w:t>10</w:t>
            </w:r>
            <w:r>
              <w:rPr>
                <w:color w:val="000000" w:themeColor="text1"/>
                <w:sz w:val="24"/>
                <w:highlight w:val="none"/>
                <w:shd w:val="clear" w:color="auto" w:fill="FFFFFF"/>
                <w14:textFill>
                  <w14:solidFill>
                    <w14:schemeClr w14:val="tx1"/>
                  </w14:solidFill>
                </w14:textFill>
              </w:rPr>
              <w:t>、PM</w:t>
            </w:r>
            <w:r>
              <w:rPr>
                <w:color w:val="000000" w:themeColor="text1"/>
                <w:sz w:val="24"/>
                <w:highlight w:val="none"/>
                <w:shd w:val="clear" w:color="auto" w:fill="FFFFFF"/>
                <w:vertAlign w:val="subscript"/>
                <w14:textFill>
                  <w14:solidFill>
                    <w14:schemeClr w14:val="tx1"/>
                  </w14:solidFill>
                </w14:textFill>
              </w:rPr>
              <w:t>2.5</w:t>
            </w:r>
            <w:r>
              <w:rPr>
                <w:color w:val="000000" w:themeColor="text1"/>
                <w:sz w:val="24"/>
                <w:highlight w:val="none"/>
                <w:shd w:val="clear" w:color="auto" w:fill="FFFFFF"/>
                <w14:textFill>
                  <w14:solidFill>
                    <w14:schemeClr w14:val="tx1"/>
                  </w14:solidFill>
                </w14:textFill>
              </w:rPr>
              <w:t>、CO和O</w:t>
            </w:r>
            <w:r>
              <w:rPr>
                <w:rFonts w:eastAsia="微软雅黑"/>
                <w:color w:val="000000" w:themeColor="text1"/>
                <w:sz w:val="24"/>
                <w:highlight w:val="none"/>
                <w:shd w:val="clear" w:color="auto" w:fill="FFFFFF"/>
                <w:vertAlign w:val="subscript"/>
                <w14:textFill>
                  <w14:solidFill>
                    <w14:schemeClr w14:val="tx1"/>
                  </w14:solidFill>
                </w14:textFill>
              </w:rPr>
              <w:t>3</w:t>
            </w:r>
            <w:r>
              <w:rPr>
                <w:color w:val="000000" w:themeColor="text1"/>
                <w:sz w:val="24"/>
                <w:highlight w:val="none"/>
                <w:shd w:val="clear" w:color="auto" w:fill="FFFFFF"/>
                <w14:textFill>
                  <w14:solidFill>
                    <w14:schemeClr w14:val="tx1"/>
                  </w14:solidFill>
                </w14:textFill>
              </w:rPr>
              <w:t>的数据</w:t>
            </w:r>
            <w:r>
              <w:rPr>
                <w:rFonts w:hint="eastAsia"/>
                <w:color w:val="000000" w:themeColor="text1"/>
                <w:sz w:val="24"/>
                <w:highlight w:val="none"/>
                <w:shd w:val="clear" w:color="auto" w:fill="FFFFFF"/>
                <w14:textFill>
                  <w14:solidFill>
                    <w14:schemeClr w14:val="tx1"/>
                  </w14:solidFill>
                </w14:textFill>
              </w:rPr>
              <w:t>引用</w:t>
            </w:r>
            <w:r>
              <w:rPr>
                <w:color w:val="000000" w:themeColor="text1"/>
                <w:sz w:val="24"/>
                <w:highlight w:val="none"/>
                <w:shd w:val="clear" w:color="auto" w:fill="FFFFFF"/>
                <w14:textFill>
                  <w14:solidFill>
                    <w14:schemeClr w14:val="tx1"/>
                  </w14:solidFill>
                </w14:textFill>
              </w:rPr>
              <w:t>距离项目区最近的</w:t>
            </w:r>
            <w:r>
              <w:rPr>
                <w:rFonts w:hint="eastAsia"/>
                <w:color w:val="000000" w:themeColor="text1"/>
                <w:sz w:val="24"/>
                <w:highlight w:val="none"/>
                <w:shd w:val="clear" w:color="auto" w:fill="FFFFFF"/>
                <w:lang w:val="en-US" w:eastAsia="zh-CN"/>
                <w14:textFill>
                  <w14:solidFill>
                    <w14:schemeClr w14:val="tx1"/>
                  </w14:solidFill>
                </w14:textFill>
              </w:rPr>
              <w:t>吐鲁番市</w:t>
            </w:r>
            <w:r>
              <w:rPr>
                <w:color w:val="000000" w:themeColor="text1"/>
                <w:sz w:val="24"/>
                <w:highlight w:val="none"/>
                <w14:textFill>
                  <w14:solidFill>
                    <w14:schemeClr w14:val="tx1"/>
                  </w14:solidFill>
                </w14:textFill>
              </w:rPr>
              <w:t>国控监测点202</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年空气质量发布的监测数据</w:t>
            </w:r>
            <w:r>
              <w:rPr>
                <w:rFonts w:hint="eastAsia"/>
                <w:color w:val="000000" w:themeColor="text1"/>
                <w:sz w:val="24"/>
                <w:highlight w:val="none"/>
                <w14:textFill>
                  <w14:solidFill>
                    <w14:schemeClr w14:val="tx1"/>
                  </w14:solidFill>
                </w14:textFill>
              </w:rPr>
              <w:t>（</w:t>
            </w:r>
            <w:r>
              <w:rPr>
                <w:rFonts w:hint="eastAsia"/>
                <w:color w:val="000000" w:themeColor="text1"/>
                <w:highlight w:val="none"/>
                <w:lang w:val="zh-CN"/>
                <w14:textFill>
                  <w14:solidFill>
                    <w14:schemeClr w14:val="tx1"/>
                  </w14:solidFill>
                </w14:textFill>
              </w:rPr>
              <w:t>http://data.lem.org.cn/eamds/apply/tostepone.html</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3A5800D7">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shd w:val="clear" w:color="auto" w:fill="FFFFFF"/>
                <w14:textFill>
                  <w14:solidFill>
                    <w14:schemeClr w14:val="tx1"/>
                  </w14:solidFill>
                </w14:textFill>
              </w:rPr>
              <w:t>环境</w:t>
            </w:r>
            <w:r>
              <w:rPr>
                <w:color w:val="000000" w:themeColor="text1"/>
                <w:sz w:val="24"/>
                <w:highlight w:val="none"/>
                <w14:textFill>
                  <w14:solidFill>
                    <w14:schemeClr w14:val="tx1"/>
                  </w14:solidFill>
                </w14:textFill>
              </w:rPr>
              <w:t>空气质量数据判定结果见表</w:t>
            </w:r>
            <w:r>
              <w:rPr>
                <w:rFonts w:hint="eastAsia"/>
                <w:color w:val="000000" w:themeColor="text1"/>
                <w:sz w:val="24"/>
                <w:highlight w:val="none"/>
                <w14:textFill>
                  <w14:solidFill>
                    <w14:schemeClr w14:val="tx1"/>
                  </w14:solidFill>
                </w14:textFill>
              </w:rPr>
              <w:t>3-2</w:t>
            </w:r>
            <w:r>
              <w:rPr>
                <w:color w:val="000000" w:themeColor="text1"/>
                <w:sz w:val="24"/>
                <w:highlight w:val="none"/>
                <w14:textFill>
                  <w14:solidFill>
                    <w14:schemeClr w14:val="tx1"/>
                  </w14:solidFill>
                </w14:textFill>
              </w:rPr>
              <w:t>。</w:t>
            </w:r>
          </w:p>
          <w:p w14:paraId="5D25068B">
            <w:pPr>
              <w:pStyle w:val="13"/>
              <w:spacing w:after="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表3-2  大气质量及评价结果一览表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3514"/>
              <w:gridCol w:w="1184"/>
              <w:gridCol w:w="1061"/>
              <w:gridCol w:w="776"/>
              <w:gridCol w:w="839"/>
            </w:tblGrid>
            <w:tr w14:paraId="1CE1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Align w:val="center"/>
                </w:tcPr>
                <w:p w14:paraId="7078FA3B">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监测</w:t>
                  </w:r>
                </w:p>
                <w:p w14:paraId="6C248D50">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因子</w:t>
                  </w:r>
                </w:p>
              </w:tc>
              <w:tc>
                <w:tcPr>
                  <w:tcW w:w="3418" w:type="dxa"/>
                  <w:vAlign w:val="center"/>
                </w:tcPr>
                <w:p w14:paraId="514E14D9">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年评价指标</w:t>
                  </w:r>
                </w:p>
              </w:tc>
              <w:tc>
                <w:tcPr>
                  <w:tcW w:w="1152" w:type="dxa"/>
                  <w:vAlign w:val="center"/>
                </w:tcPr>
                <w:p w14:paraId="3B829A21">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现状浓度</w:t>
                  </w:r>
                </w:p>
                <w:p w14:paraId="1C5FC0E7">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（μg/m³）</w:t>
                  </w:r>
                </w:p>
              </w:tc>
              <w:tc>
                <w:tcPr>
                  <w:tcW w:w="1024" w:type="dxa"/>
                  <w:vAlign w:val="center"/>
                </w:tcPr>
                <w:p w14:paraId="20781A63">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标准值</w:t>
                  </w:r>
                </w:p>
                <w:p w14:paraId="3A9911D8">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（μg/m³）</w:t>
                  </w:r>
                </w:p>
              </w:tc>
              <w:tc>
                <w:tcPr>
                  <w:tcW w:w="755" w:type="dxa"/>
                  <w:vAlign w:val="center"/>
                </w:tcPr>
                <w:p w14:paraId="1D4E690E">
                  <w:pPr>
                    <w:ind w:left="-63" w:leftChars="-30" w:right="-63" w:rightChars="-30"/>
                    <w:jc w:val="center"/>
                    <w:rPr>
                      <w:b/>
                      <w:bCs/>
                      <w:color w:val="000000" w:themeColor="text1"/>
                      <w:sz w:val="22"/>
                      <w:szCs w:val="22"/>
                      <w:highlight w:val="none"/>
                      <w14:textFill>
                        <w14:solidFill>
                          <w14:schemeClr w14:val="tx1"/>
                        </w14:solidFill>
                      </w14:textFill>
                    </w:rPr>
                  </w:pPr>
                  <w:r>
                    <w:rPr>
                      <w:b/>
                      <w:bCs/>
                      <w:color w:val="000000" w:themeColor="text1"/>
                      <w:sz w:val="22"/>
                      <w:szCs w:val="22"/>
                      <w:highlight w:val="none"/>
                      <w14:textFill>
                        <w14:solidFill>
                          <w14:schemeClr w14:val="tx1"/>
                        </w14:solidFill>
                      </w14:textFill>
                    </w:rPr>
                    <w:t>标准</w:t>
                  </w:r>
                </w:p>
                <w:p w14:paraId="642112E7">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 w:val="22"/>
                      <w:szCs w:val="22"/>
                      <w:highlight w:val="none"/>
                      <w14:textFill>
                        <w14:solidFill>
                          <w14:schemeClr w14:val="tx1"/>
                        </w14:solidFill>
                      </w14:textFill>
                    </w:rPr>
                    <w:t>指数</w:t>
                  </w:r>
                </w:p>
              </w:tc>
              <w:tc>
                <w:tcPr>
                  <w:tcW w:w="816" w:type="dxa"/>
                  <w:vAlign w:val="center"/>
                </w:tcPr>
                <w:p w14:paraId="63DF196F">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达标</w:t>
                  </w:r>
                </w:p>
                <w:p w14:paraId="00DF9849">
                  <w:pPr>
                    <w:ind w:left="-63" w:leftChars="-30" w:right="-63" w:rightChars="-30"/>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情况</w:t>
                  </w:r>
                </w:p>
              </w:tc>
            </w:tr>
            <w:tr w14:paraId="396B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Align w:val="center"/>
                </w:tcPr>
                <w:p w14:paraId="2000D478">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SO</w:t>
                  </w:r>
                  <w:r>
                    <w:rPr>
                      <w:rFonts w:hint="eastAsia"/>
                      <w:color w:val="000000" w:themeColor="text1"/>
                      <w:szCs w:val="21"/>
                      <w:highlight w:val="none"/>
                      <w:vertAlign w:val="subscript"/>
                      <w14:textFill>
                        <w14:solidFill>
                          <w14:schemeClr w14:val="tx1"/>
                        </w14:solidFill>
                      </w14:textFill>
                    </w:rPr>
                    <w:t>2</w:t>
                  </w:r>
                </w:p>
              </w:tc>
              <w:tc>
                <w:tcPr>
                  <w:tcW w:w="3418" w:type="dxa"/>
                  <w:vAlign w:val="center"/>
                </w:tcPr>
                <w:p w14:paraId="5AE3B02F">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年平均</w:t>
                  </w:r>
                </w:p>
              </w:tc>
              <w:tc>
                <w:tcPr>
                  <w:tcW w:w="1152" w:type="dxa"/>
                  <w:vAlign w:val="center"/>
                </w:tcPr>
                <w:p w14:paraId="6BEAE030">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6</w:t>
                  </w:r>
                </w:p>
              </w:tc>
              <w:tc>
                <w:tcPr>
                  <w:tcW w:w="1024" w:type="dxa"/>
                  <w:vAlign w:val="center"/>
                </w:tcPr>
                <w:p w14:paraId="2CA7832E">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60</w:t>
                  </w:r>
                </w:p>
              </w:tc>
              <w:tc>
                <w:tcPr>
                  <w:tcW w:w="755" w:type="dxa"/>
                  <w:vAlign w:val="center"/>
                </w:tcPr>
                <w:p w14:paraId="31604B5C">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10</w:t>
                  </w:r>
                </w:p>
              </w:tc>
              <w:tc>
                <w:tcPr>
                  <w:tcW w:w="816" w:type="dxa"/>
                  <w:vAlign w:val="center"/>
                </w:tcPr>
                <w:p w14:paraId="5637E57B">
                  <w:pPr>
                    <w:ind w:left="-63" w:leftChars="-30" w:right="-63" w:rightChars="-3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329F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Align w:val="center"/>
                </w:tcPr>
                <w:p w14:paraId="6E9173C6">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NO</w:t>
                  </w:r>
                  <w:r>
                    <w:rPr>
                      <w:rFonts w:hint="eastAsia"/>
                      <w:color w:val="000000" w:themeColor="text1"/>
                      <w:szCs w:val="21"/>
                      <w:highlight w:val="none"/>
                      <w:vertAlign w:val="subscript"/>
                      <w14:textFill>
                        <w14:solidFill>
                          <w14:schemeClr w14:val="tx1"/>
                        </w14:solidFill>
                      </w14:textFill>
                    </w:rPr>
                    <w:t>2</w:t>
                  </w:r>
                </w:p>
              </w:tc>
              <w:tc>
                <w:tcPr>
                  <w:tcW w:w="3418" w:type="dxa"/>
                  <w:vAlign w:val="center"/>
                </w:tcPr>
                <w:p w14:paraId="5D1377A0">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年平均</w:t>
                  </w:r>
                </w:p>
              </w:tc>
              <w:tc>
                <w:tcPr>
                  <w:tcW w:w="1152" w:type="dxa"/>
                  <w:vAlign w:val="center"/>
                </w:tcPr>
                <w:p w14:paraId="4EE12957">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30</w:t>
                  </w:r>
                </w:p>
              </w:tc>
              <w:tc>
                <w:tcPr>
                  <w:tcW w:w="1024" w:type="dxa"/>
                  <w:vAlign w:val="center"/>
                </w:tcPr>
                <w:p w14:paraId="2EFBBDE2">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40</w:t>
                  </w:r>
                </w:p>
              </w:tc>
              <w:tc>
                <w:tcPr>
                  <w:tcW w:w="755" w:type="dxa"/>
                  <w:vAlign w:val="center"/>
                </w:tcPr>
                <w:p w14:paraId="0AB04153">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75</w:t>
                  </w:r>
                </w:p>
              </w:tc>
              <w:tc>
                <w:tcPr>
                  <w:tcW w:w="816" w:type="dxa"/>
                  <w:vAlign w:val="center"/>
                </w:tcPr>
                <w:p w14:paraId="26C6C5CD">
                  <w:pPr>
                    <w:ind w:left="-63" w:leftChars="-30" w:right="-63" w:rightChars="-3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0B94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Align w:val="center"/>
                </w:tcPr>
                <w:p w14:paraId="1A3232BE">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CO</w:t>
                  </w:r>
                </w:p>
              </w:tc>
              <w:tc>
                <w:tcPr>
                  <w:tcW w:w="3418" w:type="dxa"/>
                  <w:vAlign w:val="center"/>
                </w:tcPr>
                <w:p w14:paraId="12D164BD">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24小时平均第95百分位数</w:t>
                  </w:r>
                </w:p>
              </w:tc>
              <w:tc>
                <w:tcPr>
                  <w:tcW w:w="1152" w:type="dxa"/>
                  <w:vAlign w:val="center"/>
                </w:tcPr>
                <w:p w14:paraId="0612659B">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2300</w:t>
                  </w:r>
                </w:p>
              </w:tc>
              <w:tc>
                <w:tcPr>
                  <w:tcW w:w="1024" w:type="dxa"/>
                  <w:vAlign w:val="center"/>
                </w:tcPr>
                <w:p w14:paraId="0AD08E9A">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4000</w:t>
                  </w:r>
                </w:p>
              </w:tc>
              <w:tc>
                <w:tcPr>
                  <w:tcW w:w="755" w:type="dxa"/>
                  <w:vAlign w:val="center"/>
                </w:tcPr>
                <w:p w14:paraId="7DFB729F">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57.50</w:t>
                  </w:r>
                </w:p>
              </w:tc>
              <w:tc>
                <w:tcPr>
                  <w:tcW w:w="816" w:type="dxa"/>
                  <w:vAlign w:val="center"/>
                </w:tcPr>
                <w:p w14:paraId="3269454F">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达标</w:t>
                  </w:r>
                </w:p>
              </w:tc>
            </w:tr>
            <w:tr w14:paraId="0101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Align w:val="center"/>
                </w:tcPr>
                <w:p w14:paraId="6275F7F6">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O</w:t>
                  </w:r>
                  <w:r>
                    <w:rPr>
                      <w:color w:val="000000" w:themeColor="text1"/>
                      <w:sz w:val="22"/>
                      <w:szCs w:val="22"/>
                      <w:highlight w:val="none"/>
                      <w:vertAlign w:val="subscript"/>
                      <w14:textFill>
                        <w14:solidFill>
                          <w14:schemeClr w14:val="tx1"/>
                        </w14:solidFill>
                      </w14:textFill>
                    </w:rPr>
                    <w:t>3</w:t>
                  </w:r>
                </w:p>
              </w:tc>
              <w:tc>
                <w:tcPr>
                  <w:tcW w:w="3418" w:type="dxa"/>
                  <w:vAlign w:val="center"/>
                </w:tcPr>
                <w:p w14:paraId="62B6872F">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最大8小时平均第90百分位数</w:t>
                  </w:r>
                </w:p>
              </w:tc>
              <w:tc>
                <w:tcPr>
                  <w:tcW w:w="1152" w:type="dxa"/>
                  <w:vAlign w:val="center"/>
                </w:tcPr>
                <w:p w14:paraId="0F6D08B8">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138</w:t>
                  </w:r>
                </w:p>
              </w:tc>
              <w:tc>
                <w:tcPr>
                  <w:tcW w:w="1024" w:type="dxa"/>
                  <w:vAlign w:val="center"/>
                </w:tcPr>
                <w:p w14:paraId="64F42ADF">
                  <w:pPr>
                    <w:ind w:left="-63" w:leftChars="-30" w:right="-63" w:rightChars="-30"/>
                    <w:jc w:val="center"/>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160</w:t>
                  </w:r>
                </w:p>
              </w:tc>
              <w:tc>
                <w:tcPr>
                  <w:tcW w:w="755" w:type="dxa"/>
                  <w:vAlign w:val="center"/>
                </w:tcPr>
                <w:p w14:paraId="061D976A">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86.25</w:t>
                  </w:r>
                </w:p>
              </w:tc>
              <w:tc>
                <w:tcPr>
                  <w:tcW w:w="816" w:type="dxa"/>
                  <w:vAlign w:val="center"/>
                </w:tcPr>
                <w:p w14:paraId="38466E49">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达标</w:t>
                  </w:r>
                </w:p>
              </w:tc>
            </w:tr>
            <w:tr w14:paraId="1658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Align w:val="center"/>
                </w:tcPr>
                <w:p w14:paraId="3CAA6AAB">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PM</w:t>
                  </w:r>
                  <w:r>
                    <w:rPr>
                      <w:rFonts w:hint="eastAsia"/>
                      <w:color w:val="000000" w:themeColor="text1"/>
                      <w:szCs w:val="21"/>
                      <w:highlight w:val="none"/>
                      <w:vertAlign w:val="subscript"/>
                      <w14:textFill>
                        <w14:solidFill>
                          <w14:schemeClr w14:val="tx1"/>
                        </w14:solidFill>
                      </w14:textFill>
                    </w:rPr>
                    <w:t>10</w:t>
                  </w:r>
                </w:p>
              </w:tc>
              <w:tc>
                <w:tcPr>
                  <w:tcW w:w="3418" w:type="dxa"/>
                  <w:vAlign w:val="center"/>
                </w:tcPr>
                <w:p w14:paraId="70CB0939">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年平均</w:t>
                  </w:r>
                </w:p>
              </w:tc>
              <w:tc>
                <w:tcPr>
                  <w:tcW w:w="1152" w:type="dxa"/>
                  <w:vAlign w:val="center"/>
                </w:tcPr>
                <w:p w14:paraId="382DB29D">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90</w:t>
                  </w:r>
                </w:p>
              </w:tc>
              <w:tc>
                <w:tcPr>
                  <w:tcW w:w="1024" w:type="dxa"/>
                  <w:vAlign w:val="center"/>
                </w:tcPr>
                <w:p w14:paraId="4C2A01E2">
                  <w:pPr>
                    <w:ind w:left="-63" w:leftChars="-30" w:right="-63" w:rightChars="-30"/>
                    <w:jc w:val="center"/>
                    <w:rPr>
                      <w:rFonts w:hint="default" w:eastAsia="宋体"/>
                      <w:color w:val="000000" w:themeColor="text1"/>
                      <w:sz w:val="22"/>
                      <w:szCs w:val="22"/>
                      <w:highlight w:val="none"/>
                      <w:lang w:val="en-US" w:eastAsia="zh-CN"/>
                      <w14:textFill>
                        <w14:solidFill>
                          <w14:schemeClr w14:val="tx1"/>
                        </w14:solidFill>
                      </w14:textFill>
                    </w:rPr>
                  </w:pPr>
                  <w:r>
                    <w:rPr>
                      <w:rFonts w:hint="eastAsia"/>
                      <w:color w:val="000000" w:themeColor="text1"/>
                      <w:sz w:val="22"/>
                      <w:szCs w:val="22"/>
                      <w:highlight w:val="none"/>
                      <w:lang w:val="en-US" w:eastAsia="zh-CN"/>
                      <w14:textFill>
                        <w14:solidFill>
                          <w14:schemeClr w14:val="tx1"/>
                        </w14:solidFill>
                      </w14:textFill>
                    </w:rPr>
                    <w:t>60</w:t>
                  </w:r>
                </w:p>
              </w:tc>
              <w:tc>
                <w:tcPr>
                  <w:tcW w:w="755" w:type="dxa"/>
                  <w:vAlign w:val="center"/>
                </w:tcPr>
                <w:p w14:paraId="02971492">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1</w:t>
                  </w:r>
                  <w:r>
                    <w:rPr>
                      <w:rFonts w:hint="eastAsia"/>
                      <w:color w:val="000000" w:themeColor="text1"/>
                      <w:sz w:val="22"/>
                      <w:szCs w:val="22"/>
                      <w:highlight w:val="none"/>
                      <w:lang w:val="en-US" w:eastAsia="zh-CN"/>
                      <w14:textFill>
                        <w14:solidFill>
                          <w14:schemeClr w14:val="tx1"/>
                        </w14:solidFill>
                      </w14:textFill>
                    </w:rPr>
                    <w:t>50</w:t>
                  </w:r>
                </w:p>
              </w:tc>
              <w:tc>
                <w:tcPr>
                  <w:tcW w:w="816" w:type="dxa"/>
                  <w:vAlign w:val="center"/>
                </w:tcPr>
                <w:p w14:paraId="78FCD3DE">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不达标</w:t>
                  </w:r>
                </w:p>
              </w:tc>
            </w:tr>
            <w:tr w14:paraId="4C19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Align w:val="center"/>
                </w:tcPr>
                <w:p w14:paraId="69A2725E">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PM</w:t>
                  </w:r>
                  <w:r>
                    <w:rPr>
                      <w:rFonts w:hint="eastAsia"/>
                      <w:color w:val="000000" w:themeColor="text1"/>
                      <w:szCs w:val="21"/>
                      <w:highlight w:val="none"/>
                      <w:vertAlign w:val="subscript"/>
                      <w14:textFill>
                        <w14:solidFill>
                          <w14:schemeClr w14:val="tx1"/>
                        </w14:solidFill>
                      </w14:textFill>
                    </w:rPr>
                    <w:t>2.5</w:t>
                  </w:r>
                </w:p>
              </w:tc>
              <w:tc>
                <w:tcPr>
                  <w:tcW w:w="3418" w:type="dxa"/>
                  <w:vAlign w:val="center"/>
                </w:tcPr>
                <w:p w14:paraId="180A81C7">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年平均</w:t>
                  </w:r>
                </w:p>
              </w:tc>
              <w:tc>
                <w:tcPr>
                  <w:tcW w:w="1152" w:type="dxa"/>
                  <w:vAlign w:val="center"/>
                </w:tcPr>
                <w:p w14:paraId="66216BE8">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37</w:t>
                  </w:r>
                </w:p>
              </w:tc>
              <w:tc>
                <w:tcPr>
                  <w:tcW w:w="1024" w:type="dxa"/>
                  <w:vAlign w:val="center"/>
                </w:tcPr>
                <w:p w14:paraId="2B35A176">
                  <w:pPr>
                    <w:ind w:left="-63" w:leftChars="-30" w:right="-63" w:rightChars="-30"/>
                    <w:jc w:val="center"/>
                    <w:rPr>
                      <w:rFonts w:hint="eastAsia" w:eastAsia="宋体"/>
                      <w:color w:val="000000" w:themeColor="text1"/>
                      <w:sz w:val="22"/>
                      <w:szCs w:val="22"/>
                      <w:highlight w:val="none"/>
                      <w:lang w:eastAsia="zh-CN"/>
                      <w14:textFill>
                        <w14:solidFill>
                          <w14:schemeClr w14:val="tx1"/>
                        </w14:solidFill>
                      </w14:textFill>
                    </w:rPr>
                  </w:pPr>
                  <w:r>
                    <w:rPr>
                      <w:color w:val="000000" w:themeColor="text1"/>
                      <w:sz w:val="22"/>
                      <w:szCs w:val="22"/>
                      <w:highlight w:val="none"/>
                      <w14:textFill>
                        <w14:solidFill>
                          <w14:schemeClr w14:val="tx1"/>
                        </w14:solidFill>
                      </w14:textFill>
                    </w:rPr>
                    <w:t>3</w:t>
                  </w:r>
                  <w:r>
                    <w:rPr>
                      <w:rFonts w:hint="eastAsia"/>
                      <w:color w:val="000000" w:themeColor="text1"/>
                      <w:sz w:val="22"/>
                      <w:szCs w:val="22"/>
                      <w:highlight w:val="none"/>
                      <w:lang w:val="en-US" w:eastAsia="zh-CN"/>
                      <w14:textFill>
                        <w14:solidFill>
                          <w14:schemeClr w14:val="tx1"/>
                        </w14:solidFill>
                      </w14:textFill>
                    </w:rPr>
                    <w:t>0</w:t>
                  </w:r>
                </w:p>
              </w:tc>
              <w:tc>
                <w:tcPr>
                  <w:tcW w:w="755" w:type="dxa"/>
                  <w:vAlign w:val="center"/>
                </w:tcPr>
                <w:p w14:paraId="43800136">
                  <w:pPr>
                    <w:ind w:left="-63" w:leftChars="-30" w:right="-63" w:rightChars="-30"/>
                    <w:jc w:val="center"/>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1</w:t>
                  </w:r>
                  <w:r>
                    <w:rPr>
                      <w:rFonts w:hint="eastAsia"/>
                      <w:color w:val="000000" w:themeColor="text1"/>
                      <w:sz w:val="22"/>
                      <w:szCs w:val="22"/>
                      <w:highlight w:val="none"/>
                      <w:lang w:val="en-US" w:eastAsia="zh-CN"/>
                      <w14:textFill>
                        <w14:solidFill>
                          <w14:schemeClr w14:val="tx1"/>
                        </w14:solidFill>
                      </w14:textFill>
                    </w:rPr>
                    <w:t>23.33</w:t>
                  </w:r>
                  <w:r>
                    <w:rPr>
                      <w:rFonts w:hint="eastAsia"/>
                      <w:color w:val="000000" w:themeColor="text1"/>
                      <w:sz w:val="22"/>
                      <w:szCs w:val="22"/>
                      <w:highlight w:val="none"/>
                      <w14:textFill>
                        <w14:solidFill>
                          <w14:schemeClr w14:val="tx1"/>
                        </w14:solidFill>
                      </w14:textFill>
                    </w:rPr>
                    <w:t xml:space="preserve"> </w:t>
                  </w:r>
                </w:p>
              </w:tc>
              <w:tc>
                <w:tcPr>
                  <w:tcW w:w="816" w:type="dxa"/>
                  <w:vAlign w:val="center"/>
                </w:tcPr>
                <w:p w14:paraId="20BB4A30">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不达标</w:t>
                  </w:r>
                </w:p>
              </w:tc>
            </w:tr>
          </w:tbl>
          <w:p w14:paraId="166EF3F9">
            <w:pPr>
              <w:pStyle w:val="13"/>
              <w:spacing w:after="0" w:line="360" w:lineRule="auto"/>
              <w:ind w:left="0" w:leftChars="0"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由表3-2的分析结果可知，项目所在区域空气质量现状评价指标中PM</w:t>
            </w:r>
            <w:r>
              <w:rPr>
                <w:rFonts w:hint="eastAsia"/>
                <w:color w:val="000000" w:themeColor="text1"/>
                <w:sz w:val="24"/>
                <w:highlight w:val="none"/>
                <w:vertAlign w:val="subscript"/>
                <w14:textFill>
                  <w14:solidFill>
                    <w14:schemeClr w14:val="tx1"/>
                  </w14:solidFill>
                </w14:textFill>
              </w:rPr>
              <w:t>2.5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PM</w:t>
            </w:r>
            <w:r>
              <w:rPr>
                <w:color w:val="000000" w:themeColor="text1"/>
                <w:sz w:val="24"/>
                <w:highlight w:val="none"/>
                <w:vertAlign w:val="subscript"/>
                <w14:textFill>
                  <w14:solidFill>
                    <w14:schemeClr w14:val="tx1"/>
                  </w14:solidFill>
                </w14:textFill>
              </w:rPr>
              <w:t>10</w:t>
            </w:r>
            <w:r>
              <w:rPr>
                <w:color w:val="000000" w:themeColor="text1"/>
                <w:sz w:val="24"/>
                <w:highlight w:val="none"/>
                <w14:textFill>
                  <w14:solidFill>
                    <w14:schemeClr w14:val="tx1"/>
                  </w14:solidFill>
                </w14:textFill>
              </w:rPr>
              <w:t>的年均浓度</w:t>
            </w:r>
            <w:r>
              <w:rPr>
                <w:rFonts w:hint="eastAsia"/>
                <w:color w:val="000000" w:themeColor="text1"/>
                <w:sz w:val="24"/>
                <w:highlight w:val="none"/>
                <w14:textFill>
                  <w14:solidFill>
                    <w14:schemeClr w14:val="tx1"/>
                  </w14:solidFill>
                </w14:textFill>
              </w:rPr>
              <w:t>不</w:t>
            </w:r>
            <w:r>
              <w:rPr>
                <w:color w:val="000000" w:themeColor="text1"/>
                <w:sz w:val="24"/>
                <w:highlight w:val="none"/>
                <w14:textFill>
                  <w14:solidFill>
                    <w14:schemeClr w14:val="tx1"/>
                  </w14:solidFill>
                </w14:textFill>
              </w:rPr>
              <w:t>满足</w:t>
            </w:r>
            <w:r>
              <w:rPr>
                <w:rFonts w:hint="eastAsia"/>
                <w:color w:val="000000" w:themeColor="text1"/>
                <w:sz w:val="24"/>
                <w:highlight w:val="none"/>
                <w:lang w:val="en-US" w:eastAsia="zh-CN"/>
                <w14:textFill>
                  <w14:solidFill>
                    <w14:schemeClr w14:val="tx1"/>
                  </w14:solidFill>
                </w14:textFill>
              </w:rPr>
              <w:t>《环境空气质量标准》（GB3095-2026）</w:t>
            </w:r>
            <w:r>
              <w:rPr>
                <w:color w:val="000000" w:themeColor="text1"/>
                <w:sz w:val="24"/>
                <w:highlight w:val="none"/>
                <w14:textFill>
                  <w14:solidFill>
                    <w14:schemeClr w14:val="tx1"/>
                  </w14:solidFill>
                </w14:textFill>
              </w:rPr>
              <w:t>中</w:t>
            </w:r>
            <w:r>
              <w:rPr>
                <w:rFonts w:hint="eastAsia"/>
                <w:color w:val="000000" w:themeColor="text1"/>
                <w:sz w:val="24"/>
                <w:highlight w:val="none"/>
                <w:lang w:val="en-US" w:eastAsia="zh-CN"/>
                <w14:textFill>
                  <w14:solidFill>
                    <w14:schemeClr w14:val="tx1"/>
                  </w14:solidFill>
                </w14:textFill>
              </w:rPr>
              <w:t>过渡阶段</w:t>
            </w:r>
            <w:r>
              <w:rPr>
                <w:color w:val="000000" w:themeColor="text1"/>
                <w:sz w:val="24"/>
                <w:highlight w:val="none"/>
                <w14:textFill>
                  <w14:solidFill>
                    <w14:schemeClr w14:val="tx1"/>
                  </w14:solidFill>
                </w14:textFill>
              </w:rPr>
              <w:t>二级标准</w:t>
            </w:r>
            <w:r>
              <w:rPr>
                <w:rFonts w:hint="eastAsia"/>
                <w:color w:val="000000" w:themeColor="text1"/>
                <w:sz w:val="24"/>
                <w:highlight w:val="none"/>
                <w:lang w:val="en-US" w:eastAsia="zh-CN"/>
                <w14:textFill>
                  <w14:solidFill>
                    <w14:schemeClr w14:val="tx1"/>
                  </w14:solidFill>
                </w14:textFill>
              </w:rPr>
              <w:t>浓度限值</w:t>
            </w:r>
            <w:r>
              <w:rPr>
                <w:color w:val="000000" w:themeColor="text1"/>
                <w:sz w:val="24"/>
                <w:highlight w:val="none"/>
                <w14:textFill>
                  <w14:solidFill>
                    <w14:schemeClr w14:val="tx1"/>
                  </w14:solidFill>
                </w14:textFill>
              </w:rPr>
              <w:t>要求，因此区域大气环境质量为</w:t>
            </w:r>
            <w:r>
              <w:rPr>
                <w:rFonts w:hint="eastAsia"/>
                <w:color w:val="000000" w:themeColor="text1"/>
                <w:sz w:val="24"/>
                <w:highlight w:val="none"/>
                <w:lang w:val="en-US" w:eastAsia="zh-CN"/>
                <w14:textFill>
                  <w14:solidFill>
                    <w14:schemeClr w14:val="tx1"/>
                  </w14:solidFill>
                </w14:textFill>
              </w:rPr>
              <w:t>不</w:t>
            </w:r>
            <w:r>
              <w:rPr>
                <w:color w:val="000000" w:themeColor="text1"/>
                <w:sz w:val="24"/>
                <w:highlight w:val="none"/>
                <w14:textFill>
                  <w14:solidFill>
                    <w14:schemeClr w14:val="tx1"/>
                  </w14:solidFill>
                </w14:textFill>
              </w:rPr>
              <w:t>达标区。</w:t>
            </w:r>
          </w:p>
          <w:p w14:paraId="39925054">
            <w:pPr>
              <w:widowControl/>
              <w:spacing w:line="360" w:lineRule="auto"/>
              <w:ind w:firstLine="482" w:firstLineChars="200"/>
              <w:jc w:val="left"/>
              <w:rPr>
                <w:b/>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4.2</w:t>
            </w:r>
            <w:r>
              <w:rPr>
                <w:rFonts w:hint="eastAsia"/>
                <w:b/>
                <w:color w:val="000000" w:themeColor="text1"/>
                <w:sz w:val="24"/>
                <w:highlight w:val="none"/>
                <w14:textFill>
                  <w14:solidFill>
                    <w14:schemeClr w14:val="tx1"/>
                  </w14:solidFill>
                </w14:textFill>
              </w:rPr>
              <w:t>声环境现状</w:t>
            </w:r>
          </w:p>
          <w:p w14:paraId="3D207B2F">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为了解项目区声环境现状，建设单位委托</w:t>
            </w:r>
            <w:r>
              <w:rPr>
                <w:rFonts w:hint="eastAsia"/>
                <w:color w:val="000000" w:themeColor="text1"/>
                <w:sz w:val="24"/>
                <w:szCs w:val="21"/>
                <w:highlight w:val="none"/>
                <w14:textFill>
                  <w14:solidFill>
                    <w14:schemeClr w14:val="tx1"/>
                  </w14:solidFill>
                </w14:textFill>
              </w:rPr>
              <w:t>新疆锡水金山环境科技有限公司</w:t>
            </w:r>
            <w:r>
              <w:rPr>
                <w:rFonts w:hint="eastAsia"/>
                <w:color w:val="000000" w:themeColor="text1"/>
                <w:kern w:val="0"/>
                <w:sz w:val="24"/>
                <w:szCs w:val="20"/>
                <w:highlight w:val="none"/>
                <w14:textFill>
                  <w14:solidFill>
                    <w14:schemeClr w14:val="tx1"/>
                  </w14:solidFill>
                </w14:textFill>
              </w:rPr>
              <w:t>进行噪声现状监测，监测时间为202</w:t>
            </w:r>
            <w:r>
              <w:rPr>
                <w:rFonts w:hint="eastAsia"/>
                <w:color w:val="000000" w:themeColor="text1"/>
                <w:kern w:val="0"/>
                <w:sz w:val="24"/>
                <w:szCs w:val="20"/>
                <w:highlight w:val="none"/>
                <w:lang w:val="en-US" w:eastAsia="zh-CN"/>
                <w14:textFill>
                  <w14:solidFill>
                    <w14:schemeClr w14:val="tx1"/>
                  </w14:solidFill>
                </w14:textFill>
              </w:rPr>
              <w:t>6</w:t>
            </w:r>
            <w:r>
              <w:rPr>
                <w:rFonts w:hint="eastAsia"/>
                <w:color w:val="000000" w:themeColor="text1"/>
                <w:kern w:val="0"/>
                <w:sz w:val="24"/>
                <w:szCs w:val="20"/>
                <w:highlight w:val="none"/>
                <w14:textFill>
                  <w14:solidFill>
                    <w14:schemeClr w14:val="tx1"/>
                  </w14:solidFill>
                </w14:textFill>
              </w:rPr>
              <w:t>年</w:t>
            </w:r>
            <w:r>
              <w:rPr>
                <w:rFonts w:hint="eastAsia"/>
                <w:color w:val="000000" w:themeColor="text1"/>
                <w:kern w:val="0"/>
                <w:sz w:val="24"/>
                <w:szCs w:val="20"/>
                <w:highlight w:val="none"/>
                <w:lang w:val="en-US" w:eastAsia="zh-CN"/>
                <w14:textFill>
                  <w14:solidFill>
                    <w14:schemeClr w14:val="tx1"/>
                  </w14:solidFill>
                </w14:textFill>
              </w:rPr>
              <w:t>3</w:t>
            </w:r>
            <w:r>
              <w:rPr>
                <w:rFonts w:hint="eastAsia"/>
                <w:color w:val="000000" w:themeColor="text1"/>
                <w:kern w:val="0"/>
                <w:sz w:val="24"/>
                <w:szCs w:val="20"/>
                <w:highlight w:val="none"/>
                <w14:textFill>
                  <w14:solidFill>
                    <w14:schemeClr w14:val="tx1"/>
                  </w14:solidFill>
                </w14:textFill>
              </w:rPr>
              <w:t>月</w:t>
            </w:r>
            <w:r>
              <w:rPr>
                <w:rFonts w:hint="eastAsia"/>
                <w:color w:val="000000" w:themeColor="text1"/>
                <w:kern w:val="0"/>
                <w:sz w:val="24"/>
                <w:szCs w:val="20"/>
                <w:highlight w:val="none"/>
                <w:lang w:val="en-US" w:eastAsia="zh-CN"/>
                <w14:textFill>
                  <w14:solidFill>
                    <w14:schemeClr w14:val="tx1"/>
                  </w14:solidFill>
                </w14:textFill>
              </w:rPr>
              <w:t>18</w:t>
            </w:r>
            <w:r>
              <w:rPr>
                <w:rFonts w:hint="eastAsia"/>
                <w:color w:val="000000" w:themeColor="text1"/>
                <w:kern w:val="0"/>
                <w:sz w:val="24"/>
                <w:szCs w:val="20"/>
                <w:highlight w:val="none"/>
                <w14:textFill>
                  <w14:solidFill>
                    <w14:schemeClr w14:val="tx1"/>
                  </w14:solidFill>
                </w14:textFill>
              </w:rPr>
              <w:t>日。</w:t>
            </w:r>
          </w:p>
          <w:p w14:paraId="22229DA8">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（1）监测方法及监测点位布设</w:t>
            </w:r>
          </w:p>
          <w:p w14:paraId="2506F8DF">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监测方法：《声环境质量标准》（GB3096-2008）。</w:t>
            </w:r>
          </w:p>
          <w:p w14:paraId="17863764">
            <w:pPr>
              <w:spacing w:line="360" w:lineRule="auto"/>
              <w:ind w:firstLine="480" w:firstLineChars="200"/>
              <w:rPr>
                <w:rFonts w:hint="eastAsia" w:eastAsia="宋体"/>
                <w:color w:val="000000" w:themeColor="text1"/>
                <w:kern w:val="0"/>
                <w:sz w:val="24"/>
                <w:szCs w:val="20"/>
                <w:highlight w:val="none"/>
                <w:lang w:val="en-US" w:eastAsia="zh-CN"/>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布点原则：根据《环境影响评价技术导则 声环境》（HJ2.4-2021）“7.3.1.1 b）评价范围内没有明显的声源时（如工业噪声、交通运输噪声、建设施工噪声、社会生活噪声等），可选择有代表性的区域布设测点。”项目选址区域目前为空地，</w:t>
            </w:r>
            <w:r>
              <w:rPr>
                <w:rFonts w:hint="eastAsia"/>
                <w:color w:val="000000" w:themeColor="text1"/>
                <w:kern w:val="0"/>
                <w:sz w:val="24"/>
                <w:szCs w:val="20"/>
                <w:highlight w:val="none"/>
                <w:lang w:val="en-US" w:eastAsia="zh-CN"/>
                <w14:textFill>
                  <w14:solidFill>
                    <w14:schemeClr w14:val="tx1"/>
                  </w14:solidFill>
                </w14:textFill>
              </w:rPr>
              <w:t>北侧</w:t>
            </w:r>
            <w:r>
              <w:rPr>
                <w:rFonts w:hint="eastAsia"/>
                <w:color w:val="000000" w:themeColor="text1"/>
                <w:kern w:val="0"/>
                <w:sz w:val="24"/>
                <w:szCs w:val="20"/>
                <w:highlight w:val="none"/>
                <w14:textFill>
                  <w14:solidFill>
                    <w14:schemeClr w14:val="tx1"/>
                  </w14:solidFill>
                </w14:textFill>
              </w:rPr>
              <w:t>距离公路</w:t>
            </w:r>
            <w:r>
              <w:rPr>
                <w:rFonts w:hint="eastAsia"/>
                <w:color w:val="000000" w:themeColor="text1"/>
                <w:kern w:val="0"/>
                <w:sz w:val="24"/>
                <w:szCs w:val="20"/>
                <w:highlight w:val="none"/>
                <w:lang w:val="en-US" w:eastAsia="zh-CN"/>
                <w14:textFill>
                  <w14:solidFill>
                    <w14:schemeClr w14:val="tx1"/>
                  </w14:solidFill>
                </w14:textFill>
              </w:rPr>
              <w:t>4.0</w:t>
            </w:r>
            <w:r>
              <w:rPr>
                <w:rFonts w:hint="eastAsia"/>
                <w:color w:val="000000" w:themeColor="text1"/>
                <w:kern w:val="0"/>
                <w:sz w:val="24"/>
                <w:szCs w:val="20"/>
                <w:highlight w:val="none"/>
                <w14:textFill>
                  <w14:solidFill>
                    <w14:schemeClr w14:val="tx1"/>
                  </w14:solidFill>
                </w14:textFill>
              </w:rPr>
              <w:t>km以上，评价范围内无明显声源与声环境保护目标，故在项目站址中心进行监测。</w:t>
            </w:r>
            <w:r>
              <w:rPr>
                <w:rFonts w:hint="eastAsia" w:cs="Times New Roman"/>
                <w:color w:val="000000" w:themeColor="text1"/>
                <w:kern w:val="2"/>
                <w:sz w:val="24"/>
                <w:szCs w:val="21"/>
                <w:highlight w:val="none"/>
                <w:lang w:val="en-US" w:eastAsia="zh-CN" w:bidi="ar-SA"/>
                <w14:textFill>
                  <w14:solidFill>
                    <w14:schemeClr w14:val="tx1"/>
                  </w14:solidFill>
                </w14:textFill>
              </w:rPr>
              <w:t>输电线路沿线布置了3个声环境现状监测点，距地面1.2m处。</w:t>
            </w:r>
          </w:p>
          <w:p w14:paraId="55CE6818">
            <w:pPr>
              <w:spacing w:line="360" w:lineRule="auto"/>
              <w:ind w:firstLine="480" w:firstLineChars="200"/>
              <w:rPr>
                <w:rFonts w:hint="eastAsia"/>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本次评价</w:t>
            </w:r>
            <w:r>
              <w:rPr>
                <w:rFonts w:hint="eastAsia"/>
                <w:color w:val="000000" w:themeColor="text1"/>
                <w:kern w:val="0"/>
                <w:sz w:val="24"/>
                <w:szCs w:val="20"/>
                <w:highlight w:val="none"/>
                <w:lang w:val="en-US" w:eastAsia="zh-CN"/>
                <w14:textFill>
                  <w14:solidFill>
                    <w14:schemeClr w14:val="tx1"/>
                  </w14:solidFill>
                </w14:textFill>
              </w:rPr>
              <w:t>共</w:t>
            </w:r>
            <w:r>
              <w:rPr>
                <w:rFonts w:hint="eastAsia"/>
                <w:color w:val="000000" w:themeColor="text1"/>
                <w:kern w:val="0"/>
                <w:sz w:val="24"/>
                <w:szCs w:val="20"/>
                <w:highlight w:val="none"/>
                <w14:textFill>
                  <w14:solidFill>
                    <w14:schemeClr w14:val="tx1"/>
                  </w14:solidFill>
                </w14:textFill>
              </w:rPr>
              <w:t>设置</w:t>
            </w:r>
            <w:r>
              <w:rPr>
                <w:rFonts w:hint="eastAsia"/>
                <w:color w:val="000000" w:themeColor="text1"/>
                <w:kern w:val="0"/>
                <w:sz w:val="24"/>
                <w:szCs w:val="20"/>
                <w:highlight w:val="none"/>
                <w:lang w:val="en-US" w:eastAsia="zh-CN"/>
                <w14:textFill>
                  <w14:solidFill>
                    <w14:schemeClr w14:val="tx1"/>
                  </w14:solidFill>
                </w14:textFill>
              </w:rPr>
              <w:t>4</w:t>
            </w:r>
            <w:r>
              <w:rPr>
                <w:rFonts w:hint="eastAsia"/>
                <w:color w:val="000000" w:themeColor="text1"/>
                <w:kern w:val="0"/>
                <w:sz w:val="24"/>
                <w:szCs w:val="20"/>
                <w:highlight w:val="none"/>
                <w14:textFill>
                  <w14:solidFill>
                    <w14:schemeClr w14:val="tx1"/>
                  </w14:solidFill>
                </w14:textFill>
              </w:rPr>
              <w:t>个现状监测点，分昼、夜两时段监测。</w:t>
            </w:r>
          </w:p>
          <w:p w14:paraId="27FF94B5">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（2）监测因子</w:t>
            </w:r>
          </w:p>
          <w:p w14:paraId="12F8B67A">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昼间、夜间的等效连续A声级。</w:t>
            </w:r>
          </w:p>
          <w:p w14:paraId="6A7D2E2D">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（3）监测单位及监测时间</w:t>
            </w:r>
          </w:p>
          <w:p w14:paraId="5F61559A">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监测单位：</w:t>
            </w:r>
            <w:r>
              <w:rPr>
                <w:rFonts w:hint="eastAsia"/>
                <w:color w:val="000000" w:themeColor="text1"/>
                <w:sz w:val="24"/>
                <w:szCs w:val="21"/>
                <w:highlight w:val="none"/>
                <w14:textFill>
                  <w14:solidFill>
                    <w14:schemeClr w14:val="tx1"/>
                  </w14:solidFill>
                </w14:textFill>
              </w:rPr>
              <w:t>新疆锡水金山环境科技有限公司</w:t>
            </w:r>
            <w:r>
              <w:rPr>
                <w:rFonts w:hint="eastAsia"/>
                <w:color w:val="000000" w:themeColor="text1"/>
                <w:kern w:val="0"/>
                <w:sz w:val="24"/>
                <w:szCs w:val="20"/>
                <w:highlight w:val="none"/>
                <w14:textFill>
                  <w14:solidFill>
                    <w14:schemeClr w14:val="tx1"/>
                  </w14:solidFill>
                </w14:textFill>
              </w:rPr>
              <w:t>。</w:t>
            </w:r>
          </w:p>
          <w:p w14:paraId="653CD8F4">
            <w:pPr>
              <w:spacing w:line="360" w:lineRule="auto"/>
              <w:ind w:firstLine="480" w:firstLineChars="200"/>
              <w:rPr>
                <w:rFonts w:hint="eastAsia" w:cs="Times New Roman"/>
                <w:b w:val="0"/>
                <w:bCs/>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监测时间：202</w:t>
            </w:r>
            <w:r>
              <w:rPr>
                <w:rFonts w:hint="eastAsia"/>
                <w:color w:val="000000" w:themeColor="text1"/>
                <w:kern w:val="0"/>
                <w:sz w:val="24"/>
                <w:szCs w:val="20"/>
                <w:highlight w:val="none"/>
                <w:lang w:val="en-US" w:eastAsia="zh-CN"/>
                <w14:textFill>
                  <w14:solidFill>
                    <w14:schemeClr w14:val="tx1"/>
                  </w14:solidFill>
                </w14:textFill>
              </w:rPr>
              <w:t>6</w:t>
            </w:r>
            <w:r>
              <w:rPr>
                <w:rFonts w:hint="eastAsia"/>
                <w:color w:val="000000" w:themeColor="text1"/>
                <w:kern w:val="0"/>
                <w:sz w:val="24"/>
                <w:szCs w:val="20"/>
                <w:highlight w:val="none"/>
                <w14:textFill>
                  <w14:solidFill>
                    <w14:schemeClr w14:val="tx1"/>
                  </w14:solidFill>
                </w14:textFill>
              </w:rPr>
              <w:t>年</w:t>
            </w:r>
            <w:r>
              <w:rPr>
                <w:rFonts w:hint="eastAsia"/>
                <w:color w:val="000000" w:themeColor="text1"/>
                <w:kern w:val="0"/>
                <w:sz w:val="24"/>
                <w:szCs w:val="20"/>
                <w:highlight w:val="none"/>
                <w:lang w:val="en-US" w:eastAsia="zh-CN"/>
                <w14:textFill>
                  <w14:solidFill>
                    <w14:schemeClr w14:val="tx1"/>
                  </w14:solidFill>
                </w14:textFill>
              </w:rPr>
              <w:t>3</w:t>
            </w:r>
            <w:r>
              <w:rPr>
                <w:rFonts w:hint="eastAsia"/>
                <w:color w:val="000000" w:themeColor="text1"/>
                <w:kern w:val="0"/>
                <w:sz w:val="24"/>
                <w:szCs w:val="20"/>
                <w:highlight w:val="none"/>
                <w14:textFill>
                  <w14:solidFill>
                    <w14:schemeClr w14:val="tx1"/>
                  </w14:solidFill>
                </w14:textFill>
              </w:rPr>
              <w:t>月</w:t>
            </w:r>
            <w:r>
              <w:rPr>
                <w:rFonts w:hint="eastAsia"/>
                <w:color w:val="000000" w:themeColor="text1"/>
                <w:kern w:val="0"/>
                <w:sz w:val="24"/>
                <w:szCs w:val="20"/>
                <w:highlight w:val="none"/>
                <w:lang w:val="en-US" w:eastAsia="zh-CN"/>
                <w14:textFill>
                  <w14:solidFill>
                    <w14:schemeClr w14:val="tx1"/>
                  </w14:solidFill>
                </w14:textFill>
              </w:rPr>
              <w:t>18</w:t>
            </w:r>
            <w:r>
              <w:rPr>
                <w:rFonts w:hint="eastAsia"/>
                <w:color w:val="000000" w:themeColor="text1"/>
                <w:kern w:val="0"/>
                <w:sz w:val="24"/>
                <w:szCs w:val="20"/>
                <w:highlight w:val="none"/>
                <w14:textFill>
                  <w14:solidFill>
                    <w14:schemeClr w14:val="tx1"/>
                  </w14:solidFill>
                </w14:textFill>
              </w:rPr>
              <w:t>日</w:t>
            </w:r>
            <w:r>
              <w:rPr>
                <w:rFonts w:hint="eastAsia" w:eastAsia="宋体"/>
                <w:color w:val="000000" w:themeColor="text1"/>
                <w:kern w:val="0"/>
                <w:sz w:val="24"/>
                <w:szCs w:val="20"/>
                <w:highlight w:val="none"/>
                <w:lang w:eastAsia="zh-CN"/>
                <w14:textFill>
                  <w14:solidFill>
                    <w14:schemeClr w14:val="tx1"/>
                  </w14:solidFill>
                </w14:textFill>
              </w:rPr>
              <w:t>、</w:t>
            </w:r>
            <w:r>
              <w:rPr>
                <w:rFonts w:hint="eastAsia" w:eastAsia="宋体"/>
                <w:color w:val="000000" w:themeColor="text1"/>
                <w:kern w:val="0"/>
                <w:sz w:val="24"/>
                <w:szCs w:val="20"/>
                <w:highlight w:val="none"/>
                <w:lang w:val="en-US" w:eastAsia="zh-CN"/>
                <w14:textFill>
                  <w14:solidFill>
                    <w14:schemeClr w14:val="tx1"/>
                  </w14:solidFill>
                </w14:textFill>
              </w:rPr>
              <w:t>2026年4月21日</w:t>
            </w:r>
          </w:p>
          <w:p w14:paraId="7AFF53BC">
            <w:pPr>
              <w:spacing w:line="360" w:lineRule="auto"/>
              <w:ind w:firstLine="480" w:firstLineChars="200"/>
              <w:rPr>
                <w:color w:val="000000" w:themeColor="text1"/>
                <w:kern w:val="0"/>
                <w:sz w:val="24"/>
                <w:szCs w:val="20"/>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（4）监测仪器、监测条件</w:t>
            </w:r>
          </w:p>
          <w:p w14:paraId="303C469D">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szCs w:val="20"/>
                <w:highlight w:val="none"/>
                <w14:textFill>
                  <w14:solidFill>
                    <w14:schemeClr w14:val="tx1"/>
                  </w14:solidFill>
                </w14:textFill>
              </w:rPr>
              <w:t>本项目声环境现状监测</w:t>
            </w:r>
            <w:r>
              <w:rPr>
                <w:color w:val="000000" w:themeColor="text1"/>
                <w:kern w:val="0"/>
                <w:sz w:val="24"/>
                <w:highlight w:val="none"/>
                <w14:textFill>
                  <w14:solidFill>
                    <w14:schemeClr w14:val="tx1"/>
                  </w14:solidFill>
                </w14:textFill>
              </w:rPr>
              <w:t>的监测条件及仪器见</w:t>
            </w:r>
            <w:r>
              <w:rPr>
                <w:rFonts w:hint="eastAsia"/>
                <w:color w:val="000000" w:themeColor="text1"/>
                <w:kern w:val="0"/>
                <w:sz w:val="24"/>
                <w:highlight w:val="none"/>
                <w14:textFill>
                  <w14:solidFill>
                    <w14:schemeClr w14:val="tx1"/>
                  </w14:solidFill>
                </w14:textFill>
              </w:rPr>
              <w:t>表3-3。</w:t>
            </w:r>
          </w:p>
          <w:p w14:paraId="136DBD7E">
            <w:pPr>
              <w:ind w:left="420" w:leftChars="200"/>
              <w:jc w:val="center"/>
              <w:rPr>
                <w:b/>
                <w:bCs/>
                <w:color w:val="000000" w:themeColor="text1"/>
                <w:kern w:val="0"/>
                <w:sz w:val="24"/>
                <w:szCs w:val="20"/>
                <w:highlight w:val="none"/>
                <w14:textFill>
                  <w14:solidFill>
                    <w14:schemeClr w14:val="tx1"/>
                  </w14:solidFill>
                </w14:textFill>
              </w:rPr>
            </w:pPr>
            <w:r>
              <w:rPr>
                <w:b/>
                <w:bCs/>
                <w:color w:val="000000" w:themeColor="text1"/>
                <w:kern w:val="0"/>
                <w:sz w:val="24"/>
                <w:szCs w:val="20"/>
                <w:highlight w:val="none"/>
                <w14:textFill>
                  <w14:solidFill>
                    <w14:schemeClr w14:val="tx1"/>
                  </w14:solidFill>
                </w14:textFill>
              </w:rPr>
              <w:t>表3-3  监测仪器参数表</w:t>
            </w:r>
          </w:p>
          <w:tbl>
            <w:tblPr>
              <w:tblStyle w:val="32"/>
              <w:tblW w:w="8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2"/>
              <w:gridCol w:w="6548"/>
            </w:tblGrid>
            <w:tr w14:paraId="066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612" w:type="dxa"/>
                  <w:vAlign w:val="center"/>
                </w:tcPr>
                <w:p w14:paraId="740B570C">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气象条件</w:t>
                  </w:r>
                </w:p>
              </w:tc>
              <w:tc>
                <w:tcPr>
                  <w:tcW w:w="6548" w:type="dxa"/>
                  <w:vAlign w:val="center"/>
                </w:tcPr>
                <w:p w14:paraId="7217641D">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天气：晴，风速</w:t>
                  </w:r>
                  <w:r>
                    <w:rPr>
                      <w:rFonts w:hint="eastAsia"/>
                      <w:color w:val="000000" w:themeColor="text1"/>
                      <w:kern w:val="0"/>
                      <w:szCs w:val="21"/>
                      <w:highlight w:val="none"/>
                      <w:lang w:val="en-US" w:eastAsia="zh-CN"/>
                      <w14:textFill>
                        <w14:solidFill>
                          <w14:schemeClr w14:val="tx1"/>
                        </w14:solidFill>
                      </w14:textFill>
                    </w:rPr>
                    <w:t>4.8</w:t>
                  </w:r>
                  <w:r>
                    <w:rPr>
                      <w:color w:val="000000" w:themeColor="text1"/>
                      <w:kern w:val="0"/>
                      <w:szCs w:val="21"/>
                      <w:highlight w:val="none"/>
                      <w14:textFill>
                        <w14:solidFill>
                          <w14:schemeClr w14:val="tx1"/>
                        </w14:solidFill>
                      </w14:textFill>
                    </w:rPr>
                    <w:t>m/s</w:t>
                  </w:r>
                </w:p>
              </w:tc>
            </w:tr>
            <w:tr w14:paraId="2AC6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612" w:type="dxa"/>
                  <w:vMerge w:val="restart"/>
                  <w:vAlign w:val="center"/>
                </w:tcPr>
                <w:p w14:paraId="757605E9">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监测仪器</w:t>
                  </w:r>
                </w:p>
              </w:tc>
              <w:tc>
                <w:tcPr>
                  <w:tcW w:w="6548" w:type="dxa"/>
                  <w:vAlign w:val="center"/>
                </w:tcPr>
                <w:p w14:paraId="4BCDA1D9">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1410-2型风速仪（</w:t>
                  </w:r>
                  <w:r>
                    <w:rPr>
                      <w:rFonts w:hint="eastAsia" w:eastAsia="宋体"/>
                      <w:color w:val="000000" w:themeColor="text1"/>
                      <w:highlight w:val="none"/>
                      <w:lang w:val="en-US" w:eastAsia="zh-CN"/>
                      <w14:textFill>
                        <w14:solidFill>
                          <w14:schemeClr w14:val="tx1"/>
                        </w14:solidFill>
                      </w14:textFill>
                    </w:rPr>
                    <w:t>XSJS/YQ-36</w:t>
                  </w:r>
                  <w:r>
                    <w:rPr>
                      <w:rFonts w:hint="eastAsia"/>
                      <w:color w:val="000000" w:themeColor="text1"/>
                      <w:highlight w:val="none"/>
                      <w:lang w:val="en-US" w:eastAsia="zh-CN"/>
                      <w14:textFill>
                        <w14:solidFill>
                          <w14:schemeClr w14:val="tx1"/>
                        </w14:solidFill>
                      </w14:textFill>
                    </w:rPr>
                    <w:t>-5</w:t>
                  </w:r>
                  <w:r>
                    <w:rPr>
                      <w:color w:val="000000" w:themeColor="text1"/>
                      <w:kern w:val="0"/>
                      <w:szCs w:val="21"/>
                      <w:highlight w:val="none"/>
                      <w14:textFill>
                        <w14:solidFill>
                          <w14:schemeClr w14:val="tx1"/>
                        </w14:solidFill>
                      </w14:textFill>
                    </w:rPr>
                    <w:t>）</w:t>
                  </w:r>
                </w:p>
              </w:tc>
            </w:tr>
            <w:tr w14:paraId="0D7B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612" w:type="dxa"/>
                  <w:vMerge w:val="continue"/>
                  <w:vAlign w:val="center"/>
                </w:tcPr>
                <w:p w14:paraId="2881B732">
                  <w:pPr>
                    <w:adjustRightInd w:val="0"/>
                    <w:snapToGrid w:val="0"/>
                    <w:jc w:val="center"/>
                    <w:rPr>
                      <w:color w:val="000000" w:themeColor="text1"/>
                      <w:kern w:val="0"/>
                      <w:szCs w:val="21"/>
                      <w:highlight w:val="none"/>
                      <w14:textFill>
                        <w14:solidFill>
                          <w14:schemeClr w14:val="tx1"/>
                        </w14:solidFill>
                      </w14:textFill>
                    </w:rPr>
                  </w:pPr>
                </w:p>
              </w:tc>
              <w:tc>
                <w:tcPr>
                  <w:tcW w:w="6548" w:type="dxa"/>
                  <w:vAlign w:val="center"/>
                </w:tcPr>
                <w:p w14:paraId="135DB87B">
                  <w:pPr>
                    <w:adjustRightInd w:val="0"/>
                    <w:snapToGrid w:val="0"/>
                    <w:jc w:val="center"/>
                    <w:rPr>
                      <w:color w:val="000000" w:themeColor="text1"/>
                      <w:kern w:val="0"/>
                      <w:szCs w:val="21"/>
                      <w:highlight w:val="none"/>
                      <w14:textFill>
                        <w14:solidFill>
                          <w14:schemeClr w14:val="tx1"/>
                        </w14:solidFill>
                      </w14:textFill>
                    </w:rPr>
                  </w:pPr>
                  <w:r>
                    <w:rPr>
                      <w:rFonts w:hint="default"/>
                      <w:color w:val="000000" w:themeColor="text1"/>
                      <w:kern w:val="0"/>
                      <w:szCs w:val="21"/>
                      <w:highlight w:val="none"/>
                      <w14:textFill>
                        <w14:solidFill>
                          <w14:schemeClr w14:val="tx1"/>
                        </w14:solidFill>
                      </w14:textFill>
                    </w:rPr>
                    <w:t>AWA</w:t>
                  </w:r>
                  <w:r>
                    <w:rPr>
                      <w:rFonts w:hint="eastAsia"/>
                      <w:color w:val="000000" w:themeColor="text1"/>
                      <w:kern w:val="0"/>
                      <w:szCs w:val="21"/>
                      <w:highlight w:val="none"/>
                      <w:lang w:val="en-US" w:eastAsia="zh-CN"/>
                      <w14:textFill>
                        <w14:solidFill>
                          <w14:schemeClr w14:val="tx1"/>
                        </w14:solidFill>
                      </w14:textFill>
                    </w:rPr>
                    <w:t>5688</w:t>
                  </w:r>
                  <w:r>
                    <w:rPr>
                      <w:rFonts w:hint="default"/>
                      <w:color w:val="000000" w:themeColor="text1"/>
                      <w:kern w:val="0"/>
                      <w:szCs w:val="21"/>
                      <w:highlight w:val="none"/>
                      <w14:textFill>
                        <w14:solidFill>
                          <w14:schemeClr w14:val="tx1"/>
                        </w14:solidFill>
                      </w14:textFill>
                    </w:rPr>
                    <w:t>多功能声级计</w:t>
                  </w:r>
                  <w:r>
                    <w:rPr>
                      <w:color w:val="000000" w:themeColor="text1"/>
                      <w:kern w:val="0"/>
                      <w:szCs w:val="21"/>
                      <w:highlight w:val="none"/>
                      <w14:textFill>
                        <w14:solidFill>
                          <w14:schemeClr w14:val="tx1"/>
                        </w14:solidFill>
                      </w14:textFill>
                    </w:rPr>
                    <w:t>（</w:t>
                  </w:r>
                  <w:r>
                    <w:rPr>
                      <w:rFonts w:hint="eastAsia"/>
                      <w:color w:val="000000" w:themeColor="text1"/>
                      <w:kern w:val="0"/>
                      <w:szCs w:val="21"/>
                      <w:highlight w:val="none"/>
                      <w14:textFill>
                        <w14:solidFill>
                          <w14:schemeClr w14:val="tx1"/>
                        </w14:solidFill>
                      </w14:textFill>
                    </w:rPr>
                    <w:t>XSJS/YQ-24</w:t>
                  </w:r>
                  <w:r>
                    <w:rPr>
                      <w:rFonts w:hint="eastAsia"/>
                      <w:color w:val="000000" w:themeColor="text1"/>
                      <w:kern w:val="0"/>
                      <w:szCs w:val="21"/>
                      <w:highlight w:val="none"/>
                      <w:lang w:val="en-US" w:eastAsia="zh-CN"/>
                      <w14:textFill>
                        <w14:solidFill>
                          <w14:schemeClr w14:val="tx1"/>
                        </w14:solidFill>
                      </w14:textFill>
                    </w:rPr>
                    <w:t>-6</w:t>
                  </w:r>
                  <w:r>
                    <w:rPr>
                      <w:color w:val="000000" w:themeColor="text1"/>
                      <w:kern w:val="0"/>
                      <w:szCs w:val="21"/>
                      <w:highlight w:val="none"/>
                      <w14:textFill>
                        <w14:solidFill>
                          <w14:schemeClr w14:val="tx1"/>
                        </w14:solidFill>
                      </w14:textFill>
                    </w:rPr>
                    <w:t>）</w:t>
                  </w:r>
                </w:p>
              </w:tc>
            </w:tr>
            <w:tr w14:paraId="7E09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612" w:type="dxa"/>
                  <w:vAlign w:val="center"/>
                </w:tcPr>
                <w:p w14:paraId="44A7885D">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校准仪器</w:t>
                  </w:r>
                </w:p>
              </w:tc>
              <w:tc>
                <w:tcPr>
                  <w:tcW w:w="6548" w:type="dxa"/>
                  <w:vAlign w:val="center"/>
                </w:tcPr>
                <w:p w14:paraId="6A273AD7">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AWA6221B型声校准器</w:t>
                  </w:r>
                  <w:r>
                    <w:rPr>
                      <w:color w:val="000000" w:themeColor="text1"/>
                      <w:kern w:val="0"/>
                      <w:szCs w:val="21"/>
                      <w:highlight w:val="none"/>
                      <w14:textFill>
                        <w14:solidFill>
                          <w14:schemeClr w14:val="tx1"/>
                        </w14:solidFill>
                      </w14:textFill>
                    </w:rPr>
                    <w:t>（</w:t>
                  </w:r>
                  <w:r>
                    <w:rPr>
                      <w:rFonts w:hint="eastAsia"/>
                      <w:color w:val="000000" w:themeColor="text1"/>
                      <w:kern w:val="0"/>
                      <w:szCs w:val="21"/>
                      <w:highlight w:val="none"/>
                      <w:lang w:val="en-US" w:eastAsia="zh-CN"/>
                      <w14:textFill>
                        <w14:solidFill>
                          <w14:schemeClr w14:val="tx1"/>
                        </w14:solidFill>
                      </w14:textFill>
                    </w:rPr>
                    <w:t>XSJS/YQ-34-2</w:t>
                  </w:r>
                  <w:r>
                    <w:rPr>
                      <w:color w:val="000000" w:themeColor="text1"/>
                      <w:kern w:val="0"/>
                      <w:szCs w:val="21"/>
                      <w:highlight w:val="none"/>
                      <w14:textFill>
                        <w14:solidFill>
                          <w14:schemeClr w14:val="tx1"/>
                        </w14:solidFill>
                      </w14:textFill>
                    </w:rPr>
                    <w:t>）</w:t>
                  </w:r>
                </w:p>
              </w:tc>
            </w:tr>
          </w:tbl>
          <w:p w14:paraId="4072840D">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（5）评价标准</w:t>
            </w:r>
          </w:p>
          <w:p w14:paraId="0440BCAB">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根据《声环境质量标准》适用区域划分规定，项目所在区域属</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类标准适用区，执行《声环境质量标准》（GB3096-2008）中</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类标准。</w:t>
            </w:r>
            <w:r>
              <w:rPr>
                <w:color w:val="000000" w:themeColor="text1"/>
                <w:sz w:val="24"/>
                <w:highlight w:val="none"/>
                <w14:textFill>
                  <w14:solidFill>
                    <w14:schemeClr w14:val="tx1"/>
                  </w14:solidFill>
                </w14:textFill>
              </w:rPr>
              <w:t>标准见表</w:t>
            </w:r>
            <w:r>
              <w:rPr>
                <w:rFonts w:hint="eastAsia"/>
                <w:color w:val="000000" w:themeColor="text1"/>
                <w:sz w:val="24"/>
                <w:highlight w:val="none"/>
                <w14:textFill>
                  <w14:solidFill>
                    <w14:schemeClr w14:val="tx1"/>
                  </w14:solidFill>
                </w14:textFill>
              </w:rPr>
              <w:t>3-4</w:t>
            </w:r>
            <w:r>
              <w:rPr>
                <w:color w:val="000000" w:themeColor="text1"/>
                <w:sz w:val="24"/>
                <w:highlight w:val="none"/>
                <w14:textFill>
                  <w14:solidFill>
                    <w14:schemeClr w14:val="tx1"/>
                  </w14:solidFill>
                </w14:textFill>
              </w:rPr>
              <w:t>。</w:t>
            </w:r>
          </w:p>
          <w:p w14:paraId="7B29C1E9">
            <w:pPr>
              <w:ind w:left="420" w:leftChars="200"/>
              <w:jc w:val="center"/>
              <w:rPr>
                <w:rFonts w:hint="eastAsia"/>
                <w:b/>
                <w:bCs/>
                <w:color w:val="000000" w:themeColor="text1"/>
                <w:kern w:val="0"/>
                <w:sz w:val="24"/>
                <w:szCs w:val="20"/>
                <w:highlight w:val="none"/>
                <w14:textFill>
                  <w14:solidFill>
                    <w14:schemeClr w14:val="tx1"/>
                  </w14:solidFill>
                </w14:textFill>
              </w:rPr>
            </w:pPr>
          </w:p>
          <w:p w14:paraId="4292ACB6">
            <w:pPr>
              <w:ind w:left="420" w:leftChars="200"/>
              <w:jc w:val="center"/>
              <w:rPr>
                <w:b/>
                <w:bCs/>
                <w:color w:val="000000" w:themeColor="text1"/>
                <w:kern w:val="0"/>
                <w:sz w:val="24"/>
                <w:szCs w:val="20"/>
                <w:highlight w:val="none"/>
                <w14:textFill>
                  <w14:solidFill>
                    <w14:schemeClr w14:val="tx1"/>
                  </w14:solidFill>
                </w14:textFill>
              </w:rPr>
            </w:pPr>
            <w:r>
              <w:rPr>
                <w:rFonts w:hint="eastAsia"/>
                <w:b/>
                <w:bCs/>
                <w:color w:val="000000" w:themeColor="text1"/>
                <w:kern w:val="0"/>
                <w:sz w:val="24"/>
                <w:szCs w:val="20"/>
                <w:highlight w:val="none"/>
                <w14:textFill>
                  <w14:solidFill>
                    <w14:schemeClr w14:val="tx1"/>
                  </w14:solidFill>
                </w14:textFill>
              </w:rPr>
              <w:t>表3-4  环境噪声限值    单位：dB（A）</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1477"/>
              <w:gridCol w:w="2499"/>
              <w:gridCol w:w="2131"/>
            </w:tblGrid>
            <w:tr w14:paraId="27FF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hRule="atLeast"/>
                <w:jc w:val="center"/>
              </w:trPr>
              <w:tc>
                <w:tcPr>
                  <w:tcW w:w="2181" w:type="pct"/>
                  <w:gridSpan w:val="2"/>
                  <w:vMerge w:val="restart"/>
                  <w:vAlign w:val="center"/>
                </w:tcPr>
                <w:p w14:paraId="0FF88BA0">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声环境功能区类别</w:t>
                  </w:r>
                </w:p>
              </w:tc>
              <w:tc>
                <w:tcPr>
                  <w:tcW w:w="2818" w:type="pct"/>
                  <w:gridSpan w:val="2"/>
                  <w:vAlign w:val="center"/>
                </w:tcPr>
                <w:p w14:paraId="4D1133DE">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时段</w:t>
                  </w:r>
                </w:p>
              </w:tc>
            </w:tr>
            <w:tr w14:paraId="2C6E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1" w:type="pct"/>
                  <w:gridSpan w:val="2"/>
                  <w:vMerge w:val="continue"/>
                  <w:vAlign w:val="center"/>
                </w:tcPr>
                <w:p w14:paraId="17D2632F">
                  <w:pPr>
                    <w:adjustRightInd w:val="0"/>
                    <w:snapToGrid w:val="0"/>
                    <w:jc w:val="center"/>
                    <w:rPr>
                      <w:color w:val="000000" w:themeColor="text1"/>
                      <w:kern w:val="0"/>
                      <w:szCs w:val="21"/>
                      <w:highlight w:val="none"/>
                      <w14:textFill>
                        <w14:solidFill>
                          <w14:schemeClr w14:val="tx1"/>
                        </w14:solidFill>
                      </w14:textFill>
                    </w:rPr>
                  </w:pPr>
                </w:p>
              </w:tc>
              <w:tc>
                <w:tcPr>
                  <w:tcW w:w="1521" w:type="pct"/>
                  <w:vAlign w:val="center"/>
                </w:tcPr>
                <w:p w14:paraId="7D33CE46">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昼间</w:t>
                  </w:r>
                </w:p>
              </w:tc>
              <w:tc>
                <w:tcPr>
                  <w:tcW w:w="1296" w:type="pct"/>
                  <w:vAlign w:val="center"/>
                </w:tcPr>
                <w:p w14:paraId="477D4938">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夜间</w:t>
                  </w:r>
                </w:p>
              </w:tc>
            </w:tr>
            <w:tr w14:paraId="4063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1" w:type="pct"/>
                  <w:gridSpan w:val="2"/>
                  <w:vAlign w:val="center"/>
                </w:tcPr>
                <w:p w14:paraId="2D9C5245">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0类</w:t>
                  </w:r>
                </w:p>
              </w:tc>
              <w:tc>
                <w:tcPr>
                  <w:tcW w:w="1521" w:type="pct"/>
                  <w:vAlign w:val="center"/>
                </w:tcPr>
                <w:p w14:paraId="610CE194">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50</w:t>
                  </w:r>
                </w:p>
              </w:tc>
              <w:tc>
                <w:tcPr>
                  <w:tcW w:w="1296" w:type="pct"/>
                  <w:vAlign w:val="center"/>
                </w:tcPr>
                <w:p w14:paraId="4636D3AA">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40</w:t>
                  </w:r>
                </w:p>
              </w:tc>
            </w:tr>
            <w:tr w14:paraId="6B16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1" w:type="pct"/>
                  <w:gridSpan w:val="2"/>
                  <w:vAlign w:val="center"/>
                </w:tcPr>
                <w:p w14:paraId="31E97D99">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1类</w:t>
                  </w:r>
                </w:p>
              </w:tc>
              <w:tc>
                <w:tcPr>
                  <w:tcW w:w="1521" w:type="pct"/>
                  <w:vAlign w:val="center"/>
                </w:tcPr>
                <w:p w14:paraId="65842362">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55</w:t>
                  </w:r>
                </w:p>
              </w:tc>
              <w:tc>
                <w:tcPr>
                  <w:tcW w:w="1296" w:type="pct"/>
                  <w:vAlign w:val="center"/>
                </w:tcPr>
                <w:p w14:paraId="194E4769">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45</w:t>
                  </w:r>
                </w:p>
              </w:tc>
            </w:tr>
            <w:tr w14:paraId="69A1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1" w:type="pct"/>
                  <w:gridSpan w:val="2"/>
                  <w:shd w:val="clear" w:color="auto" w:fill="auto"/>
                  <w:vAlign w:val="center"/>
                </w:tcPr>
                <w:p w14:paraId="52BC0A6D">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2类</w:t>
                  </w:r>
                </w:p>
              </w:tc>
              <w:tc>
                <w:tcPr>
                  <w:tcW w:w="1521" w:type="pct"/>
                  <w:shd w:val="clear" w:color="auto" w:fill="auto"/>
                  <w:vAlign w:val="center"/>
                </w:tcPr>
                <w:p w14:paraId="12E8E8D1">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60</w:t>
                  </w:r>
                </w:p>
              </w:tc>
              <w:tc>
                <w:tcPr>
                  <w:tcW w:w="1296" w:type="pct"/>
                  <w:shd w:val="clear" w:color="auto" w:fill="auto"/>
                  <w:vAlign w:val="center"/>
                </w:tcPr>
                <w:p w14:paraId="0C385F03">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50</w:t>
                  </w:r>
                </w:p>
              </w:tc>
            </w:tr>
            <w:tr w14:paraId="3F37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1" w:type="pct"/>
                  <w:gridSpan w:val="2"/>
                  <w:shd w:val="clear" w:color="auto" w:fill="D7D7D7" w:themeFill="background1" w:themeFillShade="D8"/>
                  <w:vAlign w:val="center"/>
                </w:tcPr>
                <w:p w14:paraId="7CAA920C">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3类</w:t>
                  </w:r>
                </w:p>
              </w:tc>
              <w:tc>
                <w:tcPr>
                  <w:tcW w:w="1521" w:type="pct"/>
                  <w:shd w:val="clear" w:color="auto" w:fill="D7D7D7" w:themeFill="background1" w:themeFillShade="D8"/>
                  <w:vAlign w:val="center"/>
                </w:tcPr>
                <w:p w14:paraId="36B1D643">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65</w:t>
                  </w:r>
                </w:p>
              </w:tc>
              <w:tc>
                <w:tcPr>
                  <w:tcW w:w="1296" w:type="pct"/>
                  <w:shd w:val="clear" w:color="auto" w:fill="D7D7D7" w:themeFill="background1" w:themeFillShade="D8"/>
                  <w:vAlign w:val="center"/>
                </w:tcPr>
                <w:p w14:paraId="5F75A493">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55</w:t>
                  </w:r>
                </w:p>
              </w:tc>
            </w:tr>
            <w:tr w14:paraId="5E93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82" w:type="pct"/>
                  <w:vMerge w:val="restart"/>
                  <w:vAlign w:val="center"/>
                </w:tcPr>
                <w:p w14:paraId="510C157E">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4类</w:t>
                  </w:r>
                </w:p>
              </w:tc>
              <w:tc>
                <w:tcPr>
                  <w:tcW w:w="898" w:type="pct"/>
                  <w:vAlign w:val="center"/>
                </w:tcPr>
                <w:p w14:paraId="57A15CFC">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4a类</w:t>
                  </w:r>
                </w:p>
              </w:tc>
              <w:tc>
                <w:tcPr>
                  <w:tcW w:w="1521" w:type="pct"/>
                  <w:vAlign w:val="center"/>
                </w:tcPr>
                <w:p w14:paraId="6479240F">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70</w:t>
                  </w:r>
                </w:p>
              </w:tc>
              <w:tc>
                <w:tcPr>
                  <w:tcW w:w="1296" w:type="pct"/>
                  <w:vAlign w:val="center"/>
                </w:tcPr>
                <w:p w14:paraId="16693E99">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55</w:t>
                  </w:r>
                </w:p>
              </w:tc>
            </w:tr>
            <w:tr w14:paraId="600F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82" w:type="pct"/>
                  <w:vMerge w:val="continue"/>
                  <w:vAlign w:val="center"/>
                </w:tcPr>
                <w:p w14:paraId="52984AB8">
                  <w:pPr>
                    <w:adjustRightInd w:val="0"/>
                    <w:snapToGrid w:val="0"/>
                    <w:jc w:val="center"/>
                    <w:rPr>
                      <w:color w:val="000000" w:themeColor="text1"/>
                      <w:kern w:val="0"/>
                      <w:szCs w:val="21"/>
                      <w:highlight w:val="none"/>
                      <w14:textFill>
                        <w14:solidFill>
                          <w14:schemeClr w14:val="tx1"/>
                        </w14:solidFill>
                      </w14:textFill>
                    </w:rPr>
                  </w:pPr>
                </w:p>
              </w:tc>
              <w:tc>
                <w:tcPr>
                  <w:tcW w:w="898" w:type="pct"/>
                  <w:vAlign w:val="center"/>
                </w:tcPr>
                <w:p w14:paraId="37774CE3">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4b类</w:t>
                  </w:r>
                </w:p>
              </w:tc>
              <w:tc>
                <w:tcPr>
                  <w:tcW w:w="1521" w:type="pct"/>
                  <w:vAlign w:val="center"/>
                </w:tcPr>
                <w:p w14:paraId="76CD6459">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70</w:t>
                  </w:r>
                </w:p>
              </w:tc>
              <w:tc>
                <w:tcPr>
                  <w:tcW w:w="1296" w:type="pct"/>
                  <w:vAlign w:val="center"/>
                </w:tcPr>
                <w:p w14:paraId="408F99E7">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60</w:t>
                  </w:r>
                </w:p>
              </w:tc>
            </w:tr>
          </w:tbl>
          <w:p w14:paraId="5FB2A395">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（6）监测结果</w:t>
            </w:r>
          </w:p>
          <w:p w14:paraId="633A7527">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现状噪声监测结果见表3-5。</w:t>
            </w:r>
          </w:p>
          <w:p w14:paraId="54AD33D5">
            <w:pPr>
              <w:ind w:left="420" w:leftChars="200"/>
              <w:jc w:val="center"/>
              <w:rPr>
                <w:b/>
                <w:bCs/>
                <w:color w:val="000000" w:themeColor="text1"/>
                <w:kern w:val="0"/>
                <w:sz w:val="24"/>
                <w:szCs w:val="20"/>
                <w:highlight w:val="none"/>
                <w14:textFill>
                  <w14:solidFill>
                    <w14:schemeClr w14:val="tx1"/>
                  </w14:solidFill>
                </w14:textFill>
              </w:rPr>
            </w:pPr>
            <w:r>
              <w:rPr>
                <w:rFonts w:hint="eastAsia"/>
                <w:b/>
                <w:bCs/>
                <w:color w:val="000000" w:themeColor="text1"/>
                <w:kern w:val="0"/>
                <w:sz w:val="24"/>
                <w:szCs w:val="20"/>
                <w:highlight w:val="none"/>
                <w14:textFill>
                  <w14:solidFill>
                    <w14:schemeClr w14:val="tx1"/>
                  </w14:solidFill>
                </w14:textFill>
              </w:rPr>
              <w:t>表3-5  建设项目噪声现状监测及评价结果    单位：dB（A）</w:t>
            </w:r>
          </w:p>
          <w:tbl>
            <w:tblPr>
              <w:tblStyle w:val="32"/>
              <w:tblW w:w="8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1349"/>
              <w:gridCol w:w="1133"/>
              <w:gridCol w:w="867"/>
              <w:gridCol w:w="1068"/>
              <w:gridCol w:w="881"/>
              <w:gridCol w:w="881"/>
              <w:gridCol w:w="1503"/>
            </w:tblGrid>
            <w:tr w14:paraId="3CEA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4" w:type="dxa"/>
                  <w:vMerge w:val="restart"/>
                  <w:vAlign w:val="center"/>
                </w:tcPr>
                <w:p w14:paraId="13AA43FB">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点位</w:t>
                  </w:r>
                </w:p>
              </w:tc>
              <w:tc>
                <w:tcPr>
                  <w:tcW w:w="1349" w:type="dxa"/>
                  <w:vMerge w:val="restart"/>
                  <w:vAlign w:val="center"/>
                </w:tcPr>
                <w:p w14:paraId="05FEA03F">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监测位置</w:t>
                  </w:r>
                </w:p>
              </w:tc>
              <w:tc>
                <w:tcPr>
                  <w:tcW w:w="3068" w:type="dxa"/>
                  <w:gridSpan w:val="3"/>
                  <w:vAlign w:val="center"/>
                </w:tcPr>
                <w:p w14:paraId="14563CDF">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昼间</w:t>
                  </w:r>
                </w:p>
              </w:tc>
              <w:tc>
                <w:tcPr>
                  <w:tcW w:w="3265" w:type="dxa"/>
                  <w:gridSpan w:val="3"/>
                  <w:vAlign w:val="center"/>
                </w:tcPr>
                <w:p w14:paraId="4B6A0264">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夜间</w:t>
                  </w:r>
                </w:p>
              </w:tc>
            </w:tr>
            <w:tr w14:paraId="42DD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4" w:type="dxa"/>
                  <w:vMerge w:val="continue"/>
                  <w:vAlign w:val="center"/>
                </w:tcPr>
                <w:p w14:paraId="0C1CE525">
                  <w:pPr>
                    <w:adjustRightInd w:val="0"/>
                    <w:snapToGrid w:val="0"/>
                    <w:jc w:val="center"/>
                    <w:rPr>
                      <w:b w:val="0"/>
                      <w:bCs w:val="0"/>
                      <w:color w:val="000000" w:themeColor="text1"/>
                      <w:kern w:val="0"/>
                      <w:szCs w:val="21"/>
                      <w:highlight w:val="none"/>
                      <w14:textFill>
                        <w14:solidFill>
                          <w14:schemeClr w14:val="tx1"/>
                        </w14:solidFill>
                      </w14:textFill>
                    </w:rPr>
                  </w:pPr>
                </w:p>
              </w:tc>
              <w:tc>
                <w:tcPr>
                  <w:tcW w:w="1349" w:type="dxa"/>
                  <w:vMerge w:val="continue"/>
                  <w:vAlign w:val="center"/>
                </w:tcPr>
                <w:p w14:paraId="4B8F68B9">
                  <w:pPr>
                    <w:adjustRightInd w:val="0"/>
                    <w:snapToGrid w:val="0"/>
                    <w:jc w:val="center"/>
                    <w:rPr>
                      <w:b w:val="0"/>
                      <w:bCs w:val="0"/>
                      <w:color w:val="000000" w:themeColor="text1"/>
                      <w:kern w:val="0"/>
                      <w:szCs w:val="21"/>
                      <w:highlight w:val="none"/>
                      <w14:textFill>
                        <w14:solidFill>
                          <w14:schemeClr w14:val="tx1"/>
                        </w14:solidFill>
                      </w14:textFill>
                    </w:rPr>
                  </w:pPr>
                </w:p>
              </w:tc>
              <w:tc>
                <w:tcPr>
                  <w:tcW w:w="1133" w:type="dxa"/>
                  <w:vAlign w:val="center"/>
                </w:tcPr>
                <w:p w14:paraId="57B16875">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监测值</w:t>
                  </w:r>
                </w:p>
              </w:tc>
              <w:tc>
                <w:tcPr>
                  <w:tcW w:w="867" w:type="dxa"/>
                  <w:vAlign w:val="center"/>
                </w:tcPr>
                <w:p w14:paraId="4C0135E2">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标准值</w:t>
                  </w:r>
                </w:p>
              </w:tc>
              <w:tc>
                <w:tcPr>
                  <w:tcW w:w="1068" w:type="dxa"/>
                  <w:vAlign w:val="center"/>
                </w:tcPr>
                <w:p w14:paraId="657CEFB9">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达标情况</w:t>
                  </w:r>
                </w:p>
              </w:tc>
              <w:tc>
                <w:tcPr>
                  <w:tcW w:w="881" w:type="dxa"/>
                  <w:vAlign w:val="center"/>
                </w:tcPr>
                <w:p w14:paraId="05057722">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监测值</w:t>
                  </w:r>
                </w:p>
              </w:tc>
              <w:tc>
                <w:tcPr>
                  <w:tcW w:w="881" w:type="dxa"/>
                  <w:vAlign w:val="center"/>
                </w:tcPr>
                <w:p w14:paraId="3DB80E8C">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标准值</w:t>
                  </w:r>
                </w:p>
              </w:tc>
              <w:tc>
                <w:tcPr>
                  <w:tcW w:w="1503" w:type="dxa"/>
                  <w:vAlign w:val="center"/>
                </w:tcPr>
                <w:p w14:paraId="5912D75E">
                  <w:pPr>
                    <w:adjustRightInd w:val="0"/>
                    <w:snapToGrid w:val="0"/>
                    <w:jc w:val="center"/>
                    <w:rPr>
                      <w:b w:val="0"/>
                      <w:bCs w:val="0"/>
                      <w:color w:val="000000" w:themeColor="text1"/>
                      <w:kern w:val="0"/>
                      <w:szCs w:val="21"/>
                      <w:highlight w:val="none"/>
                      <w14:textFill>
                        <w14:solidFill>
                          <w14:schemeClr w14:val="tx1"/>
                        </w14:solidFill>
                      </w14:textFill>
                    </w:rPr>
                  </w:pPr>
                  <w:r>
                    <w:rPr>
                      <w:rFonts w:hint="eastAsia"/>
                      <w:b w:val="0"/>
                      <w:bCs w:val="0"/>
                      <w:color w:val="000000" w:themeColor="text1"/>
                      <w:kern w:val="0"/>
                      <w:szCs w:val="21"/>
                      <w:highlight w:val="none"/>
                      <w14:textFill>
                        <w14:solidFill>
                          <w14:schemeClr w14:val="tx1"/>
                        </w14:solidFill>
                      </w14:textFill>
                    </w:rPr>
                    <w:t>达标情况</w:t>
                  </w:r>
                </w:p>
              </w:tc>
            </w:tr>
            <w:tr w14:paraId="27B5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4" w:type="dxa"/>
                  <w:vAlign w:val="center"/>
                </w:tcPr>
                <w:p w14:paraId="348B42A0">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w:t>
                  </w:r>
                </w:p>
              </w:tc>
              <w:tc>
                <w:tcPr>
                  <w:tcW w:w="1349" w:type="dxa"/>
                  <w:vAlign w:val="center"/>
                </w:tcPr>
                <w:p w14:paraId="5D87D4C8">
                  <w:pPr>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项目站址中心</w:t>
                  </w:r>
                </w:p>
              </w:tc>
              <w:tc>
                <w:tcPr>
                  <w:tcW w:w="1133" w:type="dxa"/>
                  <w:vAlign w:val="center"/>
                </w:tcPr>
                <w:p w14:paraId="3EFAE2A2">
                  <w:pPr>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42</w:t>
                  </w:r>
                </w:p>
              </w:tc>
              <w:tc>
                <w:tcPr>
                  <w:tcW w:w="867" w:type="dxa"/>
                  <w:vAlign w:val="center"/>
                </w:tcPr>
                <w:p w14:paraId="39D542DC">
                  <w:pPr>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65</w:t>
                  </w:r>
                </w:p>
              </w:tc>
              <w:tc>
                <w:tcPr>
                  <w:tcW w:w="1068" w:type="dxa"/>
                  <w:vAlign w:val="center"/>
                </w:tcPr>
                <w:p w14:paraId="4572BBE0">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c>
                <w:tcPr>
                  <w:tcW w:w="881" w:type="dxa"/>
                  <w:vAlign w:val="center"/>
                </w:tcPr>
                <w:p w14:paraId="5D9E64ED">
                  <w:pPr>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40</w:t>
                  </w:r>
                </w:p>
              </w:tc>
              <w:tc>
                <w:tcPr>
                  <w:tcW w:w="881" w:type="dxa"/>
                  <w:vAlign w:val="center"/>
                </w:tcPr>
                <w:p w14:paraId="2092CF29">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55</w:t>
                  </w:r>
                </w:p>
              </w:tc>
              <w:tc>
                <w:tcPr>
                  <w:tcW w:w="1503" w:type="dxa"/>
                  <w:vAlign w:val="center"/>
                </w:tcPr>
                <w:p w14:paraId="3B22236C">
                  <w:pPr>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r>
            <w:tr w14:paraId="435E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4" w:type="dxa"/>
                  <w:vAlign w:val="center"/>
                </w:tcPr>
                <w:p w14:paraId="7F2481E3">
                  <w:pPr>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2#</w:t>
                  </w:r>
                </w:p>
              </w:tc>
              <w:tc>
                <w:tcPr>
                  <w:tcW w:w="1349" w:type="dxa"/>
                  <w:vAlign w:val="center"/>
                </w:tcPr>
                <w:p w14:paraId="6940F9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kern w:val="0"/>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跨越35kV、10kV线路处</w:t>
                  </w:r>
                </w:p>
              </w:tc>
              <w:tc>
                <w:tcPr>
                  <w:tcW w:w="1133" w:type="dxa"/>
                  <w:vAlign w:val="center"/>
                </w:tcPr>
                <w:p w14:paraId="3058A39B">
                  <w:pPr>
                    <w:widowControl/>
                    <w:jc w:val="center"/>
                    <w:textAlignment w:val="center"/>
                    <w:rPr>
                      <w:rFonts w:hint="eastAsia"/>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51</w:t>
                  </w:r>
                </w:p>
              </w:tc>
              <w:tc>
                <w:tcPr>
                  <w:tcW w:w="867" w:type="dxa"/>
                  <w:vAlign w:val="center"/>
                </w:tcPr>
                <w:p w14:paraId="36E23AC4">
                  <w:pPr>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65</w:t>
                  </w:r>
                </w:p>
              </w:tc>
              <w:tc>
                <w:tcPr>
                  <w:tcW w:w="1068" w:type="dxa"/>
                  <w:vAlign w:val="center"/>
                </w:tcPr>
                <w:p w14:paraId="6A4AD483">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c>
                <w:tcPr>
                  <w:tcW w:w="881" w:type="dxa"/>
                  <w:vAlign w:val="center"/>
                </w:tcPr>
                <w:p w14:paraId="4186C269">
                  <w:pPr>
                    <w:widowControl/>
                    <w:jc w:val="center"/>
                    <w:textAlignment w:val="center"/>
                    <w:rPr>
                      <w:rFonts w:hint="eastAsia"/>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48</w:t>
                  </w:r>
                </w:p>
              </w:tc>
              <w:tc>
                <w:tcPr>
                  <w:tcW w:w="881" w:type="dxa"/>
                  <w:vAlign w:val="center"/>
                </w:tcPr>
                <w:p w14:paraId="5166DCDC">
                  <w:pPr>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55</w:t>
                  </w:r>
                </w:p>
              </w:tc>
              <w:tc>
                <w:tcPr>
                  <w:tcW w:w="1503" w:type="dxa"/>
                  <w:vAlign w:val="center"/>
                </w:tcPr>
                <w:p w14:paraId="0411DF25">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r>
            <w:tr w14:paraId="47BA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4" w:type="dxa"/>
                  <w:vAlign w:val="center"/>
                </w:tcPr>
                <w:p w14:paraId="10226D35">
                  <w:pPr>
                    <w:adjustRightInd w:val="0"/>
                    <w:snapToGrid w:val="0"/>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3#</w:t>
                  </w:r>
                </w:p>
              </w:tc>
              <w:tc>
                <w:tcPr>
                  <w:tcW w:w="1349" w:type="dxa"/>
                  <w:vAlign w:val="center"/>
                </w:tcPr>
                <w:p w14:paraId="2C1367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kern w:val="0"/>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跨越公路处</w:t>
                  </w:r>
                </w:p>
              </w:tc>
              <w:tc>
                <w:tcPr>
                  <w:tcW w:w="1133" w:type="dxa"/>
                  <w:vAlign w:val="center"/>
                </w:tcPr>
                <w:p w14:paraId="62F770F5">
                  <w:pPr>
                    <w:widowControl/>
                    <w:jc w:val="center"/>
                    <w:textAlignment w:val="center"/>
                    <w:rPr>
                      <w:rFonts w:hint="eastAsia"/>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56</w:t>
                  </w:r>
                </w:p>
              </w:tc>
              <w:tc>
                <w:tcPr>
                  <w:tcW w:w="867" w:type="dxa"/>
                  <w:vAlign w:val="center"/>
                </w:tcPr>
                <w:p w14:paraId="7835CD20">
                  <w:pPr>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65</w:t>
                  </w:r>
                </w:p>
              </w:tc>
              <w:tc>
                <w:tcPr>
                  <w:tcW w:w="1068" w:type="dxa"/>
                  <w:vAlign w:val="center"/>
                </w:tcPr>
                <w:p w14:paraId="4E4A648E">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c>
                <w:tcPr>
                  <w:tcW w:w="881" w:type="dxa"/>
                  <w:vAlign w:val="center"/>
                </w:tcPr>
                <w:p w14:paraId="6D89C47F">
                  <w:pPr>
                    <w:widowControl/>
                    <w:jc w:val="center"/>
                    <w:textAlignment w:val="center"/>
                    <w:rPr>
                      <w:rFonts w:hint="eastAsia"/>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44</w:t>
                  </w:r>
                </w:p>
              </w:tc>
              <w:tc>
                <w:tcPr>
                  <w:tcW w:w="881" w:type="dxa"/>
                  <w:vAlign w:val="center"/>
                </w:tcPr>
                <w:p w14:paraId="27CB01F6">
                  <w:pPr>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55</w:t>
                  </w:r>
                </w:p>
              </w:tc>
              <w:tc>
                <w:tcPr>
                  <w:tcW w:w="1503" w:type="dxa"/>
                  <w:vAlign w:val="center"/>
                </w:tcPr>
                <w:p w14:paraId="65D95375">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r>
            <w:tr w14:paraId="3477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4" w:type="dxa"/>
                  <w:vAlign w:val="center"/>
                </w:tcPr>
                <w:p w14:paraId="2DBCBFC4">
                  <w:pPr>
                    <w:adjustRightInd w:val="0"/>
                    <w:snapToGrid w:val="0"/>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4#</w:t>
                  </w:r>
                </w:p>
              </w:tc>
              <w:tc>
                <w:tcPr>
                  <w:tcW w:w="1349" w:type="dxa"/>
                  <w:vAlign w:val="center"/>
                </w:tcPr>
                <w:p w14:paraId="04FDFC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kern w:val="0"/>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电磁环境敏感目标处</w:t>
                  </w:r>
                </w:p>
              </w:tc>
              <w:tc>
                <w:tcPr>
                  <w:tcW w:w="1133" w:type="dxa"/>
                  <w:vAlign w:val="center"/>
                </w:tcPr>
                <w:p w14:paraId="092CA8F7">
                  <w:pPr>
                    <w:widowControl/>
                    <w:jc w:val="center"/>
                    <w:textAlignment w:val="center"/>
                    <w:rPr>
                      <w:rFonts w:hint="eastAsia"/>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33</w:t>
                  </w:r>
                </w:p>
              </w:tc>
              <w:tc>
                <w:tcPr>
                  <w:tcW w:w="867" w:type="dxa"/>
                  <w:vAlign w:val="center"/>
                </w:tcPr>
                <w:p w14:paraId="6E2A26D6">
                  <w:pPr>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65</w:t>
                  </w:r>
                </w:p>
              </w:tc>
              <w:tc>
                <w:tcPr>
                  <w:tcW w:w="1068" w:type="dxa"/>
                  <w:vAlign w:val="center"/>
                </w:tcPr>
                <w:p w14:paraId="3D41F014">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c>
                <w:tcPr>
                  <w:tcW w:w="881" w:type="dxa"/>
                  <w:vAlign w:val="center"/>
                </w:tcPr>
                <w:p w14:paraId="70C7DF02">
                  <w:pPr>
                    <w:widowControl/>
                    <w:jc w:val="center"/>
                    <w:textAlignment w:val="center"/>
                    <w:rPr>
                      <w:rFonts w:hint="eastAsia"/>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37</w:t>
                  </w:r>
                </w:p>
              </w:tc>
              <w:tc>
                <w:tcPr>
                  <w:tcW w:w="881" w:type="dxa"/>
                  <w:vAlign w:val="center"/>
                </w:tcPr>
                <w:p w14:paraId="68EFD5B0">
                  <w:pPr>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55</w:t>
                  </w:r>
                </w:p>
              </w:tc>
              <w:tc>
                <w:tcPr>
                  <w:tcW w:w="1503" w:type="dxa"/>
                  <w:vAlign w:val="center"/>
                </w:tcPr>
                <w:p w14:paraId="5A37F746">
                  <w:pPr>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达标</w:t>
                  </w:r>
                </w:p>
              </w:tc>
            </w:tr>
          </w:tbl>
          <w:p w14:paraId="0320645F">
            <w:pPr>
              <w:adjustRightInd w:val="0"/>
              <w:snapToGrid w:val="0"/>
              <w:spacing w:before="120" w:beforeLines="50" w:line="360" w:lineRule="auto"/>
              <w:ind w:firstLine="480" w:firstLineChars="200"/>
              <w:rPr>
                <w:color w:val="000000" w:themeColor="text1"/>
                <w:sz w:val="24"/>
                <w:szCs w:val="21"/>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由表3-5监测结果可见，项目监测点昼间、夜间噪声值均能满足《声环境质量标准》（GB3096-2008）中的</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14:textFill>
                  <w14:solidFill>
                    <w14:schemeClr w14:val="tx1"/>
                  </w14:solidFill>
                </w14:textFill>
              </w:rPr>
              <w:t>类标准</w:t>
            </w:r>
            <w:r>
              <w:rPr>
                <w:rFonts w:hint="eastAsia"/>
                <w:color w:val="000000" w:themeColor="text1"/>
                <w:sz w:val="24"/>
                <w:szCs w:val="21"/>
                <w:highlight w:val="none"/>
                <w14:textFill>
                  <w14:solidFill>
                    <w14:schemeClr w14:val="tx1"/>
                  </w14:solidFill>
                </w14:textFill>
              </w:rPr>
              <w:t>。</w:t>
            </w:r>
          </w:p>
          <w:p w14:paraId="0CB73D8C">
            <w:pPr>
              <w:widowControl/>
              <w:spacing w:line="360" w:lineRule="auto"/>
              <w:ind w:firstLine="482" w:firstLineChars="200"/>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4.3水环境现状</w:t>
            </w:r>
          </w:p>
          <w:p w14:paraId="6CC0DDB4">
            <w:pPr>
              <w:adjustRightInd w:val="0"/>
              <w:snapToGrid w:val="0"/>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（1）</w:t>
            </w:r>
            <w:r>
              <w:rPr>
                <w:bCs/>
                <w:color w:val="000000" w:themeColor="text1"/>
                <w:sz w:val="24"/>
                <w:highlight w:val="none"/>
                <w14:textFill>
                  <w14:solidFill>
                    <w14:schemeClr w14:val="tx1"/>
                  </w14:solidFill>
                </w14:textFill>
              </w:rPr>
              <w:t>地表水环境</w:t>
            </w:r>
          </w:p>
          <w:p w14:paraId="3E063BEA">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w:t>
            </w:r>
            <w:r>
              <w:rPr>
                <w:color w:val="000000" w:themeColor="text1"/>
                <w:sz w:val="24"/>
                <w:highlight w:val="none"/>
                <w14:textFill>
                  <w14:solidFill>
                    <w14:schemeClr w14:val="tx1"/>
                  </w14:solidFill>
                </w14:textFill>
              </w:rPr>
              <w:t>本项目工程特点</w:t>
            </w:r>
            <w:r>
              <w:rPr>
                <w:rFonts w:hint="eastAsia"/>
                <w:color w:val="000000" w:themeColor="text1"/>
                <w:sz w:val="24"/>
                <w:highlight w:val="none"/>
                <w14:textFill>
                  <w14:solidFill>
                    <w14:schemeClr w14:val="tx1"/>
                  </w14:solidFill>
                </w14:textFill>
              </w:rPr>
              <w:t>，运营期项目无生产废水外排，</w:t>
            </w:r>
            <w:r>
              <w:rPr>
                <w:color w:val="000000" w:themeColor="text1"/>
                <w:sz w:val="24"/>
                <w:highlight w:val="none"/>
                <w14:textFill>
                  <w14:solidFill>
                    <w14:schemeClr w14:val="tx1"/>
                  </w14:solidFill>
                </w14:textFill>
              </w:rPr>
              <w:t>生活污水</w:t>
            </w:r>
            <w:r>
              <w:rPr>
                <w:rFonts w:hint="eastAsia"/>
                <w:color w:val="000000" w:themeColor="text1"/>
                <w:sz w:val="24"/>
                <w:highlight w:val="none"/>
                <w14:textFill>
                  <w14:solidFill>
                    <w14:schemeClr w14:val="tx1"/>
                  </w14:solidFill>
                </w14:textFill>
              </w:rPr>
              <w:t>由项目</w:t>
            </w:r>
            <w:r>
              <w:rPr>
                <w:color w:val="000000" w:themeColor="text1"/>
                <w:sz w:val="24"/>
                <w:highlight w:val="none"/>
                <w14:textFill>
                  <w14:solidFill>
                    <w14:schemeClr w14:val="tx1"/>
                  </w14:solidFill>
                </w14:textFill>
              </w:rPr>
              <w:t>一体化污水处理设施处理后满足《农村生活污水处理排放标准》（DB654275-2019）表2中</w:t>
            </w:r>
            <w:r>
              <w:rPr>
                <w:rFonts w:hint="eastAsia"/>
                <w:color w:val="000000" w:themeColor="text1"/>
                <w:sz w:val="24"/>
                <w:highlight w:val="none"/>
                <w:lang w:val="en-US" w:eastAsia="zh-CN"/>
                <w14:textFill>
                  <w14:solidFill>
                    <w14:schemeClr w14:val="tx1"/>
                  </w14:solidFill>
                </w14:textFill>
              </w:rPr>
              <w:t>A</w:t>
            </w:r>
            <w:r>
              <w:rPr>
                <w:color w:val="000000" w:themeColor="text1"/>
                <w:sz w:val="24"/>
                <w:highlight w:val="none"/>
                <w14:textFill>
                  <w14:solidFill>
                    <w14:schemeClr w14:val="tx1"/>
                  </w14:solidFill>
                </w14:textFill>
              </w:rPr>
              <w:t>级标准后用于升压站</w:t>
            </w:r>
            <w:r>
              <w:rPr>
                <w:rFonts w:hint="eastAsia"/>
                <w:color w:val="000000" w:themeColor="text1"/>
                <w:sz w:val="24"/>
                <w:highlight w:val="none"/>
                <w:lang w:val="en-US" w:eastAsia="zh-CN"/>
                <w14:textFill>
                  <w14:solidFill>
                    <w14:schemeClr w14:val="tx1"/>
                  </w14:solidFill>
                </w14:textFill>
              </w:rPr>
              <w:t>及储能站</w:t>
            </w:r>
            <w:r>
              <w:rPr>
                <w:color w:val="000000" w:themeColor="text1"/>
                <w:sz w:val="24"/>
                <w:highlight w:val="none"/>
                <w14:textFill>
                  <w14:solidFill>
                    <w14:schemeClr w14:val="tx1"/>
                  </w14:solidFill>
                </w14:textFill>
              </w:rPr>
              <w:t>绿化及生态恢复，不直接排入地表水体，</w:t>
            </w:r>
            <w:r>
              <w:rPr>
                <w:rFonts w:hint="eastAsia"/>
                <w:color w:val="000000" w:themeColor="text1"/>
                <w:sz w:val="24"/>
                <w:highlight w:val="none"/>
                <w14:textFill>
                  <w14:solidFill>
                    <w14:schemeClr w14:val="tx1"/>
                  </w14:solidFill>
                </w14:textFill>
              </w:rPr>
              <w:t>根据现场调查，项目周边5km范围内无地表水体分布，故根据</w:t>
            </w:r>
            <w:r>
              <w:rPr>
                <w:color w:val="000000" w:themeColor="text1"/>
                <w:sz w:val="24"/>
                <w:highlight w:val="none"/>
                <w14:textFill>
                  <w14:solidFill>
                    <w14:schemeClr w14:val="tx1"/>
                  </w14:solidFill>
                </w14:textFill>
              </w:rPr>
              <w:t>《环境影响评价技术导则</w:t>
            </w:r>
            <w:r>
              <w:rPr>
                <w:rFonts w:hint="eastAsia"/>
                <w:color w:val="000000" w:themeColor="text1"/>
                <w:sz w:val="24"/>
                <w:highlight w:val="none"/>
                <w14:textFill>
                  <w14:solidFill>
                    <w14:schemeClr w14:val="tx1"/>
                  </w14:solidFill>
                </w14:textFill>
              </w:rPr>
              <w:t xml:space="preserve"> </w:t>
            </w:r>
            <w:r>
              <w:rPr>
                <w:color w:val="000000" w:themeColor="text1"/>
                <w:sz w:val="24"/>
                <w:highlight w:val="none"/>
                <w14:textFill>
                  <w14:solidFill>
                    <w14:schemeClr w14:val="tx1"/>
                  </w14:solidFill>
                </w14:textFill>
              </w:rPr>
              <w:t>地表水环境》（HJ2.3-2018）</w:t>
            </w:r>
            <w:r>
              <w:rPr>
                <w:rFonts w:hint="eastAsia"/>
                <w:color w:val="000000" w:themeColor="text1"/>
                <w:sz w:val="24"/>
                <w:highlight w:val="none"/>
                <w14:textFill>
                  <w14:solidFill>
                    <w14:schemeClr w14:val="tx1"/>
                  </w14:solidFill>
                </w14:textFill>
              </w:rPr>
              <w:t>判断项目地表水进行三级B评价，本次评价不开展地表水环境质量现状调查</w:t>
            </w:r>
            <w:r>
              <w:rPr>
                <w:color w:val="000000" w:themeColor="text1"/>
                <w:sz w:val="24"/>
                <w:highlight w:val="none"/>
                <w14:textFill>
                  <w14:solidFill>
                    <w14:schemeClr w14:val="tx1"/>
                  </w14:solidFill>
                </w14:textFill>
              </w:rPr>
              <w:t>。</w:t>
            </w:r>
          </w:p>
          <w:p w14:paraId="1035628B">
            <w:pPr>
              <w:adjustRightInd w:val="0"/>
              <w:snapToGrid w:val="0"/>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（2）</w:t>
            </w:r>
            <w:r>
              <w:rPr>
                <w:bCs/>
                <w:color w:val="000000" w:themeColor="text1"/>
                <w:sz w:val="24"/>
                <w:highlight w:val="none"/>
                <w14:textFill>
                  <w14:solidFill>
                    <w14:schemeClr w14:val="tx1"/>
                  </w14:solidFill>
                </w14:textFill>
              </w:rPr>
              <w:t>地下水环境</w:t>
            </w:r>
          </w:p>
          <w:p w14:paraId="6B121C80">
            <w:pPr>
              <w:spacing w:line="360" w:lineRule="auto"/>
              <w:ind w:firstLine="480"/>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本项目为</w:t>
            </w:r>
            <w:r>
              <w:rPr>
                <w:rFonts w:hint="eastAsia"/>
                <w:color w:val="000000" w:themeColor="text1"/>
                <w:sz w:val="24"/>
                <w:highlight w:val="none"/>
                <w14:textFill>
                  <w14:solidFill>
                    <w14:schemeClr w14:val="tx1"/>
                  </w14:solidFill>
                </w14:textFill>
              </w:rPr>
              <w:t>输变电</w:t>
            </w:r>
            <w:r>
              <w:rPr>
                <w:color w:val="000000" w:themeColor="text1"/>
                <w:sz w:val="24"/>
                <w:highlight w:val="none"/>
                <w14:textFill>
                  <w14:solidFill>
                    <w14:schemeClr w14:val="tx1"/>
                  </w14:solidFill>
                </w14:textFill>
              </w:rPr>
              <w:t>项目，</w:t>
            </w:r>
            <w:r>
              <w:rPr>
                <w:bCs/>
                <w:color w:val="000000" w:themeColor="text1"/>
                <w:sz w:val="24"/>
                <w:highlight w:val="none"/>
                <w14:textFill>
                  <w14:solidFill>
                    <w14:schemeClr w14:val="tx1"/>
                  </w14:solidFill>
                </w14:textFill>
              </w:rPr>
              <w:t>根据《环境影响评价技术导则</w:t>
            </w:r>
            <w:r>
              <w:rPr>
                <w:rFonts w:hint="eastAsia"/>
                <w:bCs/>
                <w:color w:val="000000" w:themeColor="text1"/>
                <w:sz w:val="24"/>
                <w:highlight w:val="none"/>
                <w14:textFill>
                  <w14:solidFill>
                    <w14:schemeClr w14:val="tx1"/>
                  </w14:solidFill>
                </w14:textFill>
              </w:rPr>
              <w:t xml:space="preserve"> </w:t>
            </w:r>
            <w:r>
              <w:rPr>
                <w:bCs/>
                <w:color w:val="000000" w:themeColor="text1"/>
                <w:sz w:val="24"/>
                <w:highlight w:val="none"/>
                <w14:textFill>
                  <w14:solidFill>
                    <w14:schemeClr w14:val="tx1"/>
                  </w14:solidFill>
                </w14:textFill>
              </w:rPr>
              <w:t>地下水环境》（HJ</w:t>
            </w:r>
            <w:r>
              <w:rPr>
                <w:rFonts w:hint="eastAsia"/>
                <w:bCs/>
                <w:color w:val="000000" w:themeColor="text1"/>
                <w:sz w:val="24"/>
                <w:highlight w:val="none"/>
                <w14:textFill>
                  <w14:solidFill>
                    <w14:schemeClr w14:val="tx1"/>
                  </w14:solidFill>
                </w14:textFill>
              </w:rPr>
              <w:t>6</w:t>
            </w:r>
            <w:r>
              <w:rPr>
                <w:bCs/>
                <w:color w:val="000000" w:themeColor="text1"/>
                <w:sz w:val="24"/>
                <w:highlight w:val="none"/>
                <w14:textFill>
                  <w14:solidFill>
                    <w14:schemeClr w14:val="tx1"/>
                  </w14:solidFill>
                </w14:textFill>
              </w:rPr>
              <w:t>10-2016）中附录A地下水环境影响评价行业分类表，本项目为IV类</w:t>
            </w:r>
            <w:r>
              <w:rPr>
                <w:rFonts w:hint="eastAsia"/>
                <w:bCs/>
                <w:color w:val="000000" w:themeColor="text1"/>
                <w:sz w:val="24"/>
                <w:highlight w:val="none"/>
                <w14:textFill>
                  <w14:solidFill>
                    <w14:schemeClr w14:val="tx1"/>
                  </w14:solidFill>
                </w14:textFill>
              </w:rPr>
              <w:t>建设</w:t>
            </w:r>
            <w:r>
              <w:rPr>
                <w:bCs/>
                <w:color w:val="000000" w:themeColor="text1"/>
                <w:sz w:val="24"/>
                <w:highlight w:val="none"/>
                <w14:textFill>
                  <w14:solidFill>
                    <w14:schemeClr w14:val="tx1"/>
                  </w14:solidFill>
                </w14:textFill>
              </w:rPr>
              <w:t>项目，可不开展地下水环境影响评价。</w:t>
            </w:r>
          </w:p>
          <w:p w14:paraId="30DC4892">
            <w:pPr>
              <w:spacing w:line="360" w:lineRule="auto"/>
              <w:ind w:firstLine="482" w:firstLineChars="200"/>
              <w:jc w:val="left"/>
              <w:rPr>
                <w:b/>
                <w:bCs/>
                <w:snapToGrid w:val="0"/>
                <w:color w:val="000000" w:themeColor="text1"/>
                <w:kern w:val="0"/>
                <w:sz w:val="24"/>
                <w:szCs w:val="22"/>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4.4</w:t>
            </w:r>
            <w:r>
              <w:rPr>
                <w:b/>
                <w:bCs/>
                <w:snapToGrid w:val="0"/>
                <w:color w:val="000000" w:themeColor="text1"/>
                <w:kern w:val="0"/>
                <w:sz w:val="24"/>
                <w:szCs w:val="22"/>
                <w:highlight w:val="none"/>
                <w14:textFill>
                  <w14:solidFill>
                    <w14:schemeClr w14:val="tx1"/>
                  </w14:solidFill>
                </w14:textFill>
              </w:rPr>
              <w:t>土壤环境质量现状</w:t>
            </w:r>
          </w:p>
          <w:p w14:paraId="0DD8DC70">
            <w:pPr>
              <w:adjustRightInd w:val="0"/>
              <w:snapToGrid w:val="0"/>
              <w:spacing w:line="360" w:lineRule="auto"/>
              <w:ind w:firstLine="480" w:firstLineChars="200"/>
              <w:rPr>
                <w:b/>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本项目为</w:t>
            </w:r>
            <w:r>
              <w:rPr>
                <w:rFonts w:hint="eastAsia"/>
                <w:color w:val="000000" w:themeColor="text1"/>
                <w:sz w:val="24"/>
                <w:highlight w:val="none"/>
                <w14:textFill>
                  <w14:solidFill>
                    <w14:schemeClr w14:val="tx1"/>
                  </w14:solidFill>
                </w14:textFill>
              </w:rPr>
              <w:t>输变电</w:t>
            </w:r>
            <w:r>
              <w:rPr>
                <w:color w:val="000000" w:themeColor="text1"/>
                <w:sz w:val="24"/>
                <w:highlight w:val="none"/>
                <w14:textFill>
                  <w14:solidFill>
                    <w14:schemeClr w14:val="tx1"/>
                  </w14:solidFill>
                </w14:textFill>
              </w:rPr>
              <w:t>项目，根据《环境影响评价技术导则 土壤环境（试行）》（HJ964-2018）附录A中表A.1 土壤环境影响评价项目类别，本工程属于</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电力热力燃气及水生产供应业</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中的</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其他</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类别，根据土壤环境影响评价类别判定本项目报告表为IV类，因此本项目不开展土壤环境质量现状调查。</w:t>
            </w:r>
          </w:p>
          <w:p w14:paraId="538D6E88">
            <w:p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4.5电磁环境现状评价</w:t>
            </w:r>
          </w:p>
          <w:p w14:paraId="73D639EF">
            <w:pPr>
              <w:widowControl/>
              <w:spacing w:line="360" w:lineRule="auto"/>
              <w:ind w:firstLine="480" w:firstLineChars="200"/>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本项目电磁环境现状监测委托新疆锡水金山环境科技有限公司于202</w:t>
            </w:r>
            <w:r>
              <w:rPr>
                <w:rFonts w:hint="eastAsia"/>
                <w:color w:val="000000" w:themeColor="text1"/>
                <w:sz w:val="24"/>
                <w:szCs w:val="21"/>
                <w:highlight w:val="none"/>
                <w:lang w:val="en-US" w:eastAsia="zh-CN"/>
                <w14:textFill>
                  <w14:solidFill>
                    <w14:schemeClr w14:val="tx1"/>
                  </w14:solidFill>
                </w14:textFill>
              </w:rPr>
              <w:t>6</w:t>
            </w:r>
            <w:r>
              <w:rPr>
                <w:rFonts w:hint="eastAsia"/>
                <w:color w:val="000000" w:themeColor="text1"/>
                <w:sz w:val="24"/>
                <w:szCs w:val="21"/>
                <w:highlight w:val="none"/>
                <w14:textFill>
                  <w14:solidFill>
                    <w14:schemeClr w14:val="tx1"/>
                  </w14:solidFill>
                </w14:textFill>
              </w:rPr>
              <w:t>年</w:t>
            </w:r>
            <w:r>
              <w:rPr>
                <w:rFonts w:hint="eastAsia"/>
                <w:color w:val="000000" w:themeColor="text1"/>
                <w:sz w:val="24"/>
                <w:szCs w:val="21"/>
                <w:highlight w:val="none"/>
                <w:lang w:val="en-US" w:eastAsia="zh-CN"/>
                <w14:textFill>
                  <w14:solidFill>
                    <w14:schemeClr w14:val="tx1"/>
                  </w14:solidFill>
                </w14:textFill>
              </w:rPr>
              <w:t>3</w:t>
            </w:r>
            <w:r>
              <w:rPr>
                <w:rFonts w:hint="eastAsia"/>
                <w:color w:val="000000" w:themeColor="text1"/>
                <w:sz w:val="24"/>
                <w:szCs w:val="21"/>
                <w:highlight w:val="none"/>
                <w14:textFill>
                  <w14:solidFill>
                    <w14:schemeClr w14:val="tx1"/>
                  </w14:solidFill>
                </w14:textFill>
              </w:rPr>
              <w:t>月</w:t>
            </w:r>
            <w:r>
              <w:rPr>
                <w:rFonts w:hint="eastAsia"/>
                <w:color w:val="000000" w:themeColor="text1"/>
                <w:sz w:val="24"/>
                <w:szCs w:val="21"/>
                <w:highlight w:val="none"/>
                <w:lang w:val="en-US" w:eastAsia="zh-CN"/>
                <w14:textFill>
                  <w14:solidFill>
                    <w14:schemeClr w14:val="tx1"/>
                  </w14:solidFill>
                </w14:textFill>
              </w:rPr>
              <w:t>18</w:t>
            </w:r>
            <w:r>
              <w:rPr>
                <w:rFonts w:hint="eastAsia"/>
                <w:color w:val="000000" w:themeColor="text1"/>
                <w:sz w:val="24"/>
                <w:szCs w:val="21"/>
                <w:highlight w:val="none"/>
                <w14:textFill>
                  <w14:solidFill>
                    <w14:schemeClr w14:val="tx1"/>
                  </w14:solidFill>
                </w14:textFill>
              </w:rPr>
              <w:t>日对项目升压站的电磁环境进行了现状监测，根据现场监测结果，现状监测升压站站址工频电场强度、工频磁感应强度监测结果均满足《电磁环境控制限值》（GB8702-2014）中的（工频电场强度≤4000V/m；工频磁感应强度≤100</w:t>
            </w:r>
            <w:r>
              <w:rPr>
                <w:color w:val="000000" w:themeColor="text1"/>
                <w:sz w:val="24"/>
                <w:szCs w:val="21"/>
                <w:highlight w:val="none"/>
                <w14:textFill>
                  <w14:solidFill>
                    <w14:schemeClr w14:val="tx1"/>
                  </w14:solidFill>
                </w14:textFill>
              </w:rPr>
              <w:t>μ</w:t>
            </w:r>
            <w:r>
              <w:rPr>
                <w:rFonts w:hint="eastAsia"/>
                <w:color w:val="000000" w:themeColor="text1"/>
                <w:sz w:val="24"/>
                <w:szCs w:val="21"/>
                <w:highlight w:val="none"/>
                <w14:textFill>
                  <w14:solidFill>
                    <w14:schemeClr w14:val="tx1"/>
                  </w14:solidFill>
                </w14:textFill>
              </w:rPr>
              <w:t>T）公众曝露控制限值</w:t>
            </w:r>
            <w:r>
              <w:rPr>
                <w:rFonts w:hint="eastAsia"/>
                <w:bCs/>
                <w:color w:val="000000" w:themeColor="text1"/>
                <w:sz w:val="24"/>
                <w:highlight w:val="none"/>
                <w14:textFill>
                  <w14:solidFill>
                    <w14:schemeClr w14:val="tx1"/>
                  </w14:solidFill>
                </w14:textFill>
              </w:rPr>
              <w:t>。</w:t>
            </w:r>
            <w:r>
              <w:rPr>
                <w:rFonts w:hint="eastAsia"/>
                <w:color w:val="000000" w:themeColor="text1"/>
                <w:sz w:val="24"/>
                <w:szCs w:val="21"/>
                <w:highlight w:val="none"/>
                <w14:textFill>
                  <w14:solidFill>
                    <w14:schemeClr w14:val="tx1"/>
                  </w14:solidFill>
                </w14:textFill>
              </w:rPr>
              <w:t>具体数据详见“电磁环境影响专题评价”。</w:t>
            </w:r>
          </w:p>
        </w:tc>
      </w:tr>
      <w:tr w14:paraId="21D92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5C45B5CE">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与项目有关的原有环境污染和生态破坏问题</w:t>
            </w:r>
          </w:p>
        </w:tc>
        <w:tc>
          <w:tcPr>
            <w:tcW w:w="8425" w:type="dxa"/>
            <w:vAlign w:val="center"/>
          </w:tcPr>
          <w:p w14:paraId="6CD42696">
            <w:pPr>
              <w:spacing w:line="360" w:lineRule="auto"/>
              <w:ind w:firstLine="480" w:firstLineChars="200"/>
              <w:jc w:val="left"/>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color w:val="000000" w:themeColor="text1"/>
                <w:sz w:val="24"/>
                <w:highlight w:val="none"/>
                <w14:textFill>
                  <w14:solidFill>
                    <w14:schemeClr w14:val="tx1"/>
                  </w14:solidFill>
                </w14:textFill>
              </w:rPr>
              <w:t>本项目为新建项目，不存在与项目有关的原有环境污染和生态破坏问题。</w:t>
            </w:r>
          </w:p>
        </w:tc>
      </w:tr>
      <w:tr w14:paraId="3D495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vAlign w:val="center"/>
          </w:tcPr>
          <w:p w14:paraId="2376D813">
            <w:pPr>
              <w:adjustRightInd w:val="0"/>
              <w:snapToGrid w:val="0"/>
              <w:jc w:val="center"/>
              <w:rPr>
                <w:rFonts w:hint="eastAsia" w:ascii="宋体" w:hAnsi="宋体"/>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生态环境保护目标</w:t>
            </w:r>
          </w:p>
        </w:tc>
        <w:tc>
          <w:tcPr>
            <w:tcW w:w="8425" w:type="dxa"/>
          </w:tcPr>
          <w:p w14:paraId="214C147D">
            <w:pPr>
              <w:widowControl/>
              <w:spacing w:before="120" w:beforeLines="50" w:line="360" w:lineRule="auto"/>
              <w:ind w:firstLine="480" w:firstLineChars="200"/>
              <w:rPr>
                <w:b/>
                <w:bCs/>
                <w:color w:val="000000" w:themeColor="text1"/>
                <w:kern w:val="0"/>
                <w:sz w:val="24"/>
                <w:highlight w:val="none"/>
                <w:lang w:bidi="ar"/>
                <w14:textFill>
                  <w14:solidFill>
                    <w14:schemeClr w14:val="tx1"/>
                  </w14:solidFill>
                </w14:textFill>
              </w:rPr>
            </w:pPr>
            <w:r>
              <w:rPr>
                <w:color w:val="000000" w:themeColor="text1"/>
                <w:sz w:val="24"/>
                <w:szCs w:val="21"/>
                <w:highlight w:val="none"/>
                <w14:textFill>
                  <w14:solidFill>
                    <w14:schemeClr w14:val="tx1"/>
                  </w14:solidFill>
                </w14:textFill>
              </w:rPr>
              <w:t>根据《建设项目环境影响评价分类管理名录</w:t>
            </w:r>
            <w:r>
              <w:rPr>
                <w:rFonts w:hint="eastAsia"/>
                <w:color w:val="000000" w:themeColor="text1"/>
                <w:sz w:val="24"/>
                <w:szCs w:val="21"/>
                <w:highlight w:val="none"/>
                <w14:textFill>
                  <w14:solidFill>
                    <w14:schemeClr w14:val="tx1"/>
                  </w14:solidFill>
                </w14:textFill>
              </w:rPr>
              <w:t>（</w:t>
            </w:r>
            <w:r>
              <w:rPr>
                <w:color w:val="000000" w:themeColor="text1"/>
                <w:sz w:val="24"/>
                <w:szCs w:val="21"/>
                <w:highlight w:val="none"/>
                <w14:textFill>
                  <w14:solidFill>
                    <w14:schemeClr w14:val="tx1"/>
                  </w14:solidFill>
                </w14:textFill>
              </w:rPr>
              <w:t>2021年版</w:t>
            </w:r>
            <w:r>
              <w:rPr>
                <w:rFonts w:hint="eastAsia"/>
                <w:color w:val="000000" w:themeColor="text1"/>
                <w:sz w:val="24"/>
                <w:szCs w:val="21"/>
                <w:highlight w:val="none"/>
                <w14:textFill>
                  <w14:solidFill>
                    <w14:schemeClr w14:val="tx1"/>
                  </w14:solidFill>
                </w14:textFill>
              </w:rPr>
              <w:t>）</w:t>
            </w:r>
            <w:r>
              <w:rPr>
                <w:color w:val="000000" w:themeColor="text1"/>
                <w:sz w:val="24"/>
                <w:szCs w:val="21"/>
                <w:highlight w:val="none"/>
                <w14:textFill>
                  <w14:solidFill>
                    <w14:schemeClr w14:val="tx1"/>
                  </w14:solidFill>
                </w14:textFill>
              </w:rPr>
              <w:t>》，本项目评价范围内不涉及国家公园、自然保护区、风景名胜区、世界文化和自然遗产地、饮用水水源保护区等环境敏感区。</w:t>
            </w:r>
          </w:p>
          <w:p w14:paraId="7EBAD31A">
            <w:pPr>
              <w:widowControl/>
              <w:spacing w:line="360" w:lineRule="auto"/>
              <w:ind w:firstLine="480" w:firstLineChars="200"/>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（1）生态环境</w:t>
            </w:r>
          </w:p>
          <w:p w14:paraId="60418886">
            <w:pPr>
              <w:widowControl/>
              <w:spacing w:line="360" w:lineRule="auto"/>
              <w:ind w:firstLine="480" w:firstLineChars="200"/>
              <w:rPr>
                <w:b/>
                <w:bCs/>
                <w:color w:val="000000" w:themeColor="text1"/>
                <w:kern w:val="0"/>
                <w:sz w:val="24"/>
                <w:highlight w:val="none"/>
                <w:lang w:bidi="ar"/>
                <w14:textFill>
                  <w14:solidFill>
                    <w14:schemeClr w14:val="tx1"/>
                  </w14:solidFill>
                </w14:textFill>
              </w:rPr>
            </w:pPr>
            <w:r>
              <w:rPr>
                <w:rFonts w:hint="eastAsia"/>
                <w:color w:val="000000" w:themeColor="text1"/>
                <w:sz w:val="24"/>
                <w:szCs w:val="21"/>
                <w:highlight w:val="none"/>
                <w14:textFill>
                  <w14:solidFill>
                    <w14:schemeClr w14:val="tx1"/>
                  </w14:solidFill>
                </w14:textFill>
              </w:rPr>
              <w:t>根据对工程所在区域的现场踏勘，本项目</w:t>
            </w:r>
            <w:r>
              <w:rPr>
                <w:rFonts w:hint="eastAsia"/>
                <w:color w:val="000000" w:themeColor="text1"/>
                <w:sz w:val="24"/>
                <w:szCs w:val="32"/>
                <w:highlight w:val="none"/>
                <w14:textFill>
                  <w14:solidFill>
                    <w14:schemeClr w14:val="tx1"/>
                  </w14:solidFill>
                </w14:textFill>
              </w:rPr>
              <w:t>升压站</w:t>
            </w:r>
            <w:r>
              <w:rPr>
                <w:rFonts w:hint="eastAsia"/>
                <w:color w:val="000000" w:themeColor="text1"/>
                <w:sz w:val="24"/>
                <w:szCs w:val="21"/>
                <w:highlight w:val="none"/>
                <w14:textFill>
                  <w14:solidFill>
                    <w14:schemeClr w14:val="tx1"/>
                  </w14:solidFill>
                </w14:textFill>
              </w:rPr>
              <w:t>围墙外500m评价范围内不涉及《环境影响评价技术导则 生态影响》（HJ19-2022）中定义生态保护目标，包括生态敏感区和重要物种，其中生态敏感区包括：法定生态保护区域、重要生境以及其他具有重要生态功能、对保护生物多样性具有重要意义的区域；重要物种包括：受影响的重要物种、生态敏感区以及其他需要保护的物种、种群、生物群落及生态空间等。</w:t>
            </w:r>
          </w:p>
          <w:p w14:paraId="4D1F7517">
            <w:pPr>
              <w:widowControl/>
              <w:spacing w:line="360" w:lineRule="auto"/>
              <w:ind w:firstLine="480" w:firstLineChars="200"/>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（2）电磁环境</w:t>
            </w:r>
          </w:p>
          <w:p w14:paraId="4ADBC939">
            <w:pPr>
              <w:widowControl/>
              <w:spacing w:line="360" w:lineRule="auto"/>
              <w:ind w:firstLine="480" w:firstLineChars="200"/>
              <w:rPr>
                <w:rFonts w:hint="eastAsia" w:eastAsia="宋体"/>
                <w:b/>
                <w:bCs/>
                <w:color w:val="000000" w:themeColor="text1"/>
                <w:kern w:val="0"/>
                <w:sz w:val="24"/>
                <w:highlight w:val="none"/>
                <w:lang w:eastAsia="zh-CN" w:bidi="ar"/>
                <w14:textFill>
                  <w14:solidFill>
                    <w14:schemeClr w14:val="tx1"/>
                  </w14:solidFill>
                </w14:textFill>
              </w:rPr>
            </w:pPr>
            <w:r>
              <w:rPr>
                <w:rFonts w:hint="eastAsia"/>
                <w:color w:val="000000" w:themeColor="text1"/>
                <w:sz w:val="24"/>
                <w:szCs w:val="21"/>
                <w:highlight w:val="none"/>
                <w14:textFill>
                  <w14:solidFill>
                    <w14:schemeClr w14:val="tx1"/>
                  </w14:solidFill>
                </w14:textFill>
              </w:rPr>
              <w:t>根据《环境影响评价技术导则 输变电》（HJ24-2020），电磁环境敏感目标为电磁环境影响评价需重点关注的对象。包括：住宅、学校、医院、办公楼、工厂等有公众居住，工作或学习的建筑物。本项目</w:t>
            </w:r>
            <w:r>
              <w:rPr>
                <w:rFonts w:hint="eastAsia"/>
                <w:color w:val="000000" w:themeColor="text1"/>
                <w:sz w:val="24"/>
                <w:szCs w:val="21"/>
                <w:highlight w:val="none"/>
                <w:lang w:val="en-US" w:eastAsia="zh-CN"/>
                <w14:textFill>
                  <w14:solidFill>
                    <w14:schemeClr w14:val="tx1"/>
                  </w14:solidFill>
                </w14:textFill>
              </w:rPr>
              <w:t>11</w:t>
            </w:r>
            <w:r>
              <w:rPr>
                <w:rFonts w:hint="eastAsia"/>
                <w:color w:val="000000" w:themeColor="text1"/>
                <w:sz w:val="24"/>
                <w:szCs w:val="21"/>
                <w:highlight w:val="none"/>
                <w14:textFill>
                  <w14:solidFill>
                    <w14:schemeClr w14:val="tx1"/>
                  </w14:solidFill>
                </w14:textFill>
              </w:rPr>
              <w:t>0kV</w:t>
            </w:r>
            <w:r>
              <w:rPr>
                <w:rFonts w:hint="eastAsia"/>
                <w:color w:val="000000" w:themeColor="text1"/>
                <w:sz w:val="24"/>
                <w:szCs w:val="32"/>
                <w:highlight w:val="none"/>
                <w14:textFill>
                  <w14:solidFill>
                    <w14:schemeClr w14:val="tx1"/>
                  </w14:solidFill>
                </w14:textFill>
              </w:rPr>
              <w:t>升压站</w:t>
            </w:r>
            <w:r>
              <w:rPr>
                <w:rFonts w:hint="eastAsia"/>
                <w:color w:val="000000" w:themeColor="text1"/>
                <w:sz w:val="24"/>
                <w:szCs w:val="21"/>
                <w:highlight w:val="none"/>
                <w14:textFill>
                  <w14:solidFill>
                    <w14:schemeClr w14:val="tx1"/>
                  </w14:solidFill>
                </w14:textFill>
              </w:rPr>
              <w:t>电磁环境影响评价范围为站界外</w:t>
            </w:r>
            <w:r>
              <w:rPr>
                <w:rFonts w:hint="eastAsia"/>
                <w:color w:val="000000" w:themeColor="text1"/>
                <w:sz w:val="24"/>
                <w:szCs w:val="21"/>
                <w:highlight w:val="none"/>
                <w:lang w:val="en-US" w:eastAsia="zh-CN"/>
                <w14:textFill>
                  <w14:solidFill>
                    <w14:schemeClr w14:val="tx1"/>
                  </w14:solidFill>
                </w14:textFill>
              </w:rPr>
              <w:t>3</w:t>
            </w:r>
            <w:r>
              <w:rPr>
                <w:rFonts w:hint="eastAsia"/>
                <w:color w:val="000000" w:themeColor="text1"/>
                <w:sz w:val="24"/>
                <w:szCs w:val="21"/>
                <w:highlight w:val="none"/>
                <w14:textFill>
                  <w14:solidFill>
                    <w14:schemeClr w14:val="tx1"/>
                  </w14:solidFill>
                </w14:textFill>
              </w:rPr>
              <w:t>0m</w:t>
            </w:r>
            <w:r>
              <w:rPr>
                <w:rFonts w:hint="eastAsia"/>
                <w:color w:val="000000" w:themeColor="text1"/>
                <w:sz w:val="24"/>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kern w:val="2"/>
                <w:sz w:val="24"/>
                <w:szCs w:val="21"/>
                <w:lang w:val="en-US" w:eastAsia="zh-CN" w:bidi="ar-SA"/>
                <w14:textFill>
                  <w14:solidFill>
                    <w14:schemeClr w14:val="tx1"/>
                  </w14:solidFill>
                </w14:textFill>
              </w:rPr>
              <w:t>110</w:t>
            </w:r>
            <w:r>
              <w:rPr>
                <w:rFonts w:hint="eastAsia" w:cs="Times New Roman"/>
                <w:color w:val="000000" w:themeColor="text1"/>
                <w:kern w:val="2"/>
                <w:sz w:val="24"/>
                <w:szCs w:val="21"/>
                <w:lang w:val="en-US" w:eastAsia="zh-CN" w:bidi="ar-SA"/>
                <w14:textFill>
                  <w14:solidFill>
                    <w14:schemeClr w14:val="tx1"/>
                  </w14:solidFill>
                </w14:textFill>
              </w:rPr>
              <w:t>kV</w:t>
            </w:r>
            <w:r>
              <w:rPr>
                <w:rFonts w:hint="eastAsia" w:ascii="Times New Roman" w:hAnsi="Times New Roman" w:eastAsia="宋体" w:cs="Times New Roman"/>
                <w:color w:val="000000" w:themeColor="text1"/>
                <w:kern w:val="2"/>
                <w:sz w:val="24"/>
                <w:szCs w:val="21"/>
                <w:lang w:val="en-US" w:eastAsia="zh-CN" w:bidi="ar-SA"/>
                <w14:textFill>
                  <w14:solidFill>
                    <w14:schemeClr w14:val="tx1"/>
                  </w14:solidFill>
                </w14:textFill>
              </w:rPr>
              <w:t>架空线路电磁环境评价范围为边导线地面投影外两侧各30m范围内的区域</w:t>
            </w:r>
            <w:r>
              <w:rPr>
                <w:rFonts w:hint="eastAsia" w:cs="Times New Roman"/>
                <w:color w:val="000000" w:themeColor="text1"/>
                <w:kern w:val="2"/>
                <w:sz w:val="24"/>
                <w:szCs w:val="21"/>
                <w:lang w:val="en-US" w:eastAsia="zh-CN" w:bidi="ar-SA"/>
                <w14:textFill>
                  <w14:solidFill>
                    <w14:schemeClr w14:val="tx1"/>
                  </w14:solidFill>
                </w14:textFill>
              </w:rPr>
              <w:t>。</w:t>
            </w:r>
          </w:p>
          <w:p w14:paraId="6CC36FB0">
            <w:pPr>
              <w:widowControl/>
              <w:spacing w:line="360" w:lineRule="auto"/>
              <w:ind w:firstLine="480" w:firstLineChars="200"/>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（3）声环境</w:t>
            </w:r>
          </w:p>
          <w:p w14:paraId="5B5A3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color w:val="000000" w:themeColor="text1"/>
                <w:kern w:val="2"/>
                <w:sz w:val="24"/>
                <w:szCs w:val="21"/>
                <w:lang w:val="en-US" w:eastAsia="zh-CN" w:bidi="ar-SA"/>
                <w14:textFill>
                  <w14:solidFill>
                    <w14:schemeClr w14:val="tx1"/>
                  </w14:solidFill>
                </w14:textFill>
              </w:rPr>
            </w:pPr>
            <w:r>
              <w:rPr>
                <w:rFonts w:hint="eastAsia" w:cs="Times New Roman"/>
                <w:color w:val="000000" w:themeColor="text1"/>
                <w:kern w:val="2"/>
                <w:sz w:val="24"/>
                <w:szCs w:val="21"/>
                <w:lang w:val="en-US" w:eastAsia="zh-CN" w:bidi="ar-SA"/>
                <w14:textFill>
                  <w14:solidFill>
                    <w14:schemeClr w14:val="tx1"/>
                  </w14:solidFill>
                </w14:textFill>
              </w:rPr>
              <w:t>根据《环境影响评价技术导则 声环境》）（HJ2.4-2021），声环境敏感目标指医院、学校、机关、科研单位、住宅、自然保护区等对噪声敏感的建筑物或区域。根据《环境影响评价技术导则 输变电》（HJ24-2020），110kV架空线路声环境评价范围为边导线地面投影外两侧各30m范围内的区域（地下电缆可不进行声环境影响评价），根据《建设项目环境影响报告表编制技术指南（污染影响类）（试行）》变电站需明确厂界外50米范围内声环境保护目标。</w:t>
            </w:r>
          </w:p>
          <w:p w14:paraId="19D33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color w:val="000000" w:themeColor="text1"/>
                <w:kern w:val="2"/>
                <w:sz w:val="24"/>
                <w:szCs w:val="21"/>
                <w:lang w:val="en-US" w:eastAsia="zh-CN" w:bidi="ar-SA"/>
                <w14:textFill>
                  <w14:solidFill>
                    <w14:schemeClr w14:val="tx1"/>
                  </w14:solidFill>
                </w14:textFill>
              </w:rPr>
            </w:pPr>
            <w:r>
              <w:rPr>
                <w:rFonts w:hint="eastAsia" w:cs="Times New Roman"/>
                <w:color w:val="000000" w:themeColor="text1"/>
                <w:kern w:val="2"/>
                <w:sz w:val="24"/>
                <w:szCs w:val="21"/>
                <w:lang w:val="en-US" w:eastAsia="zh-CN" w:bidi="ar-SA"/>
                <w14:textFill>
                  <w14:solidFill>
                    <w14:schemeClr w14:val="tx1"/>
                  </w14:solidFill>
                </w14:textFill>
              </w:rPr>
              <w:t>综上，根据现场调查，本工程变电站站界外50m范围无声环境保护目标，站界外30m范围无电磁环境保护目标；输电线路边导线地面投影外两侧各30m评价范围内涉及电磁环境和声环境保护目标，主要为工厂。环境敏感目标具体情况见表3-6。</w:t>
            </w:r>
          </w:p>
          <w:p w14:paraId="4764C52B">
            <w:pPr>
              <w:pStyle w:val="60"/>
              <w:keepNext w:val="0"/>
              <w:keepLines w:val="0"/>
              <w:pageBreakBefore w:val="0"/>
              <w:widowControl w:val="0"/>
              <w:suppressLineNumbers w:val="0"/>
              <w:kinsoku/>
              <w:wordWrap/>
              <w:overflowPunct w:val="0"/>
              <w:topLinePunct w:val="0"/>
              <w:autoSpaceDE/>
              <w:autoSpaceDN/>
              <w:bidi w:val="0"/>
              <w:adjustRightInd/>
              <w:snapToGrid w:val="0"/>
              <w:spacing w:before="157" w:beforeLines="50" w:beforeAutospacing="0" w:after="0" w:afterLines="0" w:afterAutospacing="0" w:line="240" w:lineRule="auto"/>
              <w:ind w:left="0" w:right="0"/>
              <w:textAlignment w:val="auto"/>
              <w:rPr>
                <w:rFonts w:hint="default" w:ascii="Times New Roman" w:hAnsi="Times New Roman" w:eastAsia="宋体" w:cs="Times New Roman"/>
                <w:b/>
                <w:bCs/>
                <w:color w:val="000000" w:themeColor="text1"/>
                <w:sz w:val="22"/>
                <w:szCs w:val="22"/>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2"/>
                <w:szCs w:val="22"/>
                <w:highlight w:val="none"/>
                <w:lang w:val="en-US" w:eastAsia="zh-CN"/>
                <w14:textFill>
                  <w14:solidFill>
                    <w14:schemeClr w14:val="tx1"/>
                  </w14:solidFill>
                </w14:textFill>
              </w:rPr>
              <w:t>表3-</w:t>
            </w:r>
            <w:r>
              <w:rPr>
                <w:rFonts w:hint="eastAsia" w:ascii="Times New Roman" w:cs="Times New Roman"/>
                <w:b/>
                <w:bCs/>
                <w:color w:val="000000" w:themeColor="text1"/>
                <w:sz w:val="22"/>
                <w:szCs w:val="22"/>
                <w:highlight w:val="none"/>
                <w:lang w:val="en-US" w:eastAsia="zh-CN"/>
                <w14:textFill>
                  <w14:solidFill>
                    <w14:schemeClr w14:val="tx1"/>
                  </w14:solidFill>
                </w14:textFill>
              </w:rPr>
              <w:t>6</w:t>
            </w:r>
            <w:r>
              <w:rPr>
                <w:rFonts w:hint="eastAsia" w:ascii="Times New Roman" w:hAnsi="Times New Roman" w:eastAsia="宋体" w:cs="Times New Roman"/>
                <w:b/>
                <w:bCs/>
                <w:color w:val="000000" w:themeColor="text1"/>
                <w:sz w:val="22"/>
                <w:szCs w:val="22"/>
                <w:highlight w:val="none"/>
                <w:lang w:val="en-US" w:eastAsia="zh-CN"/>
                <w14:textFill>
                  <w14:solidFill>
                    <w14:schemeClr w14:val="tx1"/>
                  </w14:solidFill>
                </w14:textFill>
              </w:rPr>
              <w:t xml:space="preserve">  环境敏感目标情况一览表</w:t>
            </w:r>
          </w:p>
          <w:tbl>
            <w:tblPr>
              <w:tblStyle w:val="33"/>
              <w:tblW w:w="82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18"/>
              <w:gridCol w:w="1012"/>
              <w:gridCol w:w="2625"/>
              <w:gridCol w:w="1874"/>
              <w:gridCol w:w="1427"/>
            </w:tblGrid>
            <w:tr w14:paraId="6B3C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99DDD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序号</w:t>
                  </w:r>
                </w:p>
              </w:tc>
              <w:tc>
                <w:tcPr>
                  <w:tcW w:w="818" w:type="dxa"/>
                  <w:vAlign w:val="center"/>
                </w:tcPr>
                <w:p w14:paraId="2BAB8A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行政区</w:t>
                  </w:r>
                </w:p>
              </w:tc>
              <w:tc>
                <w:tcPr>
                  <w:tcW w:w="1012" w:type="dxa"/>
                  <w:vAlign w:val="center"/>
                </w:tcPr>
                <w:p w14:paraId="673FBB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环境敏感目标名称</w:t>
                  </w:r>
                </w:p>
              </w:tc>
              <w:tc>
                <w:tcPr>
                  <w:tcW w:w="2625" w:type="dxa"/>
                  <w:vAlign w:val="center"/>
                </w:tcPr>
                <w:p w14:paraId="0C7F0E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功能、数量、房屋结构、高度</w:t>
                  </w:r>
                </w:p>
              </w:tc>
              <w:tc>
                <w:tcPr>
                  <w:tcW w:w="1874" w:type="dxa"/>
                  <w:vAlign w:val="center"/>
                </w:tcPr>
                <w:p w14:paraId="032B71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相对位置</w:t>
                  </w:r>
                </w:p>
              </w:tc>
              <w:tc>
                <w:tcPr>
                  <w:tcW w:w="1427" w:type="dxa"/>
                  <w:vAlign w:val="center"/>
                </w:tcPr>
                <w:p w14:paraId="66EDCA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环境影响因子</w:t>
                  </w:r>
                </w:p>
              </w:tc>
            </w:tr>
            <w:tr w14:paraId="36B9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8212" w:type="dxa"/>
                  <w:gridSpan w:val="6"/>
                  <w:vAlign w:val="center"/>
                </w:tcPr>
                <w:p w14:paraId="033FD13C">
                  <w:pPr>
                    <w:pStyle w:val="44"/>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63" w:leftChars="-30" w:right="-63" w:rightChars="-30"/>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1"/>
                      <w:vertAlign w:val="baseline"/>
                      <w:lang w:val="en-US" w:eastAsia="zh-CN" w:bidi="ar-SA"/>
                      <w14:textFill>
                        <w14:solidFill>
                          <w14:schemeClr w14:val="tx1"/>
                        </w14:solidFill>
                      </w14:textFill>
                    </w:rPr>
                    <w:t>110kV输电线路</w:t>
                  </w:r>
                </w:p>
              </w:tc>
            </w:tr>
            <w:tr w14:paraId="7E3A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C1431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818" w:type="dxa"/>
                  <w:vAlign w:val="center"/>
                </w:tcPr>
                <w:p w14:paraId="258799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托克逊县能源重化工工业园</w:t>
                  </w:r>
                </w:p>
              </w:tc>
              <w:tc>
                <w:tcPr>
                  <w:tcW w:w="1012" w:type="dxa"/>
                  <w:vAlign w:val="center"/>
                </w:tcPr>
                <w:p w14:paraId="4CB8BB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污水处理厂</w:t>
                  </w:r>
                </w:p>
              </w:tc>
              <w:tc>
                <w:tcPr>
                  <w:tcW w:w="2625" w:type="dxa"/>
                  <w:vAlign w:val="center"/>
                </w:tcPr>
                <w:p w14:paraId="0F7DF4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left"/>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功能：</w:t>
                  </w:r>
                  <w:r>
                    <w:rPr>
                      <w:rFonts w:hint="eastAsia" w:cs="Times New Roman"/>
                      <w:color w:val="000000" w:themeColor="text1"/>
                      <w:kern w:val="2"/>
                      <w:sz w:val="21"/>
                      <w:szCs w:val="21"/>
                      <w:vertAlign w:val="baseline"/>
                      <w:lang w:val="en-US" w:eastAsia="zh-CN" w:bidi="ar-SA"/>
                      <w14:textFill>
                        <w14:solidFill>
                          <w14:schemeClr w14:val="tx1"/>
                        </w14:solidFill>
                      </w14:textFill>
                    </w:rPr>
                    <w:t>工厂</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；数量：</w:t>
                  </w:r>
                  <w:r>
                    <w:rPr>
                      <w:rFonts w:hint="eastAsia" w:cs="Times New Roman"/>
                      <w:color w:val="000000" w:themeColor="text1"/>
                      <w:kern w:val="2"/>
                      <w:sz w:val="21"/>
                      <w:szCs w:val="21"/>
                      <w:vertAlign w:val="baseline"/>
                      <w:lang w:val="en-US" w:eastAsia="zh-CN" w:bidi="ar-SA"/>
                      <w14:textFill>
                        <w14:solidFill>
                          <w14:schemeClr w14:val="tx1"/>
                        </w14:solidFill>
                      </w14:textFill>
                    </w:rPr>
                    <w:t>1</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；房屋结构：1层平顶房；高度：约3m</w:t>
                  </w:r>
                </w:p>
              </w:tc>
              <w:tc>
                <w:tcPr>
                  <w:tcW w:w="1874" w:type="dxa"/>
                  <w:vAlign w:val="center"/>
                </w:tcPr>
                <w:p w14:paraId="3A8B56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left"/>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输电线路J6，距离边导线23m</w:t>
                  </w:r>
                </w:p>
              </w:tc>
              <w:tc>
                <w:tcPr>
                  <w:tcW w:w="1427" w:type="dxa"/>
                  <w:vAlign w:val="center"/>
                </w:tcPr>
                <w:p w14:paraId="53B90F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电磁环境、</w:t>
                  </w:r>
                </w:p>
                <w:p w14:paraId="1726FF17">
                  <w:pPr>
                    <w:pStyle w:val="44"/>
                    <w:keepNext w:val="0"/>
                    <w:keepLines w:val="0"/>
                    <w:pageBreakBefore w:val="0"/>
                    <w:widowControl/>
                    <w:suppressLineNumbers w:val="0"/>
                    <w:kinsoku/>
                    <w:wordWrap/>
                    <w:overflowPunct/>
                    <w:topLinePunct w:val="0"/>
                    <w:bidi w:val="0"/>
                    <w:adjustRightInd w:val="0"/>
                    <w:snapToGrid w:val="0"/>
                    <w:spacing w:before="0" w:beforeAutospacing="0" w:afterAutospacing="0" w:line="240" w:lineRule="auto"/>
                    <w:ind w:left="-63" w:leftChars="-30" w:right="-63" w:rightChars="-30"/>
                    <w:textAlignment w:val="auto"/>
                    <w:rPr>
                      <w:rFonts w:hint="default"/>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声环境</w:t>
                  </w:r>
                </w:p>
              </w:tc>
            </w:tr>
          </w:tbl>
          <w:p w14:paraId="4E30B2D4">
            <w:pPr>
              <w:widowControl/>
              <w:spacing w:line="360" w:lineRule="auto"/>
              <w:ind w:firstLine="480" w:firstLineChars="200"/>
              <w:rPr>
                <w:color w:val="000000" w:themeColor="text1"/>
                <w:sz w:val="24"/>
                <w:highlight w:val="none"/>
                <w14:textFill>
                  <w14:solidFill>
                    <w14:schemeClr w14:val="tx1"/>
                  </w14:solidFill>
                </w14:textFill>
              </w:rPr>
            </w:pPr>
          </w:p>
        </w:tc>
      </w:tr>
      <w:tr w14:paraId="1E8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14:paraId="4259CA41">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评价</w:t>
            </w:r>
          </w:p>
          <w:p w14:paraId="09B0E9F2">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标准</w:t>
            </w:r>
          </w:p>
        </w:tc>
        <w:tc>
          <w:tcPr>
            <w:tcW w:w="8425" w:type="dxa"/>
          </w:tcPr>
          <w:p w14:paraId="630BA395">
            <w:pPr>
              <w:adjustRightInd w:val="0"/>
              <w:snapToGrid w:val="0"/>
              <w:spacing w:before="120" w:beforeLines="50" w:line="360" w:lineRule="auto"/>
              <w:jc w:val="left"/>
              <w:rPr>
                <w:b/>
                <w:bCs/>
                <w:color w:val="000000" w:themeColor="text1"/>
                <w:kern w:val="0"/>
                <w:sz w:val="24"/>
                <w:highlight w:val="none"/>
                <w14:textFill>
                  <w14:solidFill>
                    <w14:schemeClr w14:val="tx1"/>
                  </w14:solidFill>
                </w14:textFill>
              </w:rPr>
            </w:pPr>
            <w:r>
              <w:rPr>
                <w:rFonts w:hint="eastAsia"/>
                <w:b/>
                <w:bCs/>
                <w:color w:val="000000" w:themeColor="text1"/>
                <w:kern w:val="0"/>
                <w:sz w:val="24"/>
                <w:highlight w:val="none"/>
                <w14:textFill>
                  <w14:solidFill>
                    <w14:schemeClr w14:val="tx1"/>
                  </w14:solidFill>
                </w14:textFill>
              </w:rPr>
              <w:t>1、</w:t>
            </w:r>
            <w:r>
              <w:rPr>
                <w:b/>
                <w:bCs/>
                <w:color w:val="000000" w:themeColor="text1"/>
                <w:kern w:val="0"/>
                <w:sz w:val="24"/>
                <w:highlight w:val="none"/>
                <w14:textFill>
                  <w14:solidFill>
                    <w14:schemeClr w14:val="tx1"/>
                  </w14:solidFill>
                </w14:textFill>
              </w:rPr>
              <w:t>环境质量标准</w:t>
            </w:r>
          </w:p>
          <w:p w14:paraId="508F6D96">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大气环境：《环境空气质量标准》（GB3095-2012）二级标准；</w:t>
            </w:r>
          </w:p>
          <w:p w14:paraId="296BE0E5">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声环境：</w:t>
            </w:r>
            <w:r>
              <w:rPr>
                <w:rFonts w:hint="eastAsia"/>
                <w:color w:val="000000" w:themeColor="text1"/>
                <w:sz w:val="24"/>
                <w:highlight w:val="none"/>
                <w:lang w:val="en-US" w:eastAsia="zh-CN"/>
                <w14:textFill>
                  <w14:solidFill>
                    <w14:schemeClr w14:val="tx1"/>
                  </w14:solidFill>
                </w14:textFill>
              </w:rPr>
              <w:t>项目西侧为托克逊能源重化工工业园区，属于以工业生产和仓储物流为主要功能的区域，</w:t>
            </w:r>
            <w:r>
              <w:rPr>
                <w:rFonts w:hint="eastAsia"/>
                <w:color w:val="000000" w:themeColor="text1"/>
                <w:sz w:val="24"/>
                <w:highlight w:val="none"/>
                <w14:textFill>
                  <w14:solidFill>
                    <w14:schemeClr w14:val="tx1"/>
                  </w14:solidFill>
                </w14:textFill>
              </w:rPr>
              <w:t>执行</w:t>
            </w:r>
            <w:r>
              <w:rPr>
                <w:color w:val="000000" w:themeColor="text1"/>
                <w:sz w:val="24"/>
                <w:highlight w:val="none"/>
                <w14:textFill>
                  <w14:solidFill>
                    <w14:schemeClr w14:val="tx1"/>
                  </w14:solidFill>
                </w14:textFill>
              </w:rPr>
              <w:t>《声环境质量标准》（GB3096-2008）中</w:t>
            </w:r>
            <w:r>
              <w:rPr>
                <w:rFonts w:hint="eastAsia"/>
                <w:color w:val="000000" w:themeColor="text1"/>
                <w:sz w:val="24"/>
                <w:highlight w:val="none"/>
                <w:lang w:val="en-US" w:eastAsia="zh-CN"/>
                <w14:textFill>
                  <w14:solidFill>
                    <w14:schemeClr w14:val="tx1"/>
                  </w14:solidFill>
                </w14:textFill>
              </w:rPr>
              <w:t>3</w:t>
            </w:r>
            <w:r>
              <w:rPr>
                <w:color w:val="000000" w:themeColor="text1"/>
                <w:sz w:val="24"/>
                <w:highlight w:val="none"/>
                <w14:textFill>
                  <w14:solidFill>
                    <w14:schemeClr w14:val="tx1"/>
                  </w14:solidFill>
                </w14:textFill>
              </w:rPr>
              <w:t>类标准值</w:t>
            </w:r>
            <w:r>
              <w:rPr>
                <w:rFonts w:hint="eastAsia"/>
                <w:color w:val="000000" w:themeColor="text1"/>
                <w:sz w:val="24"/>
                <w:highlight w:val="none"/>
                <w14:textFill>
                  <w14:solidFill>
                    <w14:schemeClr w14:val="tx1"/>
                  </w14:solidFill>
                </w14:textFill>
              </w:rPr>
              <w:t>（昼间：6</w:t>
            </w: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dB（A），夜间：5</w:t>
            </w: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dB（A））。</w:t>
            </w:r>
          </w:p>
          <w:p w14:paraId="2A9F7D05">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（3）电磁环境</w:t>
            </w:r>
            <w:r>
              <w:rPr>
                <w:color w:val="000000" w:themeColor="text1"/>
                <w:sz w:val="24"/>
                <w:highlight w:val="none"/>
                <w14:textFill>
                  <w14:solidFill>
                    <w14:schemeClr w14:val="tx1"/>
                  </w14:solidFill>
                </w14:textFill>
              </w:rPr>
              <w:t>：依据《电磁环境控制限值》</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GB8702-2014</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表1</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公众曝露控制限值</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规定，电磁环境敏感目标</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即为住宅、学校、医院、办公楼、工厂等有公众居住、工作或学习的建筑物</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工频电场强度控制限值为4</w:t>
            </w:r>
            <w:r>
              <w:rPr>
                <w:rFonts w:hint="eastAsia"/>
                <w:color w:val="000000" w:themeColor="text1"/>
                <w:sz w:val="24"/>
                <w:highlight w:val="none"/>
                <w14:textFill>
                  <w14:solidFill>
                    <w14:schemeClr w14:val="tx1"/>
                  </w14:solidFill>
                </w14:textFill>
              </w:rPr>
              <w:t>kV</w:t>
            </w:r>
            <w:r>
              <w:rPr>
                <w:color w:val="000000" w:themeColor="text1"/>
                <w:sz w:val="24"/>
                <w:highlight w:val="none"/>
                <w14:textFill>
                  <w14:solidFill>
                    <w14:schemeClr w14:val="tx1"/>
                  </w14:solidFill>
                </w14:textFill>
              </w:rPr>
              <w:t>/m；磁感应强度控制限值为100μT。</w:t>
            </w:r>
          </w:p>
          <w:p w14:paraId="438BFBC3">
            <w:pPr>
              <w:adjustRightInd w:val="0"/>
              <w:snapToGrid w:val="0"/>
              <w:spacing w:line="360" w:lineRule="auto"/>
              <w:jc w:val="left"/>
              <w:rPr>
                <w:b/>
                <w:bCs/>
                <w:color w:val="000000" w:themeColor="text1"/>
                <w:kern w:val="0"/>
                <w:sz w:val="24"/>
                <w:highlight w:val="none"/>
                <w14:textFill>
                  <w14:solidFill>
                    <w14:schemeClr w14:val="tx1"/>
                  </w14:solidFill>
                </w14:textFill>
              </w:rPr>
            </w:pPr>
            <w:r>
              <w:rPr>
                <w:rFonts w:hint="eastAsia"/>
                <w:b/>
                <w:bCs/>
                <w:color w:val="000000" w:themeColor="text1"/>
                <w:kern w:val="0"/>
                <w:sz w:val="24"/>
                <w:highlight w:val="none"/>
                <w14:textFill>
                  <w14:solidFill>
                    <w14:schemeClr w14:val="tx1"/>
                  </w14:solidFill>
                </w14:textFill>
              </w:rPr>
              <w:t>2、</w:t>
            </w:r>
            <w:r>
              <w:rPr>
                <w:b/>
                <w:bCs/>
                <w:color w:val="000000" w:themeColor="text1"/>
                <w:kern w:val="0"/>
                <w:sz w:val="24"/>
                <w:highlight w:val="none"/>
                <w14:textFill>
                  <w14:solidFill>
                    <w14:schemeClr w14:val="tx1"/>
                  </w14:solidFill>
                </w14:textFill>
              </w:rPr>
              <w:t>污染物排放标准</w:t>
            </w:r>
          </w:p>
          <w:p w14:paraId="6C464499">
            <w:pPr>
              <w:spacing w:line="360" w:lineRule="auto"/>
              <w:ind w:firstLine="496" w:firstLineChars="200"/>
              <w:rPr>
                <w:color w:val="000000" w:themeColor="text1"/>
                <w:spacing w:val="4"/>
                <w:sz w:val="24"/>
                <w:highlight w:val="none"/>
                <w14:textFill>
                  <w14:solidFill>
                    <w14:schemeClr w14:val="tx1"/>
                  </w14:solidFill>
                </w14:textFill>
              </w:rPr>
            </w:pPr>
            <w:r>
              <w:rPr>
                <w:rFonts w:hint="eastAsia"/>
                <w:color w:val="000000" w:themeColor="text1"/>
                <w:spacing w:val="4"/>
                <w:sz w:val="24"/>
                <w:highlight w:val="none"/>
                <w14:textFill>
                  <w14:solidFill>
                    <w14:schemeClr w14:val="tx1"/>
                  </w14:solidFill>
                </w14:textFill>
              </w:rPr>
              <w:t>（1）</w:t>
            </w:r>
            <w:r>
              <w:rPr>
                <w:color w:val="000000" w:themeColor="text1"/>
                <w:spacing w:val="4"/>
                <w:sz w:val="24"/>
                <w:highlight w:val="none"/>
                <w14:textFill>
                  <w14:solidFill>
                    <w14:schemeClr w14:val="tx1"/>
                  </w14:solidFill>
                </w14:textFill>
              </w:rPr>
              <w:t>废气</w:t>
            </w:r>
          </w:p>
          <w:p w14:paraId="5EC29CD6">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食堂油烟排放满足《饮食业油烟排放标准（试行）》（GB18483-2001）表2</w:t>
            </w:r>
            <w:r>
              <w:rPr>
                <w:rFonts w:hint="eastAsia"/>
                <w:color w:val="000000" w:themeColor="text1"/>
                <w:sz w:val="24"/>
                <w:highlight w:val="none"/>
                <w:lang w:val="en-US" w:eastAsia="zh-CN"/>
                <w14:textFill>
                  <w14:solidFill>
                    <w14:schemeClr w14:val="tx1"/>
                  </w14:solidFill>
                </w14:textFill>
              </w:rPr>
              <w:t>中</w:t>
            </w:r>
            <w:r>
              <w:rPr>
                <w:rFonts w:hint="eastAsia"/>
                <w:color w:val="000000" w:themeColor="text1"/>
                <w:sz w:val="24"/>
                <w:highlight w:val="none"/>
                <w14:textFill>
                  <w14:solidFill>
                    <w14:schemeClr w14:val="tx1"/>
                  </w14:solidFill>
                </w14:textFill>
              </w:rPr>
              <w:t>型油烟最高允许排放浓度2mg/m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限值的要求，处理效率≥</w:t>
            </w:r>
            <w:r>
              <w:rPr>
                <w:rFonts w:hint="eastAsia"/>
                <w:color w:val="000000" w:themeColor="text1"/>
                <w:sz w:val="24"/>
                <w:highlight w:val="none"/>
                <w:lang w:val="en-US" w:eastAsia="zh-CN"/>
                <w14:textFill>
                  <w14:solidFill>
                    <w14:schemeClr w14:val="tx1"/>
                  </w14:solidFill>
                </w14:textFill>
              </w:rPr>
              <w:t>60</w:t>
            </w:r>
            <w:r>
              <w:rPr>
                <w:rFonts w:hint="eastAsia"/>
                <w:color w:val="000000" w:themeColor="text1"/>
                <w:sz w:val="24"/>
                <w:highlight w:val="none"/>
                <w14:textFill>
                  <w14:solidFill>
                    <w14:schemeClr w14:val="tx1"/>
                  </w14:solidFill>
                </w14:textFill>
              </w:rPr>
              <w:t>%；</w:t>
            </w:r>
          </w:p>
          <w:p w14:paraId="6B07B64D">
            <w:pPr>
              <w:spacing w:line="360" w:lineRule="auto"/>
              <w:ind w:firstLine="496" w:firstLineChars="200"/>
              <w:rPr>
                <w:color w:val="000000" w:themeColor="text1"/>
                <w:spacing w:val="4"/>
                <w:sz w:val="24"/>
                <w:highlight w:val="none"/>
                <w14:textFill>
                  <w14:solidFill>
                    <w14:schemeClr w14:val="tx1"/>
                  </w14:solidFill>
                </w14:textFill>
              </w:rPr>
            </w:pPr>
            <w:r>
              <w:rPr>
                <w:rFonts w:hint="eastAsia"/>
                <w:color w:val="000000" w:themeColor="text1"/>
                <w:spacing w:val="4"/>
                <w:sz w:val="24"/>
                <w:highlight w:val="none"/>
                <w14:textFill>
                  <w14:solidFill>
                    <w14:schemeClr w14:val="tx1"/>
                  </w14:solidFill>
                </w14:textFill>
              </w:rPr>
              <w:t>（2）废水</w:t>
            </w:r>
          </w:p>
          <w:p w14:paraId="21E98BC8">
            <w:pPr>
              <w:spacing w:line="360" w:lineRule="auto"/>
              <w:ind w:firstLine="496" w:firstLineChars="200"/>
              <w:rPr>
                <w:color w:val="000000" w:themeColor="text1"/>
                <w:sz w:val="24"/>
                <w:highlight w:val="none"/>
                <w14:textFill>
                  <w14:solidFill>
                    <w14:schemeClr w14:val="tx1"/>
                  </w14:solidFill>
                </w14:textFill>
              </w:rPr>
            </w:pPr>
            <w:r>
              <w:rPr>
                <w:rFonts w:hint="eastAsia"/>
                <w:color w:val="000000" w:themeColor="text1"/>
                <w:spacing w:val="4"/>
                <w:sz w:val="24"/>
                <w:highlight w:val="none"/>
                <w14:textFill>
                  <w14:solidFill>
                    <w14:schemeClr w14:val="tx1"/>
                  </w14:solidFill>
                </w14:textFill>
              </w:rPr>
              <w:t>本项目运营期废水为升压站生活污水，经一体化污水处理设备处理后满足</w:t>
            </w:r>
            <w:r>
              <w:rPr>
                <w:color w:val="000000" w:themeColor="text1"/>
                <w:kern w:val="21"/>
                <w:sz w:val="24"/>
                <w:highlight w:val="none"/>
                <w14:textFill>
                  <w14:solidFill>
                    <w14:schemeClr w14:val="tx1"/>
                  </w14:solidFill>
                </w14:textFill>
              </w:rPr>
              <w:t>《农村生活污水处理排放标准》（DB654275-2019）表2中</w:t>
            </w:r>
            <w:r>
              <w:rPr>
                <w:rFonts w:hint="eastAsia"/>
                <w:color w:val="0000FF"/>
                <w:kern w:val="21"/>
                <w:sz w:val="24"/>
                <w:highlight w:val="none"/>
                <w:lang w:val="en-US" w:eastAsia="zh-CN"/>
              </w:rPr>
              <w:t>A</w:t>
            </w:r>
            <w:r>
              <w:rPr>
                <w:color w:val="0000FF"/>
                <w:kern w:val="21"/>
                <w:sz w:val="24"/>
                <w:highlight w:val="none"/>
              </w:rPr>
              <w:t>级标准</w:t>
            </w:r>
            <w:r>
              <w:rPr>
                <w:rFonts w:hint="eastAsia"/>
                <w:color w:val="000000" w:themeColor="text1"/>
                <w:spacing w:val="4"/>
                <w:sz w:val="24"/>
                <w:highlight w:val="none"/>
                <w14:textFill>
                  <w14:solidFill>
                    <w14:schemeClr w14:val="tx1"/>
                  </w14:solidFill>
                </w14:textFill>
              </w:rPr>
              <w:t>，</w:t>
            </w:r>
            <w:r>
              <w:rPr>
                <w:rFonts w:hint="eastAsia"/>
                <w:color w:val="0000FF"/>
                <w:spacing w:val="4"/>
                <w:sz w:val="24"/>
                <w:highlight w:val="none"/>
              </w:rPr>
              <w:t>用于升压站</w:t>
            </w:r>
            <w:r>
              <w:rPr>
                <w:rFonts w:hint="eastAsia"/>
                <w:color w:val="0000FF"/>
                <w:spacing w:val="4"/>
                <w:sz w:val="24"/>
                <w:highlight w:val="none"/>
                <w:lang w:val="en-US" w:eastAsia="zh-CN"/>
              </w:rPr>
              <w:t>内绿化及生态恢复</w:t>
            </w:r>
            <w:r>
              <w:rPr>
                <w:rFonts w:hint="eastAsia"/>
                <w:color w:val="0000FF"/>
                <w:spacing w:val="4"/>
                <w:sz w:val="24"/>
                <w:highlight w:val="none"/>
              </w:rPr>
              <w:t>。</w:t>
            </w:r>
          </w:p>
          <w:p w14:paraId="17A42909">
            <w:pPr>
              <w:spacing w:line="360" w:lineRule="auto"/>
              <w:ind w:firstLine="496" w:firstLineChars="200"/>
              <w:rPr>
                <w:color w:val="000000" w:themeColor="text1"/>
                <w:spacing w:val="4"/>
                <w:sz w:val="24"/>
                <w:highlight w:val="none"/>
                <w14:textFill>
                  <w14:solidFill>
                    <w14:schemeClr w14:val="tx1"/>
                  </w14:solidFill>
                </w14:textFill>
              </w:rPr>
            </w:pPr>
            <w:r>
              <w:rPr>
                <w:rFonts w:hint="eastAsia"/>
                <w:color w:val="000000" w:themeColor="text1"/>
                <w:spacing w:val="4"/>
                <w:sz w:val="24"/>
                <w:highlight w:val="none"/>
                <w14:textFill>
                  <w14:solidFill>
                    <w14:schemeClr w14:val="tx1"/>
                  </w14:solidFill>
                </w14:textFill>
              </w:rPr>
              <w:t>（3）</w:t>
            </w:r>
            <w:r>
              <w:rPr>
                <w:color w:val="000000" w:themeColor="text1"/>
                <w:spacing w:val="4"/>
                <w:sz w:val="24"/>
                <w:highlight w:val="none"/>
                <w14:textFill>
                  <w14:solidFill>
                    <w14:schemeClr w14:val="tx1"/>
                  </w14:solidFill>
                </w14:textFill>
              </w:rPr>
              <w:t>噪声</w:t>
            </w:r>
          </w:p>
          <w:p w14:paraId="0FC70CA6">
            <w:pPr>
              <w:spacing w:line="360" w:lineRule="auto"/>
              <w:ind w:firstLine="496" w:firstLineChars="200"/>
              <w:rPr>
                <w:color w:val="000000" w:themeColor="text1"/>
                <w:spacing w:val="4"/>
                <w:sz w:val="24"/>
                <w:highlight w:val="none"/>
                <w14:textFill>
                  <w14:solidFill>
                    <w14:schemeClr w14:val="tx1"/>
                  </w14:solidFill>
                </w14:textFill>
              </w:rPr>
            </w:pPr>
            <w:r>
              <w:rPr>
                <w:rFonts w:hint="eastAsia"/>
                <w:color w:val="000000" w:themeColor="text1"/>
                <w:spacing w:val="4"/>
                <w:sz w:val="24"/>
                <w:highlight w:val="none"/>
                <w14:textFill>
                  <w14:solidFill>
                    <w14:schemeClr w14:val="tx1"/>
                  </w14:solidFill>
                </w14:textFill>
              </w:rPr>
              <w:t>施工期</w:t>
            </w:r>
            <w:r>
              <w:rPr>
                <w:color w:val="000000" w:themeColor="text1"/>
                <w:spacing w:val="4"/>
                <w:sz w:val="24"/>
                <w:highlight w:val="none"/>
                <w14:textFill>
                  <w14:solidFill>
                    <w14:schemeClr w14:val="tx1"/>
                  </w14:solidFill>
                </w14:textFill>
              </w:rPr>
              <w:t>噪声排放执行</w:t>
            </w:r>
            <w:r>
              <w:rPr>
                <w:rFonts w:hint="default"/>
                <w:color w:val="000000" w:themeColor="text1"/>
                <w:spacing w:val="4"/>
                <w:sz w:val="24"/>
                <w:highlight w:val="none"/>
                <w:lang w:val="en-US" w:eastAsia="zh-CN"/>
                <w14:textFill>
                  <w14:solidFill>
                    <w14:schemeClr w14:val="tx1"/>
                  </w14:solidFill>
                </w14:textFill>
              </w:rPr>
              <w:t>《建筑施工噪声排放标准》（GB12523-2025）</w:t>
            </w:r>
            <w:r>
              <w:rPr>
                <w:rFonts w:hint="eastAsia"/>
                <w:color w:val="000000" w:themeColor="text1"/>
                <w:spacing w:val="4"/>
                <w:sz w:val="24"/>
                <w:highlight w:val="none"/>
                <w14:textFill>
                  <w14:solidFill>
                    <w14:schemeClr w14:val="tx1"/>
                  </w14:solidFill>
                </w14:textFill>
              </w:rPr>
              <w:t>；运营期噪声排放标准执行《工业企业厂界环境噪声排放标准》（GB12348-2008）</w:t>
            </w:r>
            <w:r>
              <w:rPr>
                <w:rFonts w:hint="eastAsia"/>
                <w:color w:val="000000" w:themeColor="text1"/>
                <w:sz w:val="24"/>
                <w:highlight w:val="none"/>
                <w14:textFill>
                  <w14:solidFill>
                    <w14:schemeClr w14:val="tx1"/>
                  </w14:solidFill>
                </w14:textFill>
              </w:rPr>
              <w:t>，具体标准值见表3-</w:t>
            </w:r>
            <w:r>
              <w:rPr>
                <w:rFonts w:hint="eastAsia"/>
                <w:color w:val="000000" w:themeColor="text1"/>
                <w:sz w:val="24"/>
                <w:highlight w:val="none"/>
                <w:lang w:val="en-US" w:eastAsia="zh-CN"/>
                <w14:textFill>
                  <w14:solidFill>
                    <w14:schemeClr w14:val="tx1"/>
                  </w14:solidFill>
                </w14:textFill>
              </w:rPr>
              <w:t>7</w:t>
            </w:r>
            <w:r>
              <w:rPr>
                <w:rFonts w:hint="eastAsia"/>
                <w:color w:val="000000" w:themeColor="text1"/>
                <w:sz w:val="24"/>
                <w:highlight w:val="none"/>
                <w14:textFill>
                  <w14:solidFill>
                    <w14:schemeClr w14:val="tx1"/>
                  </w14:solidFill>
                </w14:textFill>
              </w:rPr>
              <w:t>。</w:t>
            </w:r>
          </w:p>
          <w:p w14:paraId="623CEFA1">
            <w:pPr>
              <w:tabs>
                <w:tab w:val="left" w:pos="0"/>
              </w:tabs>
              <w:adjustRightInd w:val="0"/>
              <w:snapToGrid w:val="0"/>
              <w:spacing w:before="120" w:beforeLines="50"/>
              <w:jc w:val="right"/>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表3-</w:t>
            </w:r>
            <w:r>
              <w:rPr>
                <w:rFonts w:hint="eastAsia"/>
                <w:b/>
                <w:color w:val="000000" w:themeColor="text1"/>
                <w:szCs w:val="21"/>
                <w:highlight w:val="none"/>
                <w:lang w:val="en-US" w:eastAsia="zh-CN"/>
                <w14:textFill>
                  <w14:solidFill>
                    <w14:schemeClr w14:val="tx1"/>
                  </w14:solidFill>
                </w14:textFill>
              </w:rPr>
              <w:t>7</w:t>
            </w:r>
            <w:r>
              <w:rPr>
                <w:rFonts w:hint="eastAsia"/>
                <w:b/>
                <w:color w:val="000000" w:themeColor="text1"/>
                <w:szCs w:val="21"/>
                <w:highlight w:val="none"/>
                <w14:textFill>
                  <w14:solidFill>
                    <w14:schemeClr w14:val="tx1"/>
                  </w14:solidFill>
                </w14:textFill>
              </w:rPr>
              <w:t xml:space="preserve">  噪声排放标准               单位：dB（A）</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4"/>
              <w:gridCol w:w="1054"/>
              <w:gridCol w:w="866"/>
              <w:gridCol w:w="935"/>
            </w:tblGrid>
            <w:tr w14:paraId="4100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60" w:type="pct"/>
                  <w:vAlign w:val="center"/>
                </w:tcPr>
                <w:p w14:paraId="56C1DD96">
                  <w:pPr>
                    <w:contextualSpacing/>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执行标准</w:t>
                  </w:r>
                </w:p>
              </w:tc>
              <w:tc>
                <w:tcPr>
                  <w:tcW w:w="642" w:type="pct"/>
                  <w:vAlign w:val="center"/>
                </w:tcPr>
                <w:p w14:paraId="665EA51F">
                  <w:pPr>
                    <w:contextualSpacing/>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类别</w:t>
                  </w:r>
                </w:p>
              </w:tc>
              <w:tc>
                <w:tcPr>
                  <w:tcW w:w="527" w:type="pct"/>
                  <w:vAlign w:val="center"/>
                </w:tcPr>
                <w:p w14:paraId="57F18A1A">
                  <w:pPr>
                    <w:contextualSpacing/>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昼间</w:t>
                  </w:r>
                </w:p>
              </w:tc>
              <w:tc>
                <w:tcPr>
                  <w:tcW w:w="569" w:type="pct"/>
                  <w:vAlign w:val="center"/>
                </w:tcPr>
                <w:p w14:paraId="684BDA3D">
                  <w:pPr>
                    <w:contextualSpacing/>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夜间</w:t>
                  </w:r>
                </w:p>
              </w:tc>
            </w:tr>
            <w:tr w14:paraId="0795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60" w:type="pct"/>
                  <w:vAlign w:val="center"/>
                </w:tcPr>
                <w:p w14:paraId="43577278">
                  <w:pPr>
                    <w:contextualSpacing/>
                    <w:jc w:val="center"/>
                    <w:rPr>
                      <w:bCs/>
                      <w:color w:val="000000" w:themeColor="text1"/>
                      <w:szCs w:val="21"/>
                      <w:highlight w:val="none"/>
                      <w14:textFill>
                        <w14:solidFill>
                          <w14:schemeClr w14:val="tx1"/>
                        </w14:solidFill>
                      </w14:textFill>
                    </w:rPr>
                  </w:pPr>
                  <w:r>
                    <w:rPr>
                      <w:rFonts w:hint="default"/>
                      <w:bCs/>
                      <w:color w:val="000000" w:themeColor="text1"/>
                      <w:szCs w:val="21"/>
                      <w:highlight w:val="none"/>
                      <w:lang w:val="en-US" w:eastAsia="zh-CN"/>
                      <w14:textFill>
                        <w14:solidFill>
                          <w14:schemeClr w14:val="tx1"/>
                        </w14:solidFill>
                      </w14:textFill>
                    </w:rPr>
                    <w:t>《建筑施工噪声排放标准》（GB12523-2025）</w:t>
                  </w:r>
                </w:p>
              </w:tc>
              <w:tc>
                <w:tcPr>
                  <w:tcW w:w="642" w:type="pct"/>
                  <w:vAlign w:val="center"/>
                </w:tcPr>
                <w:p w14:paraId="0CCF36F8">
                  <w:pPr>
                    <w:contextualSpacing/>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527" w:type="pct"/>
                  <w:vAlign w:val="center"/>
                </w:tcPr>
                <w:p w14:paraId="047C859D">
                  <w:pPr>
                    <w:contextualSpacing/>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70</w:t>
                  </w:r>
                </w:p>
              </w:tc>
              <w:tc>
                <w:tcPr>
                  <w:tcW w:w="569" w:type="pct"/>
                  <w:vAlign w:val="center"/>
                </w:tcPr>
                <w:p w14:paraId="381E9062">
                  <w:pPr>
                    <w:contextualSpacing/>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55</w:t>
                  </w:r>
                </w:p>
              </w:tc>
            </w:tr>
            <w:tr w14:paraId="177C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60" w:type="pct"/>
                  <w:vAlign w:val="center"/>
                </w:tcPr>
                <w:p w14:paraId="186DB0A0">
                  <w:pPr>
                    <w:contextualSpacing/>
                    <w:jc w:val="center"/>
                    <w:rPr>
                      <w:color w:val="000000" w:themeColor="text1"/>
                      <w:spacing w:val="4"/>
                      <w:szCs w:val="21"/>
                      <w:highlight w:val="none"/>
                      <w14:textFill>
                        <w14:solidFill>
                          <w14:schemeClr w14:val="tx1"/>
                        </w14:solidFill>
                      </w14:textFill>
                    </w:rPr>
                  </w:pPr>
                  <w:r>
                    <w:rPr>
                      <w:rFonts w:hint="eastAsia"/>
                      <w:color w:val="000000" w:themeColor="text1"/>
                      <w:spacing w:val="4"/>
                      <w:szCs w:val="21"/>
                      <w:highlight w:val="none"/>
                      <w14:textFill>
                        <w14:solidFill>
                          <w14:schemeClr w14:val="tx1"/>
                        </w14:solidFill>
                      </w14:textFill>
                    </w:rPr>
                    <w:t>《工业企业厂界环境噪声排放标准》（GB12348-2008）</w:t>
                  </w:r>
                </w:p>
              </w:tc>
              <w:tc>
                <w:tcPr>
                  <w:tcW w:w="642" w:type="pct"/>
                  <w:vAlign w:val="center"/>
                </w:tcPr>
                <w:p w14:paraId="431DAA57">
                  <w:pPr>
                    <w:contextualSpacing/>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w:t>
                  </w:r>
                  <w:r>
                    <w:rPr>
                      <w:color w:val="000000" w:themeColor="text1"/>
                      <w:szCs w:val="21"/>
                      <w:highlight w:val="none"/>
                      <w14:textFill>
                        <w14:solidFill>
                          <w14:schemeClr w14:val="tx1"/>
                        </w14:solidFill>
                      </w14:textFill>
                    </w:rPr>
                    <w:t>类</w:t>
                  </w:r>
                </w:p>
              </w:tc>
              <w:tc>
                <w:tcPr>
                  <w:tcW w:w="527" w:type="pct"/>
                  <w:vAlign w:val="center"/>
                </w:tcPr>
                <w:p w14:paraId="641C98A1">
                  <w:pPr>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65</w:t>
                  </w:r>
                </w:p>
              </w:tc>
              <w:tc>
                <w:tcPr>
                  <w:tcW w:w="569" w:type="pct"/>
                  <w:vAlign w:val="center"/>
                </w:tcPr>
                <w:p w14:paraId="38184E34">
                  <w:pPr>
                    <w:contextualSpacing/>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55</w:t>
                  </w:r>
                </w:p>
              </w:tc>
            </w:tr>
          </w:tbl>
          <w:p w14:paraId="2CF9F428">
            <w:pPr>
              <w:spacing w:before="120" w:beforeLines="50"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（4）</w:t>
            </w:r>
            <w:r>
              <w:rPr>
                <w:color w:val="000000" w:themeColor="text1"/>
                <w:kern w:val="0"/>
                <w:sz w:val="24"/>
                <w:highlight w:val="none"/>
                <w14:textFill>
                  <w14:solidFill>
                    <w14:schemeClr w14:val="tx1"/>
                  </w14:solidFill>
                </w14:textFill>
              </w:rPr>
              <w:t>固体废物</w:t>
            </w:r>
          </w:p>
          <w:p w14:paraId="0C1862AC">
            <w:pPr>
              <w:adjustRightInd w:val="0"/>
              <w:snapToGrid w:val="0"/>
              <w:spacing w:line="351" w:lineRule="auto"/>
              <w:ind w:firstLine="480" w:firstLineChars="200"/>
              <w:rPr>
                <w:rFonts w:hint="eastAsia" w:ascii="宋体" w:hAnsi="宋体" w:cs="宋体"/>
                <w:color w:val="000000" w:themeColor="text1"/>
                <w:kern w:val="0"/>
                <w:szCs w:val="2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一般固体废物执行《一般工业固体废物贮存和填埋污染控制标准》（</w:t>
            </w:r>
            <w:r>
              <w:rPr>
                <w:color w:val="000000" w:themeColor="text1"/>
                <w:sz w:val="24"/>
                <w:highlight w:val="none"/>
                <w14:textFill>
                  <w14:solidFill>
                    <w14:schemeClr w14:val="tx1"/>
                  </w14:solidFill>
                </w14:textFill>
              </w:rPr>
              <w:t>GB18599-2020</w:t>
            </w:r>
            <w:r>
              <w:rPr>
                <w:rFonts w:hint="eastAsia"/>
                <w:color w:val="000000" w:themeColor="text1"/>
                <w:sz w:val="24"/>
                <w:highlight w:val="none"/>
                <w14:textFill>
                  <w14:solidFill>
                    <w14:schemeClr w14:val="tx1"/>
                  </w14:solidFill>
                </w14:textFill>
              </w:rPr>
              <w:t>）相关规定，</w:t>
            </w:r>
            <w:r>
              <w:rPr>
                <w:rFonts w:hint="eastAsia"/>
                <w:color w:val="000000" w:themeColor="text1"/>
                <w:kern w:val="0"/>
                <w:sz w:val="24"/>
                <w:highlight w:val="none"/>
                <w14:textFill>
                  <w14:solidFill>
                    <w14:schemeClr w14:val="tx1"/>
                  </w14:solidFill>
                </w14:textFill>
              </w:rPr>
              <w:t>危险废物执行《危险废物贮存污染控制标准》（</w:t>
            </w:r>
            <w:r>
              <w:rPr>
                <w:color w:val="000000" w:themeColor="text1"/>
                <w:kern w:val="0"/>
                <w:sz w:val="24"/>
                <w:highlight w:val="none"/>
                <w14:textFill>
                  <w14:solidFill>
                    <w14:schemeClr w14:val="tx1"/>
                  </w14:solidFill>
                </w14:textFill>
              </w:rPr>
              <w:t>GB18597-20</w:t>
            </w:r>
            <w:r>
              <w:rPr>
                <w:rFonts w:hint="eastAsia"/>
                <w:color w:val="000000" w:themeColor="text1"/>
                <w:kern w:val="0"/>
                <w:sz w:val="24"/>
                <w:highlight w:val="none"/>
                <w14:textFill>
                  <w14:solidFill>
                    <w14:schemeClr w14:val="tx1"/>
                  </w14:solidFill>
                </w14:textFill>
              </w:rPr>
              <w:t>23）要求。</w:t>
            </w:r>
          </w:p>
        </w:tc>
      </w:tr>
      <w:tr w14:paraId="1C3B81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2" w:hRule="atLeast"/>
          <w:jc w:val="center"/>
        </w:trPr>
        <w:tc>
          <w:tcPr>
            <w:tcW w:w="732" w:type="dxa"/>
            <w:vAlign w:val="center"/>
          </w:tcPr>
          <w:p w14:paraId="4E6975F7">
            <w:pPr>
              <w:adjustRightInd w:val="0"/>
              <w:snapToGrid w:val="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w:t>
            </w:r>
          </w:p>
        </w:tc>
        <w:tc>
          <w:tcPr>
            <w:tcW w:w="8425" w:type="dxa"/>
            <w:vAlign w:val="center"/>
          </w:tcPr>
          <w:p w14:paraId="3EDF6BE8">
            <w:pPr>
              <w:adjustRightInd w:val="0"/>
              <w:snapToGrid w:val="0"/>
              <w:spacing w:before="240" w:beforeLines="100"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本项目为输变电工程，根据运行期排污情况，本项目</w:t>
            </w:r>
            <w:r>
              <w:rPr>
                <w:rFonts w:hint="eastAsia"/>
                <w:color w:val="000000" w:themeColor="text1"/>
                <w:sz w:val="24"/>
                <w:highlight w:val="none"/>
                <w:lang w:eastAsia="zh-CN"/>
                <w14:textFill>
                  <w14:solidFill>
                    <w14:schemeClr w14:val="tx1"/>
                  </w14:solidFill>
                </w14:textFill>
              </w:rPr>
              <w:t>无须设置</w:t>
            </w:r>
            <w:r>
              <w:rPr>
                <w:rFonts w:hint="eastAsia"/>
                <w:color w:val="000000" w:themeColor="text1"/>
                <w:sz w:val="24"/>
                <w:highlight w:val="none"/>
                <w14:textFill>
                  <w14:solidFill>
                    <w14:schemeClr w14:val="tx1"/>
                  </w14:solidFill>
                </w14:textFill>
              </w:rPr>
              <w:t>总量控制指标。</w:t>
            </w:r>
          </w:p>
        </w:tc>
      </w:tr>
    </w:tbl>
    <w:p w14:paraId="31EB380C">
      <w:pPr>
        <w:pStyle w:val="27"/>
        <w:spacing w:line="120" w:lineRule="atLeast"/>
        <w:jc w:val="center"/>
        <w:rPr>
          <w:rFonts w:hint="eastAsia" w:ascii="黑体" w:hAnsi="黑体" w:eastAsia="黑体"/>
          <w:snapToGrid w:val="0"/>
          <w:color w:val="000000" w:themeColor="text1"/>
          <w:sz w:val="30"/>
          <w:szCs w:val="30"/>
          <w:highlight w:val="none"/>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278178AA">
      <w:pPr>
        <w:pStyle w:val="27"/>
        <w:spacing w:after="0" w:afterAutospacing="0" w:line="120" w:lineRule="atLeast"/>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20" w:name="_Toc14910"/>
      <w:bookmarkStart w:id="21" w:name="_Toc17674"/>
      <w:bookmarkStart w:id="22" w:name="_Toc3970"/>
      <w:bookmarkStart w:id="23" w:name="_Toc29199"/>
      <w:r>
        <w:rPr>
          <w:rFonts w:hint="eastAsia" w:ascii="黑体" w:hAnsi="黑体" w:eastAsia="黑体"/>
          <w:snapToGrid w:val="0"/>
          <w:color w:val="000000" w:themeColor="text1"/>
          <w:sz w:val="30"/>
          <w:szCs w:val="30"/>
          <w:highlight w:val="none"/>
          <w14:textFill>
            <w14:solidFill>
              <w14:schemeClr w14:val="tx1"/>
            </w14:solidFill>
          </w14:textFill>
        </w:rPr>
        <w:t>四、生态环境影响分析</w:t>
      </w:r>
      <w:bookmarkEnd w:id="20"/>
      <w:bookmarkEnd w:id="21"/>
    </w:p>
    <w:tbl>
      <w:tblPr>
        <w:tblStyle w:val="32"/>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363"/>
      </w:tblGrid>
      <w:tr w14:paraId="2B33D7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9" w:type="dxa"/>
            <w:tcMar>
              <w:left w:w="28" w:type="dxa"/>
              <w:right w:w="28" w:type="dxa"/>
            </w:tcMar>
            <w:vAlign w:val="center"/>
          </w:tcPr>
          <w:p w14:paraId="4DBE453B">
            <w:pPr>
              <w:adjustRightInd w:val="0"/>
              <w:snapToGrid w:val="0"/>
              <w:jc w:val="center"/>
              <w:rPr>
                <w:color w:val="000000" w:themeColor="text1"/>
                <w:kern w:val="0"/>
                <w:sz w:val="24"/>
                <w:highlight w:val="none"/>
                <w14:textFill>
                  <w14:solidFill>
                    <w14:schemeClr w14:val="tx1"/>
                  </w14:solidFill>
                </w14:textFill>
              </w:rPr>
            </w:pPr>
            <w:bookmarkStart w:id="24" w:name="_Hlk49796138"/>
            <w:r>
              <w:rPr>
                <w:rFonts w:hint="eastAsia"/>
                <w:color w:val="000000" w:themeColor="text1"/>
                <w:kern w:val="0"/>
                <w:sz w:val="24"/>
                <w:highlight w:val="none"/>
                <w14:textFill>
                  <w14:solidFill>
                    <w14:schemeClr w14:val="tx1"/>
                  </w14:solidFill>
                </w14:textFill>
              </w:rPr>
              <w:t>施工期生态环境影响分析</w:t>
            </w:r>
            <w:bookmarkEnd w:id="24"/>
          </w:p>
        </w:tc>
        <w:tc>
          <w:tcPr>
            <w:tcW w:w="8363" w:type="dxa"/>
          </w:tcPr>
          <w:p w14:paraId="5B5EE342">
            <w:pPr>
              <w:adjustRightInd w:val="0"/>
              <w:snapToGrid w:val="0"/>
              <w:spacing w:line="351" w:lineRule="auto"/>
              <w:ind w:firstLine="480" w:firstLineChars="200"/>
              <w:rPr>
                <w:color w:val="000000" w:themeColor="text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本项目为新建项目，</w:t>
            </w:r>
            <w:r>
              <w:rPr>
                <w:rFonts w:hint="eastAsia"/>
                <w:color w:val="000000" w:themeColor="text1"/>
                <w:sz w:val="24"/>
                <w:highlight w:val="none"/>
                <w:lang w:val="en-US" w:eastAsia="zh-CN"/>
                <w14:textFill>
                  <w14:solidFill>
                    <w14:schemeClr w14:val="tx1"/>
                  </w14:solidFill>
                </w14:textFill>
              </w:rPr>
              <w:t>主要建设内容包括</w:t>
            </w:r>
            <w:r>
              <w:rPr>
                <w:rFonts w:hint="eastAsia"/>
                <w:color w:val="000000" w:themeColor="text1"/>
                <w:kern w:val="0"/>
                <w:sz w:val="24"/>
                <w:highlight w:val="none"/>
                <w:lang w:val="en-US" w:eastAsia="zh-CN"/>
                <w14:textFill>
                  <w14:solidFill>
                    <w14:schemeClr w14:val="tx1"/>
                  </w14:solidFill>
                </w14:textFill>
              </w:rPr>
              <w:t>新建1座10万kW/40万kWh磷酸铁锂形式的独立储能电站、配套110kV</w:t>
            </w:r>
            <w:r>
              <w:rPr>
                <w:rFonts w:hint="eastAsia"/>
                <w:color w:val="000000" w:themeColor="text1"/>
                <w:kern w:val="0"/>
                <w:sz w:val="24"/>
                <w:highlight w:val="none"/>
                <w14:textFill>
                  <w14:solidFill>
                    <w14:schemeClr w14:val="tx1"/>
                  </w14:solidFill>
                </w14:textFill>
              </w:rPr>
              <w:t>升压站</w:t>
            </w:r>
            <w:r>
              <w:rPr>
                <w:rFonts w:hint="eastAsia"/>
                <w:color w:val="000000" w:themeColor="text1"/>
                <w:kern w:val="0"/>
                <w:sz w:val="24"/>
                <w:highlight w:val="none"/>
                <w:lang w:val="en-US" w:eastAsia="zh-CN"/>
                <w14:textFill>
                  <w14:solidFill>
                    <w14:schemeClr w14:val="tx1"/>
                  </w14:solidFill>
                </w14:textFill>
              </w:rPr>
              <w:t>1座及110kV输电线路3.3km</w:t>
            </w:r>
            <w:r>
              <w:rPr>
                <w:rFonts w:hint="eastAsia"/>
                <w:color w:val="000000" w:themeColor="text1"/>
                <w:sz w:val="24"/>
                <w:highlight w:val="none"/>
                <w14:textFill>
                  <w14:solidFill>
                    <w14:schemeClr w14:val="tx1"/>
                  </w14:solidFill>
                </w14:textFill>
              </w:rPr>
              <w:t>，项目施工期内容主要为</w:t>
            </w:r>
            <w:r>
              <w:rPr>
                <w:rFonts w:hint="eastAsia"/>
                <w:color w:val="000000" w:themeColor="text1"/>
                <w:sz w:val="24"/>
                <w:highlight w:val="none"/>
                <w:lang w:val="en-US" w:eastAsia="zh-CN"/>
                <w14:textFill>
                  <w14:solidFill>
                    <w14:schemeClr w14:val="tx1"/>
                  </w14:solidFill>
                </w14:textFill>
              </w:rPr>
              <w:t>站址</w:t>
            </w:r>
            <w:r>
              <w:rPr>
                <w:rFonts w:hint="eastAsia"/>
                <w:color w:val="000000" w:themeColor="text1"/>
                <w:sz w:val="24"/>
                <w:highlight w:val="none"/>
                <w14:textFill>
                  <w14:solidFill>
                    <w14:schemeClr w14:val="tx1"/>
                  </w14:solidFill>
                </w14:textFill>
              </w:rPr>
              <w:t>的建设、混凝土浇筑、变压器基础、变压器安装、</w:t>
            </w:r>
            <w:r>
              <w:rPr>
                <w:rFonts w:hint="eastAsia"/>
                <w:color w:val="000000" w:themeColor="text1"/>
                <w:sz w:val="24"/>
                <w:highlight w:val="none"/>
                <w:lang w:val="en-US" w:eastAsia="zh-CN"/>
                <w14:textFill>
                  <w14:solidFill>
                    <w14:schemeClr w14:val="tx1"/>
                  </w14:solidFill>
                </w14:textFill>
              </w:rPr>
              <w:t>储能舱、</w:t>
            </w:r>
            <w:r>
              <w:rPr>
                <w:rFonts w:hint="eastAsia"/>
                <w:color w:val="000000" w:themeColor="text1"/>
                <w:sz w:val="24"/>
                <w:highlight w:val="none"/>
                <w14:textFill>
                  <w14:solidFill>
                    <w14:schemeClr w14:val="tx1"/>
                  </w14:solidFill>
                </w14:textFill>
              </w:rPr>
              <w:t>PCS舱等构筑物进站道路工程等。其施工期对环境的影响主要有废气、废水、噪声、固废、生态环境及水土流失。</w:t>
            </w:r>
          </w:p>
          <w:p w14:paraId="2D1EBE41">
            <w:pPr>
              <w:snapToGrid w:val="0"/>
              <w:spacing w:line="360" w:lineRule="auto"/>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1、环境空气影响分析</w:t>
            </w:r>
          </w:p>
          <w:p w14:paraId="24903C98">
            <w:pPr>
              <w:snapToGrid w:val="0"/>
              <w:spacing w:line="360" w:lineRule="auto"/>
              <w:ind w:firstLine="482" w:firstLineChars="20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1.1施工扬尘</w:t>
            </w:r>
          </w:p>
          <w:p w14:paraId="1C9BC70F">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本项目在施工过程中扬尘对环境不可避免地要产生一些不良影响。扬尘主要来源于</w:t>
            </w:r>
            <w:r>
              <w:rPr>
                <w:rFonts w:hint="eastAsia"/>
                <w:color w:val="000000" w:themeColor="text1"/>
                <w:sz w:val="24"/>
                <w:highlight w:val="none"/>
                <w:lang w:val="en-US" w:eastAsia="zh-CN"/>
                <w14:textFill>
                  <w14:solidFill>
                    <w14:schemeClr w14:val="tx1"/>
                  </w14:solidFill>
                </w14:textFill>
              </w:rPr>
              <w:t>站址</w:t>
            </w:r>
            <w:r>
              <w:rPr>
                <w:rFonts w:hint="eastAsia"/>
                <w:color w:val="000000" w:themeColor="text1"/>
                <w:sz w:val="24"/>
                <w:highlight w:val="none"/>
                <w14:textFill>
                  <w14:solidFill>
                    <w14:schemeClr w14:val="tx1"/>
                  </w14:solidFill>
                </w14:textFill>
              </w:rPr>
              <w:t>场地平整、</w:t>
            </w:r>
            <w:r>
              <w:rPr>
                <w:color w:val="000000" w:themeColor="text1"/>
                <w:sz w:val="24"/>
                <w:highlight w:val="none"/>
                <w14:textFill>
                  <w14:solidFill>
                    <w14:schemeClr w14:val="tx1"/>
                  </w14:solidFill>
                </w14:textFill>
              </w:rPr>
              <w:t>混凝土浇筑</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采用商砼</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变压器</w:t>
            </w:r>
            <w:r>
              <w:rPr>
                <w:color w:val="000000" w:themeColor="text1"/>
                <w:sz w:val="24"/>
                <w:highlight w:val="none"/>
                <w14:textFill>
                  <w14:solidFill>
                    <w14:schemeClr w14:val="tx1"/>
                  </w14:solidFill>
                </w14:textFill>
              </w:rPr>
              <w:t>基础土方挖掘和现场堆放、</w:t>
            </w:r>
            <w:r>
              <w:rPr>
                <w:rFonts w:hint="eastAsia"/>
                <w:color w:val="000000" w:themeColor="text1"/>
                <w:sz w:val="24"/>
                <w:highlight w:val="none"/>
                <w14:textFill>
                  <w14:solidFill>
                    <w14:schemeClr w14:val="tx1"/>
                  </w14:solidFill>
                </w14:textFill>
              </w:rPr>
              <w:t>进站</w:t>
            </w:r>
            <w:r>
              <w:rPr>
                <w:color w:val="000000" w:themeColor="text1"/>
                <w:sz w:val="24"/>
                <w:highlight w:val="none"/>
                <w14:textFill>
                  <w14:solidFill>
                    <w14:schemeClr w14:val="tx1"/>
                  </w14:solidFill>
                </w14:textFill>
              </w:rPr>
              <w:t>道路开挖后回填土的扬尘，散放的建筑材料</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如：水泥、砂子等</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的扬尘，施工运输道路的扬尘等。其产生的影响范围不大，施工结束影响即消失。</w:t>
            </w:r>
          </w:p>
          <w:p w14:paraId="389904BE">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国内外的有关研究资料，施工扬尘的起尘量与许多因素有关。挖土机等在工作时的起尘量与挖坑深度、挖土机抓斗与地面的相对高度、风速、土壤的颗粒度、土壤含水量等有关。对于渣土堆场而言，起尘量还与堆放方式、</w:t>
            </w:r>
            <w:r>
              <w:rPr>
                <w:rFonts w:hint="eastAsia"/>
                <w:color w:val="000000" w:themeColor="text1"/>
                <w:sz w:val="24"/>
                <w:highlight w:val="none"/>
                <w:lang w:eastAsia="zh-CN"/>
                <w14:textFill>
                  <w14:solidFill>
                    <w14:schemeClr w14:val="tx1"/>
                  </w14:solidFill>
                </w14:textFill>
              </w:rPr>
              <w:t>启动</w:t>
            </w:r>
            <w:r>
              <w:rPr>
                <w:color w:val="000000" w:themeColor="text1"/>
                <w:sz w:val="24"/>
                <w:highlight w:val="none"/>
                <w14:textFill>
                  <w14:solidFill>
                    <w14:schemeClr w14:val="tx1"/>
                  </w14:solidFill>
                </w14:textFill>
              </w:rPr>
              <w:t>风速及堆场有无防护措施等有关。国内外的研究结果和类比研究表明，在起动风速以上，影响起尘量的主要因素分别为：防护措施、风速、土壤湿度、挖土方式或土堆的堆放方式等。</w:t>
            </w:r>
          </w:p>
          <w:p w14:paraId="014DAFCB">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根据类比调查研究</w:t>
            </w:r>
            <w:r>
              <w:rPr>
                <w:color w:val="000000" w:themeColor="text1"/>
                <w:sz w:val="24"/>
                <w:highlight w:val="none"/>
                <w14:textFill>
                  <w14:solidFill>
                    <w14:schemeClr w14:val="tx1"/>
                  </w14:solidFill>
                </w14:textFill>
              </w:rPr>
              <w:t>，在不采取防护措施和土壤较为干燥时，开挖的最大扬</w:t>
            </w:r>
            <w:r>
              <w:rPr>
                <w:rFonts w:hint="eastAsia"/>
                <w:color w:val="000000" w:themeColor="text1"/>
                <w:sz w:val="24"/>
                <w:highlight w:val="none"/>
                <w:lang w:eastAsia="zh-CN"/>
                <w14:textFill>
                  <w14:solidFill>
                    <w14:schemeClr w14:val="tx1"/>
                  </w14:solidFill>
                </w14:textFill>
              </w:rPr>
              <w:t>尘为</w:t>
            </w:r>
            <w:r>
              <w:rPr>
                <w:color w:val="000000" w:themeColor="text1"/>
                <w:sz w:val="24"/>
                <w:highlight w:val="none"/>
                <w14:textFill>
                  <w14:solidFill>
                    <w14:schemeClr w14:val="tx1"/>
                  </w14:solidFill>
                </w14:textFill>
              </w:rPr>
              <w:t>1%，在采取一定防护措施和土壤较湿时，开挖的扬尘量约为0.1%。根据本项目设计提供的资料，本工程土方开挖总量约为</w:t>
            </w:r>
            <w:r>
              <w:rPr>
                <w:rFonts w:hint="eastAsia"/>
                <w:color w:val="000000" w:themeColor="text1"/>
                <w:sz w:val="24"/>
                <w:highlight w:val="none"/>
                <w:lang w:val="en-US" w:eastAsia="zh-CN"/>
                <w14:textFill>
                  <w14:solidFill>
                    <w14:schemeClr w14:val="tx1"/>
                  </w14:solidFill>
                </w14:textFill>
              </w:rPr>
              <w:t>8145</w:t>
            </w:r>
            <w:r>
              <w:rPr>
                <w:color w:val="000000" w:themeColor="text1"/>
                <w:sz w:val="24"/>
                <w:highlight w:val="none"/>
                <w14:textFill>
                  <w14:solidFill>
                    <w14:schemeClr w14:val="tx1"/>
                  </w14:solidFill>
                </w14:textFill>
              </w:rPr>
              <w:t>m³，土方回填总量约为</w:t>
            </w:r>
            <w:r>
              <w:rPr>
                <w:rFonts w:hint="eastAsia"/>
                <w:color w:val="000000" w:themeColor="text1"/>
                <w:sz w:val="24"/>
                <w:highlight w:val="none"/>
                <w:lang w:val="en-US" w:eastAsia="zh-CN"/>
                <w14:textFill>
                  <w14:solidFill>
                    <w14:schemeClr w14:val="tx1"/>
                  </w14:solidFill>
                </w14:textFill>
              </w:rPr>
              <w:t>10627</w:t>
            </w:r>
            <w:r>
              <w:rPr>
                <w:color w:val="000000" w:themeColor="text1"/>
                <w:sz w:val="24"/>
                <w:highlight w:val="none"/>
                <w14:textFill>
                  <w14:solidFill>
                    <w14:schemeClr w14:val="tx1"/>
                  </w14:solidFill>
                </w14:textFill>
              </w:rPr>
              <w:t>m³</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借方量2482</w:t>
            </w:r>
            <w:r>
              <w:rPr>
                <w:rFonts w:hint="default" w:ascii="Times New Roman" w:hAnsi="Times New Roman" w:eastAsia="宋体" w:cs="Times New Roman"/>
                <w:color w:val="000000" w:themeColor="text1"/>
                <w:sz w:val="24"/>
                <w:highlight w:val="none"/>
                <w14:textFill>
                  <w14:solidFill>
                    <w14:schemeClr w14:val="tx1"/>
                  </w14:solidFill>
                </w14:textFill>
              </w:rPr>
              <w:t>m³。</w:t>
            </w:r>
            <w:r>
              <w:rPr>
                <w:color w:val="000000" w:themeColor="text1"/>
                <w:sz w:val="24"/>
                <w:highlight w:val="none"/>
                <w14:textFill>
                  <w14:solidFill>
                    <w14:schemeClr w14:val="tx1"/>
                  </w14:solidFill>
                </w14:textFill>
              </w:rPr>
              <w:t>土石方工程主要集中在</w:t>
            </w:r>
            <w:r>
              <w:rPr>
                <w:rFonts w:hint="eastAsia"/>
                <w:color w:val="000000" w:themeColor="text1"/>
                <w:sz w:val="24"/>
                <w:highlight w:val="none"/>
                <w14:textFill>
                  <w14:solidFill>
                    <w14:schemeClr w14:val="tx1"/>
                  </w14:solidFill>
                </w14:textFill>
              </w:rPr>
              <w:t>变压器基础</w:t>
            </w: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储能舱、</w:t>
            </w:r>
            <w:r>
              <w:rPr>
                <w:rFonts w:hint="eastAsia"/>
                <w:color w:val="000000" w:themeColor="text1"/>
                <w:sz w:val="24"/>
                <w:highlight w:val="none"/>
                <w14:textFill>
                  <w14:solidFill>
                    <w14:schemeClr w14:val="tx1"/>
                  </w14:solidFill>
                </w14:textFill>
              </w:rPr>
              <w:t>进站道路</w:t>
            </w:r>
            <w:r>
              <w:rPr>
                <w:color w:val="000000" w:themeColor="text1"/>
                <w:sz w:val="24"/>
                <w:highlight w:val="none"/>
                <w14:textFill>
                  <w14:solidFill>
                    <w14:schemeClr w14:val="tx1"/>
                  </w14:solidFill>
                </w14:textFill>
              </w:rPr>
              <w:t>工程区</w:t>
            </w:r>
            <w:r>
              <w:rPr>
                <w:rFonts w:hint="eastAsia"/>
                <w:color w:val="000000" w:themeColor="text1"/>
                <w:sz w:val="24"/>
                <w:highlight w:val="none"/>
                <w14:textFill>
                  <w14:solidFill>
                    <w14:schemeClr w14:val="tx1"/>
                  </w14:solidFill>
                </w14:textFill>
              </w:rPr>
              <w:t>等</w:t>
            </w:r>
            <w:r>
              <w:rPr>
                <w:color w:val="000000" w:themeColor="text1"/>
                <w:sz w:val="24"/>
                <w:highlight w:val="none"/>
                <w14:textFill>
                  <w14:solidFill>
                    <w14:schemeClr w14:val="tx1"/>
                  </w14:solidFill>
                </w14:textFill>
              </w:rPr>
              <w:t>。施工区域回填后的</w:t>
            </w:r>
            <w:r>
              <w:rPr>
                <w:rFonts w:hint="eastAsia"/>
                <w:color w:val="000000" w:themeColor="text1"/>
                <w:sz w:val="24"/>
                <w:highlight w:val="none"/>
                <w:lang w:eastAsia="zh-CN"/>
                <w14:textFill>
                  <w14:solidFill>
                    <w14:schemeClr w14:val="tx1"/>
                  </w14:solidFill>
                </w14:textFill>
              </w:rPr>
              <w:t>土方</w:t>
            </w:r>
            <w:r>
              <w:rPr>
                <w:color w:val="000000" w:themeColor="text1"/>
                <w:sz w:val="24"/>
                <w:highlight w:val="none"/>
                <w14:textFill>
                  <w14:solidFill>
                    <w14:schemeClr w14:val="tx1"/>
                  </w14:solidFill>
                </w14:textFill>
              </w:rPr>
              <w:t>在场区内通过调整场平高程进行自行消化，不设置单独的永久弃渣场。从总量上看，本项目建设土石方工程量较小，整个项目建设区可以做到</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挖填平衡</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。本项目开挖及回填过程中估算扬尘量取</w:t>
            </w:r>
            <w:r>
              <w:rPr>
                <w:rFonts w:hint="eastAsia"/>
                <w:color w:val="000000" w:themeColor="text1"/>
                <w:sz w:val="24"/>
                <w:highlight w:val="none"/>
                <w14:textFill>
                  <w14:solidFill>
                    <w14:schemeClr w14:val="tx1"/>
                  </w14:solidFill>
                </w14:textFill>
              </w:rPr>
              <w:t>0.1</w:t>
            </w:r>
            <w:r>
              <w:rPr>
                <w:color w:val="000000" w:themeColor="text1"/>
                <w:sz w:val="24"/>
                <w:highlight w:val="none"/>
                <w14:textFill>
                  <w14:solidFill>
                    <w14:schemeClr w14:val="tx1"/>
                  </w14:solidFill>
                </w14:textFill>
              </w:rPr>
              <w:t>%，扬尘量约</w:t>
            </w:r>
            <w:r>
              <w:rPr>
                <w:rFonts w:hint="eastAsia"/>
                <w:color w:val="000000" w:themeColor="text1"/>
                <w:sz w:val="24"/>
                <w:highlight w:val="none"/>
                <w:lang w:val="en-US" w:eastAsia="zh-CN"/>
                <w14:textFill>
                  <w14:solidFill>
                    <w14:schemeClr w14:val="tx1"/>
                  </w14:solidFill>
                </w14:textFill>
              </w:rPr>
              <w:t>18.772</w:t>
            </w:r>
            <w:r>
              <w:rPr>
                <w:rFonts w:hint="eastAsia"/>
                <w:color w:val="000000" w:themeColor="text1"/>
                <w:sz w:val="24"/>
                <w:highlight w:val="none"/>
                <w14:textFill>
                  <w14:solidFill>
                    <w14:schemeClr w14:val="tx1"/>
                  </w14:solidFill>
                </w14:textFill>
              </w:rPr>
              <w:t>m³（</w:t>
            </w:r>
            <w:r>
              <w:rPr>
                <w:color w:val="000000" w:themeColor="text1"/>
                <w:sz w:val="24"/>
                <w:highlight w:val="none"/>
                <w14:textFill>
                  <w14:solidFill>
                    <w14:schemeClr w14:val="tx1"/>
                  </w14:solidFill>
                </w14:textFill>
              </w:rPr>
              <w:t>不含零星工程的挖方扬尘</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。施工期所产生的废气及粉尘产生的影响范围不大，施工结束影响即消失。</w:t>
            </w:r>
          </w:p>
          <w:p w14:paraId="04C35054">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由于建筑粉尘降尘较快，只要加强管理，文明施工，施工时通过对</w:t>
            </w:r>
            <w:r>
              <w:rPr>
                <w:rFonts w:hint="eastAsia"/>
                <w:color w:val="000000" w:themeColor="text1"/>
                <w:sz w:val="24"/>
                <w:highlight w:val="none"/>
                <w14:textFill>
                  <w14:solidFill>
                    <w14:schemeClr w14:val="tx1"/>
                  </w14:solidFill>
                </w14:textFill>
              </w:rPr>
              <w:t>进站</w:t>
            </w:r>
            <w:r>
              <w:rPr>
                <w:color w:val="000000" w:themeColor="text1"/>
                <w:sz w:val="24"/>
                <w:highlight w:val="none"/>
                <w14:textFill>
                  <w14:solidFill>
                    <w14:schemeClr w14:val="tx1"/>
                  </w14:solidFill>
                </w14:textFill>
              </w:rPr>
              <w:t>道路和施工场地进行洒水抑尘，避免在大风天气进行土地开挖和回填作业。为最大限度的降低施工扬尘，要求在施工过程中贯彻文明施工的原则，加强施工管理；施工中的物料运输采用带篷布的汽车运输，以降低运输途中产生的二次扬尘。通过上述措施，可将施工扬尘对周围环境的影响降到最小。</w:t>
            </w:r>
          </w:p>
          <w:p w14:paraId="48B35FC7">
            <w:pPr>
              <w:adjustRightInd w:val="0"/>
              <w:snapToGrid w:val="0"/>
              <w:spacing w:line="360" w:lineRule="auto"/>
              <w:ind w:firstLine="482" w:firstLineChars="20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1.2设备燃油废气</w:t>
            </w:r>
          </w:p>
          <w:p w14:paraId="0E769A13">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施工机械、运输车辆及现场小型柴油发电机</w:t>
            </w:r>
            <w:r>
              <w:rPr>
                <w:rFonts w:hint="eastAsia"/>
                <w:color w:val="000000" w:themeColor="text1"/>
                <w:sz w:val="24"/>
                <w:highlight w:val="none"/>
                <w:lang w:eastAsia="zh-CN"/>
                <w14:textFill>
                  <w14:solidFill>
                    <w14:schemeClr w14:val="tx1"/>
                  </w14:solidFill>
                </w14:textFill>
              </w:rPr>
              <w:t>基本</w:t>
            </w:r>
            <w:r>
              <w:rPr>
                <w:color w:val="000000" w:themeColor="text1"/>
                <w:sz w:val="24"/>
                <w:highlight w:val="none"/>
                <w14:textFill>
                  <w14:solidFill>
                    <w14:schemeClr w14:val="tx1"/>
                  </w14:solidFill>
                </w14:textFill>
              </w:rPr>
              <w:t>以燃油为主，燃烧尾气中含有CO、THC、NOx等大气污染物，影响施工区大气环境质量。鉴于项目排放的大气污染物相对较小，项目工程施工期短，主要在施工区内，机械尾气排放与当地的大气容量相比很小，且具有流动性和间歇性的特点，废气产生后能迅速稀释扩散，对区域大气环境影响较小。</w:t>
            </w:r>
            <w:r>
              <w:rPr>
                <w:rFonts w:hint="eastAsia"/>
                <w:color w:val="000000" w:themeColor="text1"/>
                <w:sz w:val="24"/>
                <w:highlight w:val="none"/>
                <w14:textFill>
                  <w14:solidFill>
                    <w14:schemeClr w14:val="tx1"/>
                  </w14:solidFill>
                </w14:textFill>
              </w:rPr>
              <w:t>本项目</w:t>
            </w:r>
            <w:r>
              <w:rPr>
                <w:color w:val="000000" w:themeColor="text1"/>
                <w:kern w:val="0"/>
                <w:sz w:val="24"/>
                <w:highlight w:val="none"/>
                <w14:textFill>
                  <w14:solidFill>
                    <w14:schemeClr w14:val="tx1"/>
                  </w14:solidFill>
                </w14:textFill>
              </w:rPr>
              <w:t>各施工机械及车辆采用合格的油品，燃油废气自然扩散；对设备、车辆进行定期维护，减少事故排放。</w:t>
            </w:r>
          </w:p>
          <w:p w14:paraId="4D4AE0A8">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综上，施工废气大部分以无组织形式扩散，在做好上述防护措施的前提下，施工废气对区域空气环境的影响较小，且施工期造成的污染是短期的、局部的，随着施工的结束，这些影响也随之消失，不会对周边敏感点和环境空气质量产生较大影响。</w:t>
            </w:r>
          </w:p>
          <w:p w14:paraId="6D5E93CF">
            <w:pPr>
              <w:snapToGrid w:val="0"/>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w:t>
            </w:r>
            <w:r>
              <w:rPr>
                <w:b/>
                <w:bCs/>
                <w:color w:val="000000" w:themeColor="text1"/>
                <w:sz w:val="24"/>
                <w:highlight w:val="none"/>
                <w14:textFill>
                  <w14:solidFill>
                    <w14:schemeClr w14:val="tx1"/>
                  </w14:solidFill>
                </w14:textFill>
              </w:rPr>
              <w:t>水环境影响分析</w:t>
            </w:r>
          </w:p>
          <w:p w14:paraId="32691A68">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本项目施工期间产生的废污水主要</w:t>
            </w:r>
            <w:r>
              <w:rPr>
                <w:rFonts w:hint="eastAsia"/>
                <w:color w:val="000000" w:themeColor="text1"/>
                <w:sz w:val="24"/>
                <w:highlight w:val="none"/>
                <w14:textFill>
                  <w14:solidFill>
                    <w14:schemeClr w14:val="tx1"/>
                  </w14:solidFill>
                </w14:textFill>
              </w:rPr>
              <w:t>来自</w:t>
            </w:r>
            <w:r>
              <w:rPr>
                <w:color w:val="000000" w:themeColor="text1"/>
                <w:sz w:val="24"/>
                <w:highlight w:val="none"/>
                <w14:textFill>
                  <w14:solidFill>
                    <w14:schemeClr w14:val="tx1"/>
                  </w14:solidFill>
                </w14:textFill>
              </w:rPr>
              <w:t>施工废水及施工人员生活污水。</w:t>
            </w:r>
          </w:p>
          <w:p w14:paraId="367ED12D">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本项目每日平均施工人员约</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0人，根据建设单位提供资料，拟建项目施工期按</w:t>
            </w:r>
            <w:r>
              <w:rPr>
                <w:rFonts w:hint="eastAsia"/>
                <w:color w:val="000000" w:themeColor="text1"/>
                <w:sz w:val="24"/>
                <w:highlight w:val="none"/>
                <w14:textFill>
                  <w14:solidFill>
                    <w14:schemeClr w14:val="tx1"/>
                  </w14:solidFill>
                </w14:textFill>
              </w:rPr>
              <w:t>12</w:t>
            </w:r>
            <w:r>
              <w:rPr>
                <w:color w:val="000000" w:themeColor="text1"/>
                <w:sz w:val="24"/>
                <w:highlight w:val="none"/>
                <w14:textFill>
                  <w14:solidFill>
                    <w14:schemeClr w14:val="tx1"/>
                  </w14:solidFill>
                </w14:textFill>
              </w:rPr>
              <w:t>个月计算，施工期施工人员生活用水按80L/人·d计算，生活用水总量为</w:t>
            </w:r>
            <w:r>
              <w:rPr>
                <w:rFonts w:hint="eastAsia"/>
                <w:color w:val="000000" w:themeColor="text1"/>
                <w:sz w:val="24"/>
                <w:highlight w:val="none"/>
                <w14:textFill>
                  <w14:solidFill>
                    <w14:schemeClr w14:val="tx1"/>
                  </w14:solidFill>
                </w14:textFill>
              </w:rPr>
              <w:t>4m³</w:t>
            </w:r>
            <w:r>
              <w:rPr>
                <w:color w:val="000000" w:themeColor="text1"/>
                <w:sz w:val="24"/>
                <w:highlight w:val="none"/>
                <w14:textFill>
                  <w14:solidFill>
                    <w14:schemeClr w14:val="tx1"/>
                  </w14:solidFill>
                </w14:textFill>
              </w:rPr>
              <w:t>/d</w:t>
            </w:r>
            <w:r>
              <w:rPr>
                <w:rFonts w:hint="eastAsia"/>
                <w:color w:val="000000" w:themeColor="text1"/>
                <w:sz w:val="24"/>
                <w:highlight w:val="none"/>
                <w14:textFill>
                  <w14:solidFill>
                    <w14:schemeClr w14:val="tx1"/>
                  </w14:solidFill>
                </w14:textFill>
              </w:rPr>
              <w:t>（1460m³）</w:t>
            </w:r>
            <w:r>
              <w:rPr>
                <w:color w:val="000000" w:themeColor="text1"/>
                <w:sz w:val="24"/>
                <w:highlight w:val="none"/>
                <w14:textFill>
                  <w14:solidFill>
                    <w14:schemeClr w14:val="tx1"/>
                  </w14:solidFill>
                </w14:textFill>
              </w:rPr>
              <w:t>，生活污水排放系数按照0.8计算，则废水排放量约为</w:t>
            </w:r>
            <w:r>
              <w:rPr>
                <w:rFonts w:hint="eastAsia"/>
                <w:color w:val="000000" w:themeColor="text1"/>
                <w:sz w:val="24"/>
                <w:highlight w:val="none"/>
                <w14:textFill>
                  <w14:solidFill>
                    <w14:schemeClr w14:val="tx1"/>
                  </w14:solidFill>
                </w14:textFill>
              </w:rPr>
              <w:t>3.2m³</w:t>
            </w:r>
            <w:r>
              <w:rPr>
                <w:color w:val="000000" w:themeColor="text1"/>
                <w:sz w:val="24"/>
                <w:highlight w:val="none"/>
                <w14:textFill>
                  <w14:solidFill>
                    <w14:schemeClr w14:val="tx1"/>
                  </w14:solidFill>
                </w14:textFill>
              </w:rPr>
              <w:t>/d</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约</w:t>
            </w:r>
            <w:r>
              <w:rPr>
                <w:rFonts w:hint="eastAsia"/>
                <w:color w:val="000000" w:themeColor="text1"/>
                <w:sz w:val="24"/>
                <w:highlight w:val="none"/>
                <w14:textFill>
                  <w14:solidFill>
                    <w14:schemeClr w14:val="tx1"/>
                  </w14:solidFill>
                </w14:textFill>
              </w:rPr>
              <w:t>1168m³）</w:t>
            </w:r>
            <w:r>
              <w:rPr>
                <w:color w:val="000000" w:themeColor="text1"/>
                <w:sz w:val="24"/>
                <w:highlight w:val="none"/>
                <w14:textFill>
                  <w14:solidFill>
                    <w14:schemeClr w14:val="tx1"/>
                  </w14:solidFill>
                </w14:textFill>
              </w:rPr>
              <w:t>，污水中主要污染物是SS、COD、BOD</w:t>
            </w:r>
            <w:r>
              <w:rPr>
                <w:color w:val="000000" w:themeColor="text1"/>
                <w:sz w:val="24"/>
                <w:highlight w:val="none"/>
                <w:vertAlign w:val="subscript"/>
                <w14:textFill>
                  <w14:solidFill>
                    <w14:schemeClr w14:val="tx1"/>
                  </w14:solidFill>
                </w14:textFill>
              </w:rPr>
              <w:t>5</w:t>
            </w:r>
            <w:r>
              <w:rPr>
                <w:color w:val="000000" w:themeColor="text1"/>
                <w:sz w:val="24"/>
                <w:highlight w:val="none"/>
                <w14:textFill>
                  <w14:solidFill>
                    <w14:schemeClr w14:val="tx1"/>
                  </w14:solidFill>
                </w14:textFill>
              </w:rPr>
              <w:t>和石油类等，施工期</w:t>
            </w:r>
            <w:r>
              <w:rPr>
                <w:rFonts w:hint="eastAsia"/>
                <w:color w:val="000000" w:themeColor="text1"/>
                <w:sz w:val="24"/>
                <w:highlight w:val="none"/>
                <w14:textFill>
                  <w14:solidFill>
                    <w14:schemeClr w14:val="tx1"/>
                  </w14:solidFill>
                </w14:textFill>
              </w:rPr>
              <w:t>项目</w:t>
            </w:r>
            <w:r>
              <w:rPr>
                <w:color w:val="000000" w:themeColor="text1"/>
                <w:sz w:val="24"/>
                <w:highlight w:val="none"/>
                <w14:textFill>
                  <w14:solidFill>
                    <w14:schemeClr w14:val="tx1"/>
                  </w14:solidFill>
                </w14:textFill>
              </w:rPr>
              <w:t>施工营地设</w:t>
            </w:r>
            <w:r>
              <w:rPr>
                <w:rFonts w:hint="eastAsia"/>
                <w:color w:val="000000" w:themeColor="text1"/>
                <w:sz w:val="24"/>
                <w:highlight w:val="none"/>
                <w:lang w:val="en-US" w:eastAsia="zh-CN"/>
                <w14:textFill>
                  <w14:solidFill>
                    <w14:schemeClr w14:val="tx1"/>
                  </w14:solidFill>
                </w14:textFill>
              </w:rPr>
              <w:t>移动式一体化污水处理设施处理</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生活污水</w:t>
            </w:r>
            <w:r>
              <w:rPr>
                <w:rFonts w:hint="eastAsia"/>
                <w:color w:val="000000" w:themeColor="text1"/>
                <w:sz w:val="24"/>
                <w:highlight w:val="none"/>
                <w:lang w:val="en-US" w:eastAsia="zh-CN"/>
                <w14:textFill>
                  <w14:solidFill>
                    <w14:schemeClr w14:val="tx1"/>
                  </w14:solidFill>
                </w14:textFill>
              </w:rPr>
              <w:t>经处理后用于施工场地绿化及洒水降尘。</w:t>
            </w:r>
          </w:p>
          <w:p w14:paraId="65673A65">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工程施工生产废水主要由混凝土运输车、施工机械的冲洗、混凝土养护以及机械修配、汽车保养等产生，主要成分是含泥沙废水，但总量很小，且主要集中在施工前期基础施工时段，施工期废水设防渗沉淀池，可回用于施工区洒水降尘，对周边环境影响较小。</w:t>
            </w:r>
          </w:p>
          <w:p w14:paraId="5C5214AC">
            <w:pPr>
              <w:snapToGrid w:val="0"/>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b/>
                <w:bCs/>
                <w:color w:val="000000" w:themeColor="text1"/>
                <w:sz w:val="24"/>
                <w:highlight w:val="none"/>
                <w14:textFill>
                  <w14:solidFill>
                    <w14:schemeClr w14:val="tx1"/>
                  </w14:solidFill>
                </w14:textFill>
              </w:rPr>
              <w:t>噪声环境影响分析</w:t>
            </w:r>
          </w:p>
          <w:p w14:paraId="1E4D369F">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噪声主要为施工机械设备所产生的作业噪声，施工机械如推土机、载重汽车、挖掘机、混凝土搅拌车等。根据类比调查和有关资料：这些建筑施工机械的声源噪声强度大多在85-105dB(A)左右，噪声随距离增加而衰减，距各种施工设备不同距离噪声预测结果见下表。</w:t>
            </w:r>
          </w:p>
          <w:p w14:paraId="499A0285">
            <w:pPr>
              <w:snapToGrid w:val="0"/>
              <w:jc w:val="cente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 xml:space="preserve">表4-1  距各种施工机械不同距离的噪声值    </w:t>
            </w:r>
            <w:r>
              <w:rPr>
                <w:b/>
                <w:color w:val="000000" w:themeColor="text1"/>
                <w:sz w:val="24"/>
                <w:highlight w:val="none"/>
                <w14:textFill>
                  <w14:solidFill>
                    <w14:schemeClr w14:val="tx1"/>
                  </w14:solidFill>
                </w14:textFill>
              </w:rPr>
              <w:t>单位：dB(A)</w:t>
            </w:r>
          </w:p>
          <w:tbl>
            <w:tblPr>
              <w:tblStyle w:val="3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6"/>
              <w:gridCol w:w="1222"/>
              <w:gridCol w:w="760"/>
              <w:gridCol w:w="760"/>
              <w:gridCol w:w="760"/>
              <w:gridCol w:w="760"/>
              <w:gridCol w:w="760"/>
              <w:gridCol w:w="766"/>
            </w:tblGrid>
            <w:tr w14:paraId="1235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442" w:type="pct"/>
                  <w:vMerge w:val="restart"/>
                  <w:tcBorders>
                    <w:tl2br w:val="single" w:color="auto" w:sz="4" w:space="0"/>
                  </w:tcBorders>
                  <w:vAlign w:val="center"/>
                </w:tcPr>
                <w:p w14:paraId="4C0E954F">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 xml:space="preserve">         </w:t>
                  </w:r>
                  <w:r>
                    <w:rPr>
                      <w:b/>
                      <w:bCs/>
                      <w:color w:val="000000" w:themeColor="text1"/>
                      <w:szCs w:val="21"/>
                      <w:highlight w:val="none"/>
                      <w14:textFill>
                        <w14:solidFill>
                          <w14:schemeClr w14:val="tx1"/>
                        </w14:solidFill>
                      </w14:textFill>
                    </w:rPr>
                    <w:t>距离</w:t>
                  </w:r>
                  <w:r>
                    <w:rPr>
                      <w:rFonts w:hint="eastAsia"/>
                      <w:b/>
                      <w:bCs/>
                      <w:color w:val="000000" w:themeColor="text1"/>
                      <w:szCs w:val="21"/>
                      <w:highlight w:val="none"/>
                      <w14:textFill>
                        <w14:solidFill>
                          <w14:schemeClr w14:val="tx1"/>
                        </w14:solidFill>
                      </w14:textFill>
                    </w:rPr>
                    <w:t>（m）</w:t>
                  </w:r>
                </w:p>
                <w:p w14:paraId="0AB5C464">
                  <w:pP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施工设备</w:t>
                  </w:r>
                </w:p>
              </w:tc>
              <w:tc>
                <w:tcPr>
                  <w:tcW w:w="751" w:type="pct"/>
                  <w:vMerge w:val="restart"/>
                  <w:vAlign w:val="center"/>
                </w:tcPr>
                <w:p w14:paraId="00712340">
                  <w:pPr>
                    <w:jc w:val="center"/>
                    <w:rPr>
                      <w:rFonts w:hint="eastAsia" w:eastAsia="宋体"/>
                      <w:b/>
                      <w:bCs/>
                      <w:color w:val="000000" w:themeColor="text1"/>
                      <w:szCs w:val="21"/>
                      <w:highlight w:val="none"/>
                      <w:lang w:val="en-US" w:eastAsia="zh-CN"/>
                      <w14:textFill>
                        <w14:solidFill>
                          <w14:schemeClr w14:val="tx1"/>
                        </w14:solidFill>
                      </w14:textFill>
                    </w:rPr>
                  </w:pPr>
                  <w:r>
                    <w:rPr>
                      <w:rFonts w:hint="eastAsia"/>
                      <w:b/>
                      <w:bCs/>
                      <w:color w:val="000000" w:themeColor="text1"/>
                      <w:szCs w:val="21"/>
                      <w:highlight w:val="none"/>
                      <w:lang w:val="en-US" w:eastAsia="zh-CN"/>
                      <w14:textFill>
                        <w14:solidFill>
                          <w14:schemeClr w14:val="tx1"/>
                        </w14:solidFill>
                      </w14:textFill>
                    </w:rPr>
                    <w:t>声源源强声压级</w:t>
                  </w:r>
                  <w:r>
                    <w:rPr>
                      <w:rStyle w:val="39"/>
                      <w:rFonts w:hint="eastAsia"/>
                      <w:b/>
                      <w:bCs/>
                      <w:color w:val="000000" w:themeColor="text1"/>
                      <w:kern w:val="0"/>
                      <w:highlight w:val="none"/>
                      <w:lang w:val="en-US" w:eastAsia="zh-CN"/>
                      <w14:textFill>
                        <w14:solidFill>
                          <w14:schemeClr w14:val="tx1"/>
                        </w14:solidFill>
                      </w14:textFill>
                    </w:rPr>
                    <w:t>/dB(A)</w:t>
                  </w:r>
                </w:p>
              </w:tc>
              <w:tc>
                <w:tcPr>
                  <w:tcW w:w="2806" w:type="pct"/>
                  <w:gridSpan w:val="6"/>
                  <w:vAlign w:val="center"/>
                </w:tcPr>
                <w:p w14:paraId="0FCFA864">
                  <w:pPr>
                    <w:tabs>
                      <w:tab w:val="left" w:pos="1273"/>
                      <w:tab w:val="center" w:pos="2369"/>
                    </w:tabs>
                    <w:jc w:val="center"/>
                    <w:rPr>
                      <w:rFonts w:hint="default"/>
                      <w:b/>
                      <w:bCs/>
                      <w:color w:val="000000" w:themeColor="text1"/>
                      <w:szCs w:val="21"/>
                      <w:highlight w:val="none"/>
                      <w:lang w:val="en-US" w:eastAsia="zh-CN"/>
                      <w14:textFill>
                        <w14:solidFill>
                          <w14:schemeClr w14:val="tx1"/>
                        </w14:solidFill>
                      </w14:textFill>
                    </w:rPr>
                  </w:pPr>
                  <w:r>
                    <w:rPr>
                      <w:rFonts w:hint="default"/>
                      <w:b/>
                      <w:bCs/>
                      <w:color w:val="000000" w:themeColor="text1"/>
                      <w:szCs w:val="21"/>
                      <w:highlight w:val="none"/>
                      <w:lang w:val="en-US" w:eastAsia="zh-CN"/>
                      <w14:textFill>
                        <w14:solidFill>
                          <w14:schemeClr w14:val="tx1"/>
                        </w14:solidFill>
                      </w14:textFill>
                    </w:rPr>
                    <w:t>不同距离处的噪声值</w:t>
                  </w:r>
                </w:p>
              </w:tc>
            </w:tr>
            <w:tr w14:paraId="4E71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442" w:type="pct"/>
                  <w:vMerge w:val="continue"/>
                  <w:tcBorders>
                    <w:tl2br w:val="single" w:color="auto" w:sz="4" w:space="0"/>
                  </w:tcBorders>
                  <w:vAlign w:val="center"/>
                </w:tcPr>
                <w:p w14:paraId="2F0C9963">
                  <w:pPr>
                    <w:tabs>
                      <w:tab w:val="left" w:pos="1273"/>
                      <w:tab w:val="center" w:pos="2369"/>
                    </w:tabs>
                    <w:jc w:val="left"/>
                    <w:rPr>
                      <w:color w:val="000000" w:themeColor="text1"/>
                      <w14:textFill>
                        <w14:solidFill>
                          <w14:schemeClr w14:val="tx1"/>
                        </w14:solidFill>
                      </w14:textFill>
                    </w:rPr>
                  </w:pPr>
                </w:p>
              </w:tc>
              <w:tc>
                <w:tcPr>
                  <w:tcW w:w="751" w:type="pct"/>
                  <w:vMerge w:val="continue"/>
                  <w:vAlign w:val="center"/>
                </w:tcPr>
                <w:p w14:paraId="472B27DA">
                  <w:pPr>
                    <w:tabs>
                      <w:tab w:val="left" w:pos="1273"/>
                      <w:tab w:val="center" w:pos="2369"/>
                    </w:tabs>
                    <w:jc w:val="left"/>
                    <w:rPr>
                      <w:color w:val="000000" w:themeColor="text1"/>
                      <w14:textFill>
                        <w14:solidFill>
                          <w14:schemeClr w14:val="tx1"/>
                        </w14:solidFill>
                      </w14:textFill>
                    </w:rPr>
                  </w:pPr>
                </w:p>
              </w:tc>
              <w:tc>
                <w:tcPr>
                  <w:tcW w:w="2806" w:type="pct"/>
                  <w:gridSpan w:val="6"/>
                  <w:vAlign w:val="center"/>
                </w:tcPr>
                <w:p w14:paraId="09DB7F30">
                  <w:pPr>
                    <w:tabs>
                      <w:tab w:val="left" w:pos="1273"/>
                      <w:tab w:val="center" w:pos="2369"/>
                    </w:tabs>
                    <w:jc w:val="left"/>
                    <w:rPr>
                      <w:rFonts w:hint="eastAsia"/>
                      <w:b/>
                      <w:bCs/>
                      <w:color w:val="000000" w:themeColor="text1"/>
                      <w:szCs w:val="21"/>
                      <w:highlight w:val="none"/>
                      <w:lang w:val="en-US" w:eastAsia="zh-CN"/>
                      <w14:textFill>
                        <w14:solidFill>
                          <w14:schemeClr w14:val="tx1"/>
                        </w14:solidFill>
                      </w14:textFill>
                    </w:rPr>
                  </w:pPr>
                </w:p>
              </w:tc>
            </w:tr>
            <w:tr w14:paraId="54F3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442" w:type="pct"/>
                  <w:vMerge w:val="continue"/>
                  <w:tcBorders>
                    <w:tl2br w:val="single" w:color="auto" w:sz="4" w:space="0"/>
                  </w:tcBorders>
                  <w:vAlign w:val="center"/>
                </w:tcPr>
                <w:p w14:paraId="066DEA59">
                  <w:pPr>
                    <w:jc w:val="center"/>
                    <w:rPr>
                      <w:color w:val="000000" w:themeColor="text1"/>
                      <w:highlight w:val="none"/>
                      <w14:textFill>
                        <w14:solidFill>
                          <w14:schemeClr w14:val="tx1"/>
                        </w14:solidFill>
                      </w14:textFill>
                    </w:rPr>
                  </w:pPr>
                </w:p>
              </w:tc>
              <w:tc>
                <w:tcPr>
                  <w:tcW w:w="751" w:type="pct"/>
                  <w:vMerge w:val="continue"/>
                  <w:vAlign w:val="center"/>
                </w:tcPr>
                <w:p w14:paraId="57500F29">
                  <w:pPr>
                    <w:jc w:val="center"/>
                    <w:rPr>
                      <w:color w:val="000000" w:themeColor="text1"/>
                      <w:highlight w:val="none"/>
                      <w14:textFill>
                        <w14:solidFill>
                          <w14:schemeClr w14:val="tx1"/>
                        </w14:solidFill>
                      </w14:textFill>
                    </w:rPr>
                  </w:pPr>
                </w:p>
              </w:tc>
              <w:tc>
                <w:tcPr>
                  <w:tcW w:w="467" w:type="pct"/>
                  <w:vAlign w:val="center"/>
                </w:tcPr>
                <w:p w14:paraId="03E34EE6">
                  <w:pPr>
                    <w:jc w:val="center"/>
                    <w:rPr>
                      <w:rFonts w:hint="eastAsia" w:eastAsia="宋体"/>
                      <w:b/>
                      <w:bCs/>
                      <w:color w:val="000000" w:themeColor="text1"/>
                      <w:szCs w:val="21"/>
                      <w:highlight w:val="none"/>
                      <w:lang w:val="en-US" w:eastAsia="zh-CN"/>
                      <w14:textFill>
                        <w14:solidFill>
                          <w14:schemeClr w14:val="tx1"/>
                        </w14:solidFill>
                      </w14:textFill>
                    </w:rPr>
                  </w:pPr>
                  <w:r>
                    <w:rPr>
                      <w:b/>
                      <w:bCs/>
                      <w:color w:val="000000" w:themeColor="text1"/>
                      <w:szCs w:val="21"/>
                      <w:highlight w:val="none"/>
                      <w14:textFill>
                        <w14:solidFill>
                          <w14:schemeClr w14:val="tx1"/>
                        </w14:solidFill>
                      </w14:textFill>
                    </w:rPr>
                    <w:t>10</w:t>
                  </w:r>
                  <w:r>
                    <w:rPr>
                      <w:rFonts w:hint="eastAsia"/>
                      <w:b/>
                      <w:bCs/>
                      <w:color w:val="000000" w:themeColor="text1"/>
                      <w:szCs w:val="21"/>
                      <w:highlight w:val="none"/>
                      <w:lang w:val="en-US" w:eastAsia="zh-CN"/>
                      <w14:textFill>
                        <w14:solidFill>
                          <w14:schemeClr w14:val="tx1"/>
                        </w14:solidFill>
                      </w14:textFill>
                    </w:rPr>
                    <w:t>m</w:t>
                  </w:r>
                </w:p>
              </w:tc>
              <w:tc>
                <w:tcPr>
                  <w:tcW w:w="467" w:type="pct"/>
                  <w:vAlign w:val="center"/>
                </w:tcPr>
                <w:p w14:paraId="2C0B6862">
                  <w:pPr>
                    <w:jc w:val="center"/>
                    <w:rPr>
                      <w:rFonts w:hint="eastAsia" w:eastAsia="宋体"/>
                      <w:b/>
                      <w:bCs/>
                      <w:color w:val="000000" w:themeColor="text1"/>
                      <w:szCs w:val="21"/>
                      <w:highlight w:val="none"/>
                      <w:lang w:val="en-US" w:eastAsia="zh-CN"/>
                      <w14:textFill>
                        <w14:solidFill>
                          <w14:schemeClr w14:val="tx1"/>
                        </w14:solidFill>
                      </w14:textFill>
                    </w:rPr>
                  </w:pPr>
                  <w:r>
                    <w:rPr>
                      <w:b/>
                      <w:bCs/>
                      <w:color w:val="000000" w:themeColor="text1"/>
                      <w:szCs w:val="21"/>
                      <w:highlight w:val="none"/>
                      <w14:textFill>
                        <w14:solidFill>
                          <w14:schemeClr w14:val="tx1"/>
                        </w14:solidFill>
                      </w14:textFill>
                    </w:rPr>
                    <w:t>20</w:t>
                  </w:r>
                  <w:r>
                    <w:rPr>
                      <w:rFonts w:hint="eastAsia"/>
                      <w:b/>
                      <w:bCs/>
                      <w:color w:val="000000" w:themeColor="text1"/>
                      <w:szCs w:val="21"/>
                      <w:highlight w:val="none"/>
                      <w:lang w:val="en-US" w:eastAsia="zh-CN"/>
                      <w14:textFill>
                        <w14:solidFill>
                          <w14:schemeClr w14:val="tx1"/>
                        </w14:solidFill>
                      </w14:textFill>
                    </w:rPr>
                    <w:t>m</w:t>
                  </w:r>
                </w:p>
              </w:tc>
              <w:tc>
                <w:tcPr>
                  <w:tcW w:w="467" w:type="pct"/>
                  <w:vAlign w:val="center"/>
                </w:tcPr>
                <w:p w14:paraId="64284CA2">
                  <w:pPr>
                    <w:jc w:val="center"/>
                    <w:rPr>
                      <w:rFonts w:hint="eastAsia" w:eastAsia="宋体"/>
                      <w:b/>
                      <w:bCs/>
                      <w:color w:val="000000" w:themeColor="text1"/>
                      <w:szCs w:val="21"/>
                      <w:highlight w:val="none"/>
                      <w:lang w:val="en-US" w:eastAsia="zh-CN"/>
                      <w14:textFill>
                        <w14:solidFill>
                          <w14:schemeClr w14:val="tx1"/>
                        </w14:solidFill>
                      </w14:textFill>
                    </w:rPr>
                  </w:pPr>
                  <w:r>
                    <w:rPr>
                      <w:b/>
                      <w:bCs/>
                      <w:color w:val="000000" w:themeColor="text1"/>
                      <w:szCs w:val="21"/>
                      <w:highlight w:val="none"/>
                      <w14:textFill>
                        <w14:solidFill>
                          <w14:schemeClr w14:val="tx1"/>
                        </w14:solidFill>
                      </w14:textFill>
                    </w:rPr>
                    <w:t>40</w:t>
                  </w:r>
                  <w:r>
                    <w:rPr>
                      <w:rFonts w:hint="eastAsia"/>
                      <w:b/>
                      <w:bCs/>
                      <w:color w:val="000000" w:themeColor="text1"/>
                      <w:szCs w:val="21"/>
                      <w:highlight w:val="none"/>
                      <w:lang w:val="en-US" w:eastAsia="zh-CN"/>
                      <w14:textFill>
                        <w14:solidFill>
                          <w14:schemeClr w14:val="tx1"/>
                        </w14:solidFill>
                      </w14:textFill>
                    </w:rPr>
                    <w:t>m</w:t>
                  </w:r>
                </w:p>
              </w:tc>
              <w:tc>
                <w:tcPr>
                  <w:tcW w:w="467" w:type="pct"/>
                  <w:vAlign w:val="center"/>
                </w:tcPr>
                <w:p w14:paraId="1A16C492">
                  <w:pPr>
                    <w:jc w:val="center"/>
                    <w:rPr>
                      <w:rFonts w:hint="eastAsia" w:eastAsia="宋体"/>
                      <w:b/>
                      <w:bCs/>
                      <w:color w:val="000000" w:themeColor="text1"/>
                      <w:szCs w:val="21"/>
                      <w:highlight w:val="none"/>
                      <w:lang w:val="en-US" w:eastAsia="zh-CN"/>
                      <w14:textFill>
                        <w14:solidFill>
                          <w14:schemeClr w14:val="tx1"/>
                        </w14:solidFill>
                      </w14:textFill>
                    </w:rPr>
                  </w:pPr>
                  <w:r>
                    <w:rPr>
                      <w:b/>
                      <w:bCs/>
                      <w:color w:val="000000" w:themeColor="text1"/>
                      <w:szCs w:val="21"/>
                      <w:highlight w:val="none"/>
                      <w14:textFill>
                        <w14:solidFill>
                          <w14:schemeClr w14:val="tx1"/>
                        </w14:solidFill>
                      </w14:textFill>
                    </w:rPr>
                    <w:t>80</w:t>
                  </w:r>
                  <w:r>
                    <w:rPr>
                      <w:rFonts w:hint="eastAsia"/>
                      <w:b/>
                      <w:bCs/>
                      <w:color w:val="000000" w:themeColor="text1"/>
                      <w:szCs w:val="21"/>
                      <w:highlight w:val="none"/>
                      <w:lang w:val="en-US" w:eastAsia="zh-CN"/>
                      <w14:textFill>
                        <w14:solidFill>
                          <w14:schemeClr w14:val="tx1"/>
                        </w14:solidFill>
                      </w14:textFill>
                    </w:rPr>
                    <w:t>m</w:t>
                  </w:r>
                </w:p>
              </w:tc>
              <w:tc>
                <w:tcPr>
                  <w:tcW w:w="467" w:type="pct"/>
                  <w:vAlign w:val="center"/>
                </w:tcPr>
                <w:p w14:paraId="6CB2B9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
                      <w14:textFill>
                        <w14:solidFill>
                          <w14:schemeClr w14:val="tx1"/>
                        </w14:solidFill>
                      </w14:textFill>
                    </w:rPr>
                    <w:t>100m</w:t>
                  </w:r>
                </w:p>
              </w:tc>
              <w:tc>
                <w:tcPr>
                  <w:tcW w:w="470" w:type="pct"/>
                  <w:vAlign w:val="center"/>
                </w:tcPr>
                <w:p w14:paraId="2F5D06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
                      <w14:textFill>
                        <w14:solidFill>
                          <w14:schemeClr w14:val="tx1"/>
                        </w14:solidFill>
                      </w14:textFill>
                    </w:rPr>
                    <w:t>150m</w:t>
                  </w:r>
                </w:p>
              </w:tc>
            </w:tr>
            <w:tr w14:paraId="74CB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442" w:type="pct"/>
                  <w:vAlign w:val="center"/>
                </w:tcPr>
                <w:p w14:paraId="54EB111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推土机</w:t>
                  </w:r>
                </w:p>
              </w:tc>
              <w:tc>
                <w:tcPr>
                  <w:tcW w:w="751" w:type="pct"/>
                  <w:vAlign w:val="center"/>
                </w:tcPr>
                <w:p w14:paraId="27AC1ED2">
                  <w:pPr>
                    <w:jc w:val="center"/>
                    <w:rPr>
                      <w:color w:val="000000" w:themeColor="text1"/>
                      <w:szCs w:val="21"/>
                      <w:highlight w:val="none"/>
                      <w14:textFill>
                        <w14:solidFill>
                          <w14:schemeClr w14:val="tx1"/>
                        </w14:solidFill>
                      </w14:textFill>
                    </w:rPr>
                  </w:pPr>
                  <w:r>
                    <w:rPr>
                      <w:rFonts w:hint="eastAsia" w:cs="Times New Roman"/>
                      <w:color w:val="000000" w:themeColor="text1"/>
                      <w:kern w:val="2"/>
                      <w:sz w:val="21"/>
                      <w:szCs w:val="21"/>
                      <w:highlight w:val="none"/>
                      <w:lang w:val="en-US" w:eastAsia="zh-CN" w:bidi="ar"/>
                      <w14:textFill>
                        <w14:solidFill>
                          <w14:schemeClr w14:val="tx1"/>
                        </w14:solidFill>
                      </w14:textFill>
                    </w:rPr>
                    <w:t>88</w:t>
                  </w:r>
                </w:p>
              </w:tc>
              <w:tc>
                <w:tcPr>
                  <w:tcW w:w="467" w:type="pct"/>
                  <w:vAlign w:val="center"/>
                </w:tcPr>
                <w:p w14:paraId="2AFCFC82">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85</w:t>
                  </w:r>
                </w:p>
              </w:tc>
              <w:tc>
                <w:tcPr>
                  <w:tcW w:w="467" w:type="pct"/>
                  <w:vAlign w:val="center"/>
                </w:tcPr>
                <w:p w14:paraId="10C8044C">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79</w:t>
                  </w:r>
                </w:p>
              </w:tc>
              <w:tc>
                <w:tcPr>
                  <w:tcW w:w="467" w:type="pct"/>
                  <w:vAlign w:val="center"/>
                </w:tcPr>
                <w:p w14:paraId="1739CC88">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73</w:t>
                  </w:r>
                </w:p>
              </w:tc>
              <w:tc>
                <w:tcPr>
                  <w:tcW w:w="467" w:type="pct"/>
                  <w:vAlign w:val="center"/>
                </w:tcPr>
                <w:p w14:paraId="1E3FBE0C">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67</w:t>
                  </w:r>
                </w:p>
              </w:tc>
              <w:tc>
                <w:tcPr>
                  <w:tcW w:w="467" w:type="pct"/>
                  <w:vAlign w:val="center"/>
                </w:tcPr>
                <w:p w14:paraId="1F0652C2">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65</w:t>
                  </w:r>
                </w:p>
              </w:tc>
              <w:tc>
                <w:tcPr>
                  <w:tcW w:w="470" w:type="pct"/>
                  <w:vAlign w:val="center"/>
                </w:tcPr>
                <w:p w14:paraId="5C2122CB">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61</w:t>
                  </w:r>
                </w:p>
              </w:tc>
            </w:tr>
            <w:tr w14:paraId="4269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442" w:type="pct"/>
                  <w:vAlign w:val="center"/>
                </w:tcPr>
                <w:p w14:paraId="1E8483C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挖掘机</w:t>
                  </w:r>
                </w:p>
              </w:tc>
              <w:tc>
                <w:tcPr>
                  <w:tcW w:w="751" w:type="pct"/>
                  <w:vAlign w:val="center"/>
                </w:tcPr>
                <w:p w14:paraId="577E9506">
                  <w:pPr>
                    <w:jc w:val="center"/>
                    <w:rPr>
                      <w:color w:val="000000" w:themeColor="text1"/>
                      <w:szCs w:val="21"/>
                      <w:highlight w:val="none"/>
                      <w14:textFill>
                        <w14:solidFill>
                          <w14:schemeClr w14:val="tx1"/>
                        </w14:solidFill>
                      </w14:textFill>
                    </w:rPr>
                  </w:pPr>
                  <w:r>
                    <w:rPr>
                      <w:rFonts w:hint="eastAsia" w:cs="Times New Roman"/>
                      <w:color w:val="000000" w:themeColor="text1"/>
                      <w:kern w:val="2"/>
                      <w:sz w:val="21"/>
                      <w:szCs w:val="21"/>
                      <w:highlight w:val="none"/>
                      <w:lang w:val="en-US" w:eastAsia="zh-CN" w:bidi="ar"/>
                      <w14:textFill>
                        <w14:solidFill>
                          <w14:schemeClr w14:val="tx1"/>
                        </w14:solidFill>
                      </w14:textFill>
                    </w:rPr>
                    <w:t>90</w:t>
                  </w:r>
                </w:p>
              </w:tc>
              <w:tc>
                <w:tcPr>
                  <w:tcW w:w="467" w:type="pct"/>
                  <w:vAlign w:val="center"/>
                </w:tcPr>
                <w:p w14:paraId="05A3F403">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86</w:t>
                  </w:r>
                </w:p>
              </w:tc>
              <w:tc>
                <w:tcPr>
                  <w:tcW w:w="467" w:type="pct"/>
                  <w:vAlign w:val="center"/>
                </w:tcPr>
                <w:p w14:paraId="30E8E02E">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80</w:t>
                  </w:r>
                </w:p>
              </w:tc>
              <w:tc>
                <w:tcPr>
                  <w:tcW w:w="467" w:type="pct"/>
                  <w:vAlign w:val="center"/>
                </w:tcPr>
                <w:p w14:paraId="7DFFC57B">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74</w:t>
                  </w:r>
                </w:p>
              </w:tc>
              <w:tc>
                <w:tcPr>
                  <w:tcW w:w="467" w:type="pct"/>
                  <w:vAlign w:val="center"/>
                </w:tcPr>
                <w:p w14:paraId="0E71B021">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68</w:t>
                  </w:r>
                </w:p>
              </w:tc>
              <w:tc>
                <w:tcPr>
                  <w:tcW w:w="467" w:type="pct"/>
                  <w:vAlign w:val="center"/>
                </w:tcPr>
                <w:p w14:paraId="6B95208A">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66</w:t>
                  </w:r>
                </w:p>
              </w:tc>
              <w:tc>
                <w:tcPr>
                  <w:tcW w:w="470" w:type="pct"/>
                  <w:vAlign w:val="center"/>
                </w:tcPr>
                <w:p w14:paraId="23385F64">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62</w:t>
                  </w:r>
                </w:p>
              </w:tc>
            </w:tr>
            <w:tr w14:paraId="34BE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442" w:type="pct"/>
                  <w:vAlign w:val="center"/>
                </w:tcPr>
                <w:p w14:paraId="2C09BEF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装载机</w:t>
                  </w:r>
                </w:p>
              </w:tc>
              <w:tc>
                <w:tcPr>
                  <w:tcW w:w="751" w:type="pct"/>
                  <w:vAlign w:val="center"/>
                </w:tcPr>
                <w:p w14:paraId="0C7283A7">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95</w:t>
                  </w:r>
                </w:p>
              </w:tc>
              <w:tc>
                <w:tcPr>
                  <w:tcW w:w="467" w:type="pct"/>
                  <w:vAlign w:val="center"/>
                </w:tcPr>
                <w:p w14:paraId="3B6AEFDB">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91</w:t>
                  </w:r>
                </w:p>
              </w:tc>
              <w:tc>
                <w:tcPr>
                  <w:tcW w:w="467" w:type="pct"/>
                  <w:vAlign w:val="center"/>
                </w:tcPr>
                <w:p w14:paraId="5E4E98A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85</w:t>
                  </w:r>
                </w:p>
              </w:tc>
              <w:tc>
                <w:tcPr>
                  <w:tcW w:w="467" w:type="pct"/>
                  <w:vAlign w:val="center"/>
                </w:tcPr>
                <w:p w14:paraId="0F75A71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79</w:t>
                  </w:r>
                </w:p>
              </w:tc>
              <w:tc>
                <w:tcPr>
                  <w:tcW w:w="467" w:type="pct"/>
                  <w:vAlign w:val="center"/>
                </w:tcPr>
                <w:p w14:paraId="53DBC7B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73</w:t>
                  </w:r>
                </w:p>
              </w:tc>
              <w:tc>
                <w:tcPr>
                  <w:tcW w:w="467" w:type="pct"/>
                  <w:vAlign w:val="center"/>
                </w:tcPr>
                <w:p w14:paraId="2218E44D">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71</w:t>
                  </w:r>
                </w:p>
              </w:tc>
              <w:tc>
                <w:tcPr>
                  <w:tcW w:w="470" w:type="pct"/>
                  <w:vAlign w:val="center"/>
                </w:tcPr>
                <w:p w14:paraId="4F7BB2B9">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67</w:t>
                  </w:r>
                </w:p>
              </w:tc>
            </w:tr>
            <w:tr w14:paraId="4DE9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442" w:type="pct"/>
                  <w:vAlign w:val="center"/>
                </w:tcPr>
                <w:p w14:paraId="7E2A2E6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运输车辆</w:t>
                  </w:r>
                </w:p>
              </w:tc>
              <w:tc>
                <w:tcPr>
                  <w:tcW w:w="751" w:type="pct"/>
                  <w:vAlign w:val="center"/>
                </w:tcPr>
                <w:p w14:paraId="4EEF37C2">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90</w:t>
                  </w:r>
                </w:p>
              </w:tc>
              <w:tc>
                <w:tcPr>
                  <w:tcW w:w="467" w:type="pct"/>
                  <w:vAlign w:val="center"/>
                </w:tcPr>
                <w:p w14:paraId="074DBB70">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86</w:t>
                  </w:r>
                </w:p>
              </w:tc>
              <w:tc>
                <w:tcPr>
                  <w:tcW w:w="467" w:type="pct"/>
                  <w:vAlign w:val="center"/>
                </w:tcPr>
                <w:p w14:paraId="76D185C7">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80</w:t>
                  </w:r>
                </w:p>
              </w:tc>
              <w:tc>
                <w:tcPr>
                  <w:tcW w:w="467" w:type="pct"/>
                  <w:vAlign w:val="center"/>
                </w:tcPr>
                <w:p w14:paraId="1762BB99">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74</w:t>
                  </w:r>
                </w:p>
              </w:tc>
              <w:tc>
                <w:tcPr>
                  <w:tcW w:w="467" w:type="pct"/>
                  <w:vAlign w:val="center"/>
                </w:tcPr>
                <w:p w14:paraId="1748BE7C">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68</w:t>
                  </w:r>
                </w:p>
              </w:tc>
              <w:tc>
                <w:tcPr>
                  <w:tcW w:w="467" w:type="pct"/>
                  <w:vAlign w:val="center"/>
                </w:tcPr>
                <w:p w14:paraId="44987CE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66</w:t>
                  </w:r>
                </w:p>
              </w:tc>
              <w:tc>
                <w:tcPr>
                  <w:tcW w:w="470" w:type="pct"/>
                  <w:vAlign w:val="center"/>
                </w:tcPr>
                <w:p w14:paraId="1BD54687">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62</w:t>
                  </w:r>
                </w:p>
              </w:tc>
            </w:tr>
            <w:tr w14:paraId="3123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442" w:type="pct"/>
                  <w:vAlign w:val="center"/>
                </w:tcPr>
                <w:p w14:paraId="3CC541D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混凝土搅拌车</w:t>
                  </w:r>
                </w:p>
              </w:tc>
              <w:tc>
                <w:tcPr>
                  <w:tcW w:w="751" w:type="pct"/>
                  <w:vAlign w:val="center"/>
                </w:tcPr>
                <w:p w14:paraId="43936F76">
                  <w:pPr>
                    <w:jc w:val="center"/>
                    <w:rPr>
                      <w:color w:val="000000" w:themeColor="text1"/>
                      <w:szCs w:val="21"/>
                      <w:highlight w:val="none"/>
                      <w14:textFill>
                        <w14:solidFill>
                          <w14:schemeClr w14:val="tx1"/>
                        </w14:solidFill>
                      </w14:textFill>
                    </w:rPr>
                  </w:pPr>
                  <w:r>
                    <w:rPr>
                      <w:rFonts w:hint="eastAsia" w:cs="Times New Roman"/>
                      <w:color w:val="000000" w:themeColor="text1"/>
                      <w:kern w:val="2"/>
                      <w:sz w:val="21"/>
                      <w:szCs w:val="21"/>
                      <w:highlight w:val="none"/>
                      <w:lang w:val="en-US" w:eastAsia="zh-CN" w:bidi="ar"/>
                      <w14:textFill>
                        <w14:solidFill>
                          <w14:schemeClr w14:val="tx1"/>
                        </w14:solidFill>
                      </w14:textFill>
                    </w:rPr>
                    <w:t>90</w:t>
                  </w:r>
                </w:p>
              </w:tc>
              <w:tc>
                <w:tcPr>
                  <w:tcW w:w="467" w:type="pct"/>
                  <w:vAlign w:val="center"/>
                </w:tcPr>
                <w:p w14:paraId="7F50C985">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84</w:t>
                  </w:r>
                </w:p>
              </w:tc>
              <w:tc>
                <w:tcPr>
                  <w:tcW w:w="467" w:type="pct"/>
                  <w:vAlign w:val="center"/>
                </w:tcPr>
                <w:p w14:paraId="7CEE67A6">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78</w:t>
                  </w:r>
                </w:p>
              </w:tc>
              <w:tc>
                <w:tcPr>
                  <w:tcW w:w="467" w:type="pct"/>
                  <w:vAlign w:val="center"/>
                </w:tcPr>
                <w:p w14:paraId="096AFAF4">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72</w:t>
                  </w:r>
                </w:p>
              </w:tc>
              <w:tc>
                <w:tcPr>
                  <w:tcW w:w="467" w:type="pct"/>
                  <w:vAlign w:val="center"/>
                </w:tcPr>
                <w:p w14:paraId="14A20422">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66</w:t>
                  </w:r>
                </w:p>
              </w:tc>
              <w:tc>
                <w:tcPr>
                  <w:tcW w:w="467" w:type="pct"/>
                  <w:vAlign w:val="center"/>
                </w:tcPr>
                <w:p w14:paraId="111047ED">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64</w:t>
                  </w:r>
                </w:p>
              </w:tc>
              <w:tc>
                <w:tcPr>
                  <w:tcW w:w="470" w:type="pct"/>
                  <w:vAlign w:val="center"/>
                </w:tcPr>
                <w:p w14:paraId="206B993A">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60</w:t>
                  </w:r>
                </w:p>
              </w:tc>
            </w:tr>
            <w:tr w14:paraId="33D9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442" w:type="pct"/>
                  <w:vAlign w:val="center"/>
                </w:tcPr>
                <w:p w14:paraId="472AFCB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空压机</w:t>
                  </w:r>
                </w:p>
              </w:tc>
              <w:tc>
                <w:tcPr>
                  <w:tcW w:w="751" w:type="pct"/>
                  <w:vAlign w:val="center"/>
                </w:tcPr>
                <w:p w14:paraId="5E80781E">
                  <w:pPr>
                    <w:jc w:val="center"/>
                    <w:rPr>
                      <w:color w:val="000000" w:themeColor="text1"/>
                      <w:szCs w:val="21"/>
                      <w:highlight w:val="none"/>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92</w:t>
                  </w:r>
                </w:p>
              </w:tc>
              <w:tc>
                <w:tcPr>
                  <w:tcW w:w="467" w:type="pct"/>
                  <w:vAlign w:val="center"/>
                </w:tcPr>
                <w:p w14:paraId="6C3A39E9">
                  <w:pPr>
                    <w:jc w:val="center"/>
                    <w:rPr>
                      <w:rFonts w:hint="default" w:eastAsia="宋体"/>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88</w:t>
                  </w:r>
                </w:p>
              </w:tc>
              <w:tc>
                <w:tcPr>
                  <w:tcW w:w="467" w:type="pct"/>
                  <w:vAlign w:val="center"/>
                </w:tcPr>
                <w:p w14:paraId="792FB491">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82</w:t>
                  </w:r>
                </w:p>
              </w:tc>
              <w:tc>
                <w:tcPr>
                  <w:tcW w:w="467" w:type="pct"/>
                  <w:vAlign w:val="center"/>
                </w:tcPr>
                <w:p w14:paraId="7C469406">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76</w:t>
                  </w:r>
                </w:p>
              </w:tc>
              <w:tc>
                <w:tcPr>
                  <w:tcW w:w="467" w:type="pct"/>
                  <w:vAlign w:val="center"/>
                </w:tcPr>
                <w:p w14:paraId="2108D0DC">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70</w:t>
                  </w:r>
                </w:p>
              </w:tc>
              <w:tc>
                <w:tcPr>
                  <w:tcW w:w="467" w:type="pct"/>
                  <w:vAlign w:val="center"/>
                </w:tcPr>
                <w:p w14:paraId="638D4764">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68</w:t>
                  </w:r>
                </w:p>
              </w:tc>
              <w:tc>
                <w:tcPr>
                  <w:tcW w:w="470" w:type="pct"/>
                  <w:vAlign w:val="center"/>
                </w:tcPr>
                <w:p w14:paraId="7CF295FA">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64</w:t>
                  </w:r>
                </w:p>
              </w:tc>
            </w:tr>
            <w:tr w14:paraId="51AA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442" w:type="pct"/>
                  <w:vAlign w:val="center"/>
                </w:tcPr>
                <w:p w14:paraId="6D2DE8C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混凝土泵</w:t>
                  </w:r>
                </w:p>
              </w:tc>
              <w:tc>
                <w:tcPr>
                  <w:tcW w:w="751" w:type="pct"/>
                  <w:vAlign w:val="center"/>
                </w:tcPr>
                <w:p w14:paraId="1B8C9226">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95</w:t>
                  </w:r>
                </w:p>
              </w:tc>
              <w:tc>
                <w:tcPr>
                  <w:tcW w:w="467" w:type="pct"/>
                  <w:vAlign w:val="center"/>
                </w:tcPr>
                <w:p w14:paraId="76AD7A59">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90</w:t>
                  </w:r>
                </w:p>
              </w:tc>
              <w:tc>
                <w:tcPr>
                  <w:tcW w:w="467" w:type="pct"/>
                  <w:vAlign w:val="center"/>
                </w:tcPr>
                <w:p w14:paraId="02B2A6D0">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84</w:t>
                  </w:r>
                </w:p>
              </w:tc>
              <w:tc>
                <w:tcPr>
                  <w:tcW w:w="467" w:type="pct"/>
                  <w:vAlign w:val="center"/>
                </w:tcPr>
                <w:p w14:paraId="540300D6">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78</w:t>
                  </w:r>
                </w:p>
              </w:tc>
              <w:tc>
                <w:tcPr>
                  <w:tcW w:w="467" w:type="pct"/>
                  <w:vAlign w:val="center"/>
                </w:tcPr>
                <w:p w14:paraId="7152D8BA">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72</w:t>
                  </w:r>
                </w:p>
              </w:tc>
              <w:tc>
                <w:tcPr>
                  <w:tcW w:w="467" w:type="pct"/>
                  <w:vAlign w:val="center"/>
                </w:tcPr>
                <w:p w14:paraId="1D127182">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70</w:t>
                  </w:r>
                </w:p>
              </w:tc>
              <w:tc>
                <w:tcPr>
                  <w:tcW w:w="470" w:type="pct"/>
                  <w:vAlign w:val="center"/>
                </w:tcPr>
                <w:p w14:paraId="7FB74FED">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66</w:t>
                  </w:r>
                </w:p>
              </w:tc>
            </w:tr>
          </w:tbl>
          <w:p w14:paraId="3FDAF012">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施工期噪声评价标准采用《建筑施工噪声排放标准》</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GB12523-20</w:t>
            </w:r>
            <w:r>
              <w:rPr>
                <w:rFonts w:hint="eastAsia"/>
                <w:color w:val="000000" w:themeColor="text1"/>
                <w:sz w:val="24"/>
                <w:highlight w:val="none"/>
                <w:lang w:val="en-US" w:eastAsia="zh-CN"/>
                <w14:textFill>
                  <w14:solidFill>
                    <w14:schemeClr w14:val="tx1"/>
                  </w14:solidFill>
                </w14:textFill>
              </w:rPr>
              <w:t>25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，具体标准限值，见下表。</w:t>
            </w:r>
          </w:p>
          <w:p w14:paraId="1B073D44">
            <w:pPr>
              <w:snapToGrid w:val="0"/>
              <w:jc w:val="cente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 xml:space="preserve">表4-2  </w:t>
            </w:r>
            <w:r>
              <w:rPr>
                <w:rFonts w:hint="eastAsia"/>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建筑施工噪声排放标准</w:t>
            </w:r>
            <w:r>
              <w:rPr>
                <w:rFonts w:hint="eastAsia"/>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GB12523-20</w:t>
            </w:r>
            <w:r>
              <w:rPr>
                <w:rFonts w:hint="eastAsia"/>
                <w:b/>
                <w:bCs/>
                <w:color w:val="000000" w:themeColor="text1"/>
                <w:sz w:val="24"/>
                <w:highlight w:val="none"/>
                <w:lang w:val="en-US" w:eastAsia="zh-CN"/>
                <w14:textFill>
                  <w14:solidFill>
                    <w14:schemeClr w14:val="tx1"/>
                  </w14:solidFill>
                </w14:textFill>
              </w:rPr>
              <w:t>25</w:t>
            </w:r>
            <w:r>
              <w:rPr>
                <w:rFonts w:hint="eastAsia"/>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 xml:space="preserve"> </w:t>
            </w:r>
            <w:r>
              <w:rPr>
                <w:rFonts w:hint="eastAsia"/>
                <w:b/>
                <w:bCs/>
                <w:color w:val="000000" w:themeColor="text1"/>
                <w:sz w:val="24"/>
                <w:highlight w:val="none"/>
                <w14:textFill>
                  <w14:solidFill>
                    <w14:schemeClr w14:val="tx1"/>
                  </w14:solidFill>
                </w14:textFill>
              </w:rPr>
              <w:t xml:space="preserve"> </w:t>
            </w:r>
            <w:r>
              <w:rPr>
                <w:b/>
                <w:bCs/>
                <w:color w:val="000000" w:themeColor="text1"/>
                <w:sz w:val="24"/>
                <w:highlight w:val="none"/>
                <w14:textFill>
                  <w14:solidFill>
                    <w14:schemeClr w14:val="tx1"/>
                  </w14:solidFill>
                </w14:textFill>
              </w:rPr>
              <w:t>单位：dB(A)</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8"/>
              <w:gridCol w:w="4069"/>
            </w:tblGrid>
            <w:tr w14:paraId="21E1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068" w:type="dxa"/>
                  <w:vAlign w:val="center"/>
                </w:tcPr>
                <w:p w14:paraId="5BCAE3A9">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昼间</w:t>
                  </w:r>
                </w:p>
              </w:tc>
              <w:tc>
                <w:tcPr>
                  <w:tcW w:w="4069" w:type="dxa"/>
                  <w:vAlign w:val="center"/>
                </w:tcPr>
                <w:p w14:paraId="09281168">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夜间</w:t>
                  </w:r>
                </w:p>
              </w:tc>
            </w:tr>
            <w:tr w14:paraId="275B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068" w:type="dxa"/>
                  <w:vAlign w:val="center"/>
                </w:tcPr>
                <w:p w14:paraId="6B3C672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70</w:t>
                  </w:r>
                </w:p>
              </w:tc>
              <w:tc>
                <w:tcPr>
                  <w:tcW w:w="4069" w:type="dxa"/>
                  <w:vAlign w:val="center"/>
                </w:tcPr>
                <w:p w14:paraId="4B2E6E8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55</w:t>
                  </w:r>
                </w:p>
              </w:tc>
            </w:tr>
          </w:tbl>
          <w:p w14:paraId="189E9168">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由表4-1、表4-2可知，施工噪声值昼间在距声源</w:t>
            </w:r>
            <w:r>
              <w:rPr>
                <w:rFonts w:hint="eastAsia"/>
                <w:color w:val="000000" w:themeColor="text1"/>
                <w:sz w:val="24"/>
                <w:highlight w:val="none"/>
                <w:lang w:val="en-US" w:eastAsia="zh-CN"/>
                <w14:textFill>
                  <w14:solidFill>
                    <w14:schemeClr w14:val="tx1"/>
                  </w14:solidFill>
                </w14:textFill>
              </w:rPr>
              <w:t>100</w:t>
            </w:r>
            <w:r>
              <w:rPr>
                <w:color w:val="000000" w:themeColor="text1"/>
                <w:sz w:val="24"/>
                <w:highlight w:val="none"/>
                <w14:textFill>
                  <w14:solidFill>
                    <w14:schemeClr w14:val="tx1"/>
                  </w14:solidFill>
                </w14:textFill>
              </w:rPr>
              <w:t>m处即可满足《建筑施工噪声排放标准》</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GB12523-20</w:t>
            </w:r>
            <w:r>
              <w:rPr>
                <w:rFonts w:hint="eastAsia"/>
                <w:color w:val="000000" w:themeColor="text1"/>
                <w:sz w:val="24"/>
                <w:highlight w:val="none"/>
                <w:lang w:val="en-US" w:eastAsia="zh-CN"/>
                <w14:textFill>
                  <w14:solidFill>
                    <w14:schemeClr w14:val="tx1"/>
                  </w14:solidFill>
                </w14:textFill>
              </w:rPr>
              <w:t>25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的要求。</w:t>
            </w:r>
          </w:p>
          <w:p w14:paraId="4F4EA20D">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本项目施工大部分安排在白天，同时，施工过程中需合理安排施工活动，减少施工噪声影响时间；选择低噪声施工设施，避免强噪声施工机械在同一区域内同时使用。故施工期噪声对周围环境较小。</w:t>
            </w:r>
          </w:p>
          <w:p w14:paraId="6C77FE1E">
            <w:pPr>
              <w:snapToGrid w:val="0"/>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w:t>
            </w:r>
            <w:r>
              <w:rPr>
                <w:b/>
                <w:bCs/>
                <w:color w:val="000000" w:themeColor="text1"/>
                <w:sz w:val="24"/>
                <w:highlight w:val="none"/>
                <w14:textFill>
                  <w14:solidFill>
                    <w14:schemeClr w14:val="tx1"/>
                  </w14:solidFill>
                </w14:textFill>
              </w:rPr>
              <w:t>固体废物对环境的影响</w:t>
            </w:r>
          </w:p>
          <w:p w14:paraId="01047D99">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本项目施工过程中不产生弃土方，所有挖方均用于回填。</w:t>
            </w:r>
            <w:r>
              <w:rPr>
                <w:color w:val="000000" w:themeColor="text1"/>
                <w:sz w:val="24"/>
                <w:highlight w:val="none"/>
                <w14:textFill>
                  <w14:solidFill>
                    <w14:schemeClr w14:val="tx1"/>
                  </w14:solidFill>
                </w14:textFill>
              </w:rPr>
              <w:t>施工期产生的固体废物主要为</w:t>
            </w:r>
            <w:r>
              <w:rPr>
                <w:rFonts w:hint="eastAsia"/>
                <w:color w:val="000000" w:themeColor="text1"/>
                <w:sz w:val="24"/>
                <w:highlight w:val="none"/>
                <w14:textFill>
                  <w14:solidFill>
                    <w14:schemeClr w14:val="tx1"/>
                  </w14:solidFill>
                </w14:textFill>
              </w:rPr>
              <w:t>建筑垃圾</w:t>
            </w:r>
            <w:r>
              <w:rPr>
                <w:color w:val="000000" w:themeColor="text1"/>
                <w:sz w:val="24"/>
                <w:highlight w:val="none"/>
                <w14:textFill>
                  <w14:solidFill>
                    <w14:schemeClr w14:val="tx1"/>
                  </w14:solidFill>
                </w14:textFill>
              </w:rPr>
              <w:t>和施工人员产生的生活垃圾。</w:t>
            </w:r>
          </w:p>
          <w:p w14:paraId="5BE4651F">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建筑垃圾</w:t>
            </w:r>
          </w:p>
          <w:p w14:paraId="1BA62D5C">
            <w:pPr>
              <w:snapToGrid w:val="0"/>
              <w:spacing w:line="360" w:lineRule="auto"/>
              <w:ind w:firstLine="480" w:firstLineChars="200"/>
              <w:rPr>
                <w:rFonts w:hint="default" w:eastAsia="宋体"/>
                <w:bCs/>
                <w:color w:val="000000" w:themeColor="text1"/>
                <w:sz w:val="24"/>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施工过程中</w:t>
            </w:r>
            <w:r>
              <w:rPr>
                <w:rFonts w:hint="eastAsia"/>
                <w:bCs/>
                <w:color w:val="000000" w:themeColor="text1"/>
                <w:sz w:val="24"/>
                <w:highlight w:val="none"/>
                <w14:textFill>
                  <w14:solidFill>
                    <w14:schemeClr w14:val="tx1"/>
                  </w14:solidFill>
                </w14:textFill>
              </w:rPr>
              <w:t>会</w:t>
            </w:r>
            <w:r>
              <w:rPr>
                <w:bCs/>
                <w:color w:val="000000" w:themeColor="text1"/>
                <w:sz w:val="24"/>
                <w:highlight w:val="none"/>
                <w14:textFill>
                  <w14:solidFill>
                    <w14:schemeClr w14:val="tx1"/>
                  </w14:solidFill>
                </w14:textFill>
              </w:rPr>
              <w:t>产生废钢筋、各种废钢配件、金属管线废料等废弃物，在工程完成后，会残留不少废建筑材料，这些都属于建筑垃圾</w:t>
            </w:r>
            <w:r>
              <w:rPr>
                <w:rFonts w:hint="eastAsia"/>
                <w:bCs/>
                <w:color w:val="000000" w:themeColor="text1"/>
                <w:sz w:val="24"/>
                <w:highlight w:val="none"/>
                <w14:textFill>
                  <w14:solidFill>
                    <w14:schemeClr w14:val="tx1"/>
                  </w14:solidFill>
                </w14:textFill>
              </w:rPr>
              <w:t>，预计产生建筑垃圾约为5t</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根据《固体废物分类与代码目录》（生态环境部公告 2024年第4号），本项目施工期建筑垃圾固废代码是：SW900-001-S72，非特定行业，工程垃圾：各类建筑物、构筑物等建设过程中产生的弃料。</w:t>
            </w:r>
            <w:r>
              <w:rPr>
                <w:rFonts w:hint="eastAsia"/>
                <w:bCs/>
                <w:color w:val="000000" w:themeColor="text1"/>
                <w:sz w:val="24"/>
                <w:highlight w:val="none"/>
                <w:lang w:val="en-US" w:eastAsia="zh-CN"/>
                <w14:textFill>
                  <w14:solidFill>
                    <w14:schemeClr w14:val="tx1"/>
                  </w14:solidFill>
                </w14:textFill>
              </w:rPr>
              <w:t>此部分建筑材料属于可回收资源，分类收集后外售废品收购单位进行资源化利用。</w:t>
            </w:r>
          </w:p>
          <w:p w14:paraId="1AF38EDE">
            <w:pPr>
              <w:widowControl/>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）生活垃圾</w:t>
            </w:r>
          </w:p>
          <w:p w14:paraId="6A68EBC4">
            <w:pPr>
              <w:widowControl/>
              <w:snapToGrid w:val="0"/>
              <w:spacing w:line="360" w:lineRule="auto"/>
              <w:ind w:firstLine="480" w:firstLineChars="200"/>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本项目每日平均施工人员约</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0人，施工期为</w:t>
            </w:r>
            <w:r>
              <w:rPr>
                <w:rFonts w:hint="eastAsia"/>
                <w:color w:val="000000" w:themeColor="text1"/>
                <w:sz w:val="24"/>
                <w:highlight w:val="none"/>
                <w14:textFill>
                  <w14:solidFill>
                    <w14:schemeClr w14:val="tx1"/>
                  </w14:solidFill>
                </w14:textFill>
              </w:rPr>
              <w:t>12</w:t>
            </w:r>
            <w:r>
              <w:rPr>
                <w:color w:val="000000" w:themeColor="text1"/>
                <w:sz w:val="24"/>
                <w:highlight w:val="none"/>
                <w14:textFill>
                  <w14:solidFill>
                    <w14:schemeClr w14:val="tx1"/>
                  </w14:solidFill>
                </w14:textFill>
              </w:rPr>
              <w:t>个月</w:t>
            </w:r>
            <w:r>
              <w:rPr>
                <w:rFonts w:hint="eastAsia"/>
                <w:color w:val="000000" w:themeColor="text1"/>
                <w:sz w:val="24"/>
                <w:highlight w:val="none"/>
                <w14:textFill>
                  <w14:solidFill>
                    <w14:schemeClr w14:val="tx1"/>
                  </w14:solidFill>
                </w14:textFill>
              </w:rPr>
              <w:t>（365</w:t>
            </w:r>
            <w:r>
              <w:rPr>
                <w:color w:val="000000" w:themeColor="text1"/>
                <w:sz w:val="24"/>
                <w:highlight w:val="none"/>
                <w14:textFill>
                  <w14:solidFill>
                    <w14:schemeClr w14:val="tx1"/>
                  </w14:solidFill>
                </w14:textFill>
              </w:rPr>
              <w:t>天</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color w:val="000000" w:themeColor="text1"/>
                <w:kern w:val="24"/>
                <w:sz w:val="24"/>
                <w:highlight w:val="none"/>
                <w14:textFill>
                  <w14:solidFill>
                    <w14:schemeClr w14:val="tx1"/>
                  </w14:solidFill>
                </w14:textFill>
              </w:rPr>
              <w:t>生活垃圾按</w:t>
            </w:r>
            <w:r>
              <w:rPr>
                <w:color w:val="000000" w:themeColor="text1"/>
                <w:sz w:val="24"/>
                <w:highlight w:val="none"/>
                <w14:textFill>
                  <w14:solidFill>
                    <w14:schemeClr w14:val="tx1"/>
                  </w14:solidFill>
                </w14:textFill>
              </w:rPr>
              <w:t>0.</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kg/人·d计算，则施工期产生的垃圾总量约</w:t>
            </w:r>
            <w:r>
              <w:rPr>
                <w:rFonts w:hint="eastAsia"/>
                <w:color w:val="000000" w:themeColor="text1"/>
                <w:sz w:val="24"/>
                <w:highlight w:val="none"/>
                <w14:textFill>
                  <w14:solidFill>
                    <w14:schemeClr w14:val="tx1"/>
                  </w14:solidFill>
                </w14:textFill>
              </w:rPr>
              <w:t>9.125</w:t>
            </w:r>
            <w:r>
              <w:rPr>
                <w:color w:val="000000" w:themeColor="text1"/>
                <w:sz w:val="24"/>
                <w:highlight w:val="none"/>
                <w14:textFill>
                  <w14:solidFill>
                    <w14:schemeClr w14:val="tx1"/>
                  </w14:solidFill>
                </w14:textFill>
              </w:rPr>
              <w:t>t。生活垃圾集中收集放置在</w:t>
            </w:r>
            <w:r>
              <w:rPr>
                <w:rFonts w:hint="eastAsia"/>
                <w:color w:val="000000" w:themeColor="text1"/>
                <w:sz w:val="24"/>
                <w:highlight w:val="none"/>
                <w14:textFill>
                  <w14:solidFill>
                    <w14:schemeClr w14:val="tx1"/>
                  </w14:solidFill>
                </w14:textFill>
              </w:rPr>
              <w:t>项目</w:t>
            </w:r>
            <w:r>
              <w:rPr>
                <w:color w:val="000000" w:themeColor="text1"/>
                <w:sz w:val="24"/>
                <w:highlight w:val="none"/>
                <w14:textFill>
                  <w14:solidFill>
                    <w14:schemeClr w14:val="tx1"/>
                  </w14:solidFill>
                </w14:textFill>
              </w:rPr>
              <w:t>施工营地垃圾收集</w:t>
            </w:r>
            <w:r>
              <w:rPr>
                <w:rFonts w:hint="eastAsia"/>
                <w:color w:val="000000" w:themeColor="text1"/>
                <w:sz w:val="24"/>
                <w:highlight w:val="none"/>
                <w:lang w:val="en-US" w:eastAsia="zh-CN"/>
                <w14:textFill>
                  <w14:solidFill>
                    <w14:schemeClr w14:val="tx1"/>
                  </w14:solidFill>
                </w14:textFill>
              </w:rPr>
              <w:t>桶</w:t>
            </w:r>
            <w:r>
              <w:rPr>
                <w:color w:val="000000" w:themeColor="text1"/>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集中统一运至就近的转运站，最终送</w:t>
            </w:r>
            <w:r>
              <w:rPr>
                <w:rFonts w:hint="eastAsia"/>
                <w:color w:val="000000" w:themeColor="text1"/>
                <w:kern w:val="0"/>
                <w:sz w:val="24"/>
                <w:highlight w:val="none"/>
                <w14:textFill>
                  <w14:solidFill>
                    <w14:schemeClr w14:val="tx1"/>
                  </w14:solidFill>
                </w14:textFill>
              </w:rPr>
              <w:t>至就近</w:t>
            </w:r>
            <w:r>
              <w:rPr>
                <w:color w:val="000000" w:themeColor="text1"/>
                <w:kern w:val="0"/>
                <w:sz w:val="24"/>
                <w:highlight w:val="none"/>
                <w14:textFill>
                  <w14:solidFill>
                    <w14:schemeClr w14:val="tx1"/>
                  </w14:solidFill>
                </w14:textFill>
              </w:rPr>
              <w:t>生活垃圾填埋场处理。</w:t>
            </w:r>
          </w:p>
          <w:p w14:paraId="317E7231">
            <w:pPr>
              <w:adjustRightInd w:val="0"/>
              <w:snapToGrid w:val="0"/>
              <w:spacing w:line="360" w:lineRule="auto"/>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5生态环境影响分析</w:t>
            </w:r>
          </w:p>
          <w:p w14:paraId="60DF65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1" w:lineRule="auto"/>
              <w:ind w:left="0" w:right="0" w:firstLine="480" w:firstLineChars="200"/>
              <w:textAlignment w:val="auto"/>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根据工程建设和运行特点，结合各环境影响因子的重要性和可能受影响的程度，施工期对生态的影响主要表现在：</w:t>
            </w:r>
          </w:p>
          <w:p w14:paraId="7C0524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1" w:lineRule="auto"/>
              <w:ind w:left="0" w:right="0" w:firstLine="480" w:firstLineChars="200"/>
              <w:textAlignment w:val="auto"/>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1）站址施工影响分析：主要生态影响表现在对地表的扰动，地表全部破坏，原地表土壤生态系统发生不可逆转变。只有科学地安排施工，做好施工区临时和永久防护措施，才能将人为活动引起的水土流失减至最小。</w:t>
            </w:r>
          </w:p>
          <w:p w14:paraId="6E600F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1" w:lineRule="auto"/>
              <w:ind w:left="0" w:right="0" w:firstLine="480" w:firstLineChars="200"/>
              <w:textAlignment w:val="auto"/>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2）线路施工影响分析：对生态环境影响主要是线路塔基将原有用地改为建设用地，杆塔地基开挖使土壤翻动而影响土壤的结构，破坏了原有的地表植被，增大了地表裸露面积，易造成局部水土流失加剧，对野生生物产生一定负面影响，对具有较强迁徙能力的动物影响较小。</w:t>
            </w:r>
          </w:p>
          <w:p w14:paraId="53D39046">
            <w:p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5.1土地利用的影响</w:t>
            </w:r>
          </w:p>
          <w:p w14:paraId="4EA6F5E9">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本项目施工过程中的基础开挖对土地造成扰动影响，堆填土石方等工程可能引起水土流失。基础开挖占地等临时占地，将破坏原有地表形态，引起水土流失量增加。要求在</w:t>
            </w:r>
            <w:r>
              <w:rPr>
                <w:rFonts w:hint="eastAsia"/>
                <w:color w:val="000000" w:themeColor="text1"/>
                <w:sz w:val="24"/>
                <w:highlight w:val="none"/>
                <w:lang w:val="en-US" w:eastAsia="zh-CN"/>
                <w14:textFill>
                  <w14:solidFill>
                    <w14:schemeClr w14:val="tx1"/>
                  </w14:solidFill>
                </w14:textFill>
              </w:rPr>
              <w:t>储能升压</w:t>
            </w:r>
            <w:r>
              <w:rPr>
                <w:rFonts w:hint="eastAsia"/>
                <w:color w:val="000000" w:themeColor="text1"/>
                <w:sz w:val="24"/>
                <w:highlight w:val="none"/>
                <w14:textFill>
                  <w14:solidFill>
                    <w14:schemeClr w14:val="tx1"/>
                  </w14:solidFill>
                </w14:textFill>
              </w:rPr>
              <w:t>站设备基础</w:t>
            </w:r>
            <w:r>
              <w:rPr>
                <w:color w:val="000000" w:themeColor="text1"/>
                <w:sz w:val="24"/>
                <w:highlight w:val="none"/>
                <w14:textFill>
                  <w14:solidFill>
                    <w14:schemeClr w14:val="tx1"/>
                  </w14:solidFill>
                </w14:textFill>
              </w:rPr>
              <w:t>开挖过程中尽量减少对周围土地的扰动，临时弃土合理堆放，</w:t>
            </w:r>
            <w:r>
              <w:rPr>
                <w:rFonts w:hint="eastAsia"/>
                <w:color w:val="000000" w:themeColor="text1"/>
                <w:sz w:val="24"/>
                <w:highlight w:val="none"/>
                <w14:textFill>
                  <w14:solidFill>
                    <w14:schemeClr w14:val="tx1"/>
                  </w14:solidFill>
                </w14:textFill>
              </w:rPr>
              <w:t>进站道路施工完毕后</w:t>
            </w:r>
            <w:r>
              <w:rPr>
                <w:color w:val="000000" w:themeColor="text1"/>
                <w:sz w:val="24"/>
                <w:highlight w:val="none"/>
                <w14:textFill>
                  <w14:solidFill>
                    <w14:schemeClr w14:val="tx1"/>
                  </w14:solidFill>
                </w14:textFill>
              </w:rPr>
              <w:t>尽快进行恢复原有地貌，尽量减少水土流失量。</w:t>
            </w:r>
            <w:r>
              <w:rPr>
                <w:rFonts w:hint="eastAsia" w:ascii="Times New Roman" w:hAnsi="Times New Roman" w:eastAsia="宋体" w:cs="Times New Roman"/>
                <w:color w:val="000000" w:themeColor="text1"/>
                <w:sz w:val="24"/>
                <w:lang w:val="en-US" w:eastAsia="zh-CN"/>
                <w14:textFill>
                  <w14:solidFill>
                    <w14:schemeClr w14:val="tx1"/>
                  </w14:solidFill>
                </w14:textFill>
              </w:rPr>
              <w:t>项目区塔基占地属于点位间隔式占地，并非大面积的开挖，局部占面积相对较小，</w:t>
            </w:r>
            <w:r>
              <w:rPr>
                <w:rFonts w:hint="eastAsia" w:cs="Times New Roman"/>
                <w:color w:val="000000" w:themeColor="text1"/>
                <w:sz w:val="24"/>
                <w:lang w:val="en-US" w:eastAsia="zh-CN"/>
                <w14:textFill>
                  <w14:solidFill>
                    <w14:schemeClr w14:val="tx1"/>
                  </w14:solidFill>
                </w14:textFill>
              </w:rPr>
              <w:t>塔基设置在地表无植被地区，</w:t>
            </w:r>
            <w:r>
              <w:rPr>
                <w:rFonts w:hint="eastAsia" w:ascii="Times New Roman" w:hAnsi="Times New Roman" w:eastAsia="宋体" w:cs="Times New Roman"/>
                <w:color w:val="000000" w:themeColor="text1"/>
                <w:sz w:val="24"/>
                <w:lang w:val="en-US" w:eastAsia="zh-CN"/>
                <w14:textFill>
                  <w14:solidFill>
                    <w14:schemeClr w14:val="tx1"/>
                  </w14:solidFill>
                </w14:textFill>
              </w:rPr>
              <w:t>当地的土地利用结构影响也相对较小。</w:t>
            </w:r>
          </w:p>
          <w:p w14:paraId="34BB43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olor w:val="000000" w:themeColor="text1"/>
                <w:sz w:val="24"/>
                <w:lang w:val="en-US" w:eastAsia="zh-CN"/>
                <w14:textFill>
                  <w14:solidFill>
                    <w14:schemeClr w14:val="tx1"/>
                  </w14:solidFill>
                </w14:textFill>
              </w:rPr>
            </w:pPr>
            <w:r>
              <w:rPr>
                <w:color w:val="000000" w:themeColor="text1"/>
                <w:sz w:val="24"/>
                <w:highlight w:val="none"/>
                <w14:textFill>
                  <w14:solidFill>
                    <w14:schemeClr w14:val="tx1"/>
                  </w14:solidFill>
                </w14:textFill>
              </w:rPr>
              <w:t>施工活动严格控制在征地范围内，尽可能减少对周围土地的破坏，考虑对进</w:t>
            </w:r>
            <w:r>
              <w:rPr>
                <w:rFonts w:hint="eastAsia"/>
                <w:color w:val="000000" w:themeColor="text1"/>
                <w:sz w:val="24"/>
                <w:highlight w:val="none"/>
                <w14:textFill>
                  <w14:solidFill>
                    <w14:schemeClr w14:val="tx1"/>
                  </w14:solidFill>
                </w14:textFill>
              </w:rPr>
              <w:t>站</w:t>
            </w:r>
            <w:r>
              <w:rPr>
                <w:color w:val="000000" w:themeColor="text1"/>
                <w:sz w:val="24"/>
                <w:highlight w:val="none"/>
                <w14:textFill>
                  <w14:solidFill>
                    <w14:schemeClr w14:val="tx1"/>
                  </w14:solidFill>
                </w14:textFill>
              </w:rPr>
              <w:t>道路与施工道路进行一次性规划，施工道路不再单独临时征用土地；施工道路应有固定路线，不要随意向两边拓展或</w:t>
            </w:r>
            <w:r>
              <w:rPr>
                <w:rFonts w:hint="eastAsia"/>
                <w:color w:val="000000" w:themeColor="text1"/>
                <w:sz w:val="24"/>
                <w:highlight w:val="none"/>
                <w:lang w:eastAsia="zh-CN"/>
                <w14:textFill>
                  <w14:solidFill>
                    <w14:schemeClr w14:val="tx1"/>
                  </w14:solidFill>
                </w14:textFill>
              </w:rPr>
              <w:t>单独</w:t>
            </w:r>
            <w:r>
              <w:rPr>
                <w:color w:val="000000" w:themeColor="text1"/>
                <w:sz w:val="24"/>
                <w:highlight w:val="none"/>
                <w14:textFill>
                  <w14:solidFill>
                    <w14:schemeClr w14:val="tx1"/>
                  </w14:solidFill>
                </w14:textFill>
              </w:rPr>
              <w:t>开道，减少对土地的破坏、占用；各施工机械和设备不得随意堆放，以便能有效的控制占地面积，更好的保护原地貌。</w:t>
            </w:r>
          </w:p>
          <w:p w14:paraId="0B0A4A99">
            <w:p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5.2植被影响分析</w:t>
            </w:r>
          </w:p>
          <w:p w14:paraId="54722DA6">
            <w:pPr>
              <w:pStyle w:val="31"/>
              <w:snapToGrid w:val="0"/>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本项目建设施工</w:t>
            </w:r>
            <w:r>
              <w:rPr>
                <w:rFonts w:ascii="Times New Roman" w:hAnsi="Times New Roman"/>
                <w:color w:val="000000" w:themeColor="text1"/>
                <w:sz w:val="24"/>
                <w:szCs w:val="24"/>
                <w:highlight w:val="none"/>
                <w14:textFill>
                  <w14:solidFill>
                    <w14:schemeClr w14:val="tx1"/>
                  </w14:solidFill>
                </w14:textFill>
              </w:rPr>
              <w:t>以及材料运输等人为活动，施工过程中扰动土地，占地会不同程度的破坏地表植被。</w:t>
            </w:r>
          </w:p>
          <w:p w14:paraId="25812B9B">
            <w:pPr>
              <w:adjustRightInd w:val="0"/>
              <w:snapToGrid w:val="0"/>
              <w:spacing w:line="351" w:lineRule="auto"/>
              <w:ind w:firstLine="480" w:firstLineChars="200"/>
              <w:rPr>
                <w:rFonts w:hint="eastAsia" w:ascii="宋体" w:hAnsi="宋体" w:cs="宋体"/>
                <w:b w:val="0"/>
                <w:bCs w:val="0"/>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根据调查，项目</w:t>
            </w:r>
            <w:r>
              <w:rPr>
                <w:rFonts w:hint="eastAsia"/>
                <w:color w:val="000000" w:themeColor="text1"/>
                <w:sz w:val="24"/>
                <w:highlight w:val="none"/>
                <w:lang w:val="en-US" w:eastAsia="zh-CN"/>
                <w14:textFill>
                  <w14:solidFill>
                    <w14:schemeClr w14:val="tx1"/>
                  </w14:solidFill>
                </w14:textFill>
              </w:rPr>
              <w:t>站址及塔基</w:t>
            </w:r>
            <w:r>
              <w:rPr>
                <w:rFonts w:hint="eastAsia"/>
                <w:color w:val="000000" w:themeColor="text1"/>
                <w:sz w:val="24"/>
                <w:highlight w:val="none"/>
                <w14:textFill>
                  <w14:solidFill>
                    <w14:schemeClr w14:val="tx1"/>
                  </w14:solidFill>
                </w14:textFill>
              </w:rPr>
              <w:t>占地为戈壁荒漠，地表为裸地，无植被分布，</w:t>
            </w:r>
            <w:r>
              <w:rPr>
                <w:rFonts w:hint="eastAsia"/>
                <w:b w:val="0"/>
                <w:bCs w:val="0"/>
                <w:color w:val="000000" w:themeColor="text1"/>
                <w:sz w:val="24"/>
                <w:highlight w:val="none"/>
                <w14:textFill>
                  <w14:solidFill>
                    <w14:schemeClr w14:val="tx1"/>
                  </w14:solidFill>
                </w14:textFill>
              </w:rPr>
              <w:t>项目不会造成施工区域内的植被破坏，影响区域内的植被覆盖率等。</w:t>
            </w:r>
          </w:p>
          <w:p w14:paraId="1CF14270">
            <w:pPr>
              <w:pStyle w:val="41"/>
              <w:spacing w:line="360" w:lineRule="auto"/>
              <w:ind w:firstLine="480" w:firstLineChars="200"/>
              <w:jc w:val="both"/>
              <w:rPr>
                <w:rFonts w:cs="Times New Roman"/>
                <w:b w:val="0"/>
                <w:bCs w:val="0"/>
                <w:color w:val="000000" w:themeColor="text1"/>
                <w:highlight w:val="none"/>
                <w14:textFill>
                  <w14:solidFill>
                    <w14:schemeClr w14:val="tx1"/>
                  </w14:solidFill>
                </w14:textFill>
              </w:rPr>
            </w:pPr>
            <w:r>
              <w:rPr>
                <w:rFonts w:ascii="Times New Roman" w:cs="Times New Roman"/>
                <w:b w:val="0"/>
                <w:bCs w:val="0"/>
                <w:color w:val="000000" w:themeColor="text1"/>
                <w:highlight w:val="none"/>
                <w14:textFill>
                  <w14:solidFill>
                    <w14:schemeClr w14:val="tx1"/>
                  </w14:solidFill>
                </w14:textFill>
              </w:rPr>
              <w:t>本次环评要求施工活动均应严格按照文明施工规范进行，施工车辆严格按照规划的道路进行运输，不可随意拓宽道路；严禁施工车辆随意下路，避免碾压植被。</w:t>
            </w:r>
            <w:r>
              <w:rPr>
                <w:rFonts w:hint="eastAsia" w:ascii="Times New Roman" w:cs="Times New Roman"/>
                <w:b w:val="0"/>
                <w:bCs w:val="0"/>
                <w:color w:val="000000" w:themeColor="text1"/>
                <w:szCs w:val="32"/>
                <w:highlight w:val="none"/>
                <w14:textFill>
                  <w14:solidFill>
                    <w14:schemeClr w14:val="tx1"/>
                  </w14:solidFill>
                </w14:textFill>
              </w:rPr>
              <w:t>本次环评要求建设单位</w:t>
            </w:r>
            <w:r>
              <w:rPr>
                <w:rFonts w:hint="eastAsia" w:ascii="Times New Roman" w:cs="Times New Roman"/>
                <w:b w:val="0"/>
                <w:bCs w:val="0"/>
                <w:snapToGrid w:val="0"/>
                <w:color w:val="000000" w:themeColor="text1"/>
                <w:kern w:val="0"/>
                <w:highlight w:val="none"/>
                <w14:textFill>
                  <w14:solidFill>
                    <w14:schemeClr w14:val="tx1"/>
                  </w14:solidFill>
                </w14:textFill>
              </w:rPr>
              <w:t>实施合理的计划，充分进行环境评估，减轻对周边环境的影响和破坏。</w:t>
            </w:r>
            <w:r>
              <w:rPr>
                <w:rFonts w:hint="eastAsia" w:cs="Times New Roman"/>
                <w:b w:val="0"/>
                <w:bCs w:val="0"/>
                <w:color w:val="000000" w:themeColor="text1"/>
                <w:highlight w:val="none"/>
                <w14:textFill>
                  <w14:solidFill>
                    <w14:schemeClr w14:val="tx1"/>
                  </w14:solidFill>
                </w14:textFill>
              </w:rPr>
              <w:t>由于项目占地植被覆盖率有限，不会使评价区植物群落的种类组成发生变化，也不会造成某一物种消失，总体来说，不会影响当地的生态系统的完整性。因此，本项目的建设对区域植被资源影响较小。</w:t>
            </w:r>
          </w:p>
          <w:p w14:paraId="115B4E78">
            <w:pPr>
              <w:pStyle w:val="31"/>
              <w:snapToGrid w:val="0"/>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为有效的保护地表少量植被，</w:t>
            </w:r>
            <w:r>
              <w:rPr>
                <w:rFonts w:hint="eastAsia" w:ascii="Times New Roman" w:hAnsi="Times New Roman"/>
                <w:color w:val="000000" w:themeColor="text1"/>
                <w:sz w:val="24"/>
                <w:szCs w:val="24"/>
                <w:highlight w:val="none"/>
                <w14:textFill>
                  <w14:solidFill>
                    <w14:schemeClr w14:val="tx1"/>
                  </w14:solidFill>
                </w14:textFill>
              </w:rPr>
              <w:t>施工期尽量减少</w:t>
            </w:r>
            <w:r>
              <w:rPr>
                <w:rFonts w:ascii="Times New Roman" w:hAnsi="Times New Roman"/>
                <w:color w:val="000000" w:themeColor="text1"/>
                <w:sz w:val="24"/>
                <w:szCs w:val="24"/>
                <w:highlight w:val="none"/>
                <w14:textFill>
                  <w14:solidFill>
                    <w14:schemeClr w14:val="tx1"/>
                  </w14:solidFill>
                </w14:textFill>
              </w:rPr>
              <w:t>开挖面积，开挖时分层取土，表土单独堆存，施工结束后，表土回填进行植被恢复；且施工结束后可以通过种植当地适生植物等植被恢复措施弥补临时占地造成的损失，因此其影响是暂时的。</w:t>
            </w:r>
          </w:p>
          <w:p w14:paraId="2BE2FC5B">
            <w:p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5.3野生动物影响分析</w:t>
            </w:r>
          </w:p>
          <w:p w14:paraId="3C370BF5">
            <w:pPr>
              <w:pStyle w:val="31"/>
              <w:snapToGrid w:val="0"/>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施工机械噪声和人类活动噪声是影响野生动物的主要因素，各种施工机械如运输车辆、推土机、振捣棒等均可能产生较强的噪声。虽然这些施工机械属非连续性间歇排放，但由于噪声源相对集中，且多为裸露声源，故其有一定辐射范围。预计在施工期，本区的野生动物都将产生规避反应，迁往附近同类环境，动物迁徙能力强，且同类生境易于在附近找寻，故物种种群与数量不会受到明显影响。根据</w:t>
            </w:r>
            <w:r>
              <w:rPr>
                <w:rFonts w:hint="eastAsia" w:ascii="Times New Roman" w:hAnsi="Times New Roman"/>
                <w:color w:val="000000" w:themeColor="text1"/>
                <w:sz w:val="24"/>
                <w:szCs w:val="24"/>
                <w:highlight w:val="none"/>
                <w:lang w:val="en-US" w:eastAsia="zh-CN"/>
                <w14:textFill>
                  <w14:solidFill>
                    <w14:schemeClr w14:val="tx1"/>
                  </w14:solidFill>
                </w14:textFill>
              </w:rPr>
              <w:t>调查</w:t>
            </w:r>
            <w:r>
              <w:rPr>
                <w:rFonts w:ascii="Times New Roman" w:hAnsi="Times New Roman"/>
                <w:color w:val="000000" w:themeColor="text1"/>
                <w:sz w:val="24"/>
                <w:szCs w:val="24"/>
                <w:highlight w:val="none"/>
                <w14:textFill>
                  <w14:solidFill>
                    <w14:schemeClr w14:val="tx1"/>
                  </w14:solidFill>
                </w14:textFill>
              </w:rPr>
              <w:t>，本区无大型野生动物，</w:t>
            </w:r>
            <w:r>
              <w:rPr>
                <w:rFonts w:ascii="Times New Roman" w:hAnsi="Times New Roman"/>
                <w:color w:val="000000" w:themeColor="text1"/>
                <w:sz w:val="24"/>
                <w:highlight w:val="none"/>
                <w14:textFill>
                  <w14:solidFill>
                    <w14:schemeClr w14:val="tx1"/>
                  </w14:solidFill>
                </w14:textFill>
              </w:rPr>
              <w:t>仅有一些常见的鸟类和鼠类</w:t>
            </w:r>
            <w:r>
              <w:rPr>
                <w:rFonts w:ascii="Times New Roman" w:hAnsi="Times New Roman"/>
                <w:color w:val="000000" w:themeColor="text1"/>
                <w:sz w:val="24"/>
                <w:szCs w:val="24"/>
                <w:highlight w:val="none"/>
                <w14:textFill>
                  <w14:solidFill>
                    <w14:schemeClr w14:val="tx1"/>
                  </w14:solidFill>
                </w14:textFill>
              </w:rPr>
              <w:t>等小型动物；同时根据调查，该区没有珍贵动物，也不是候鸟的栖息地和迁徙通道。因此，施工期对野生动物的影响很小。</w:t>
            </w:r>
          </w:p>
          <w:p w14:paraId="6DD944E3">
            <w:pPr>
              <w:pStyle w:val="31"/>
              <w:snapToGrid w:val="0"/>
              <w:spacing w:line="360" w:lineRule="auto"/>
              <w:ind w:firstLine="482" w:firstLineChars="200"/>
              <w:rPr>
                <w:rFonts w:ascii="Times New Roman" w:hAnsi="Times New Roman"/>
                <w:b/>
                <w:bCs/>
                <w:color w:val="000000" w:themeColor="text1"/>
                <w:sz w:val="24"/>
                <w:szCs w:val="24"/>
                <w:highlight w:val="none"/>
                <w14:textFill>
                  <w14:solidFill>
                    <w14:schemeClr w14:val="tx1"/>
                  </w14:solidFill>
                </w14:textFill>
              </w:rPr>
            </w:pPr>
            <w:r>
              <w:rPr>
                <w:rFonts w:ascii="Times New Roman" w:hAnsi="Times New Roman"/>
                <w:b/>
                <w:bCs/>
                <w:color w:val="000000" w:themeColor="text1"/>
                <w:sz w:val="24"/>
                <w:szCs w:val="24"/>
                <w:highlight w:val="none"/>
                <w14:textFill>
                  <w14:solidFill>
                    <w14:schemeClr w14:val="tx1"/>
                  </w14:solidFill>
                </w14:textFill>
              </w:rPr>
              <w:t>5.4施工景观影响</w:t>
            </w:r>
          </w:p>
          <w:p w14:paraId="4C24708F">
            <w:pPr>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施工期由于基础开挖、土方临时堆存、施工道路、物料运输造成的扬尘、施工人员生活垃圾等，如果管理不当将会对局部景观造成一定的不良影响。通过采取围挡作业、分段施工、及时清运</w:t>
            </w:r>
            <w:r>
              <w:rPr>
                <w:rFonts w:hint="eastAsia"/>
                <w:color w:val="000000" w:themeColor="text1"/>
                <w:sz w:val="24"/>
                <w:highlight w:val="none"/>
                <w14:textFill>
                  <w14:solidFill>
                    <w14:schemeClr w14:val="tx1"/>
                  </w14:solidFill>
                </w14:textFill>
              </w:rPr>
              <w:t>土方</w:t>
            </w:r>
            <w:r>
              <w:rPr>
                <w:color w:val="000000" w:themeColor="text1"/>
                <w:sz w:val="24"/>
                <w:highlight w:val="none"/>
                <w14:textFill>
                  <w14:solidFill>
                    <w14:schemeClr w14:val="tx1"/>
                  </w14:solidFill>
                </w14:textFill>
              </w:rPr>
              <w:t>、采取防尘抑尘措施、集中收集施工人员生活垃圾并及时清运处理等措施，可以使施工区域及时恢复原有自然面貌，将施工期造成的景观影响降至最小。</w:t>
            </w:r>
          </w:p>
          <w:p w14:paraId="04CFF0D4">
            <w:p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5.5对土壤扰动的影响分析</w:t>
            </w:r>
          </w:p>
          <w:p w14:paraId="2B86150D">
            <w:pPr>
              <w:adjustRightInd w:val="0"/>
              <w:snapToGrid w:val="0"/>
              <w:spacing w:line="351"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本项目建设对土壤的影响主要是占地对原有土壤结构的影响，其次是对土壤环境的影响。</w:t>
            </w:r>
          </w:p>
          <w:p w14:paraId="5307A685">
            <w:pPr>
              <w:adjustRightInd w:val="0"/>
              <w:snapToGrid w:val="0"/>
              <w:spacing w:line="351"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对土壤结构的影响主要集中在地基开挖、回填过程中。工程在施工时进行开挖、堆放、回填、人工踩踏、机械设备夯实或碾压等施工操作，这些物理过程对土壤的最大影响是破坏土壤结构。土壤结构是经过较长的历史时期形成，一旦遭到破坏，短期内难以恢复。但对临时占地而言，这种影响是短期的、可逆的，施工结束后，经过2~3年的时间可以恢复。变压器基础的材料是普通的钢筋水泥，不会造成土壤和地下水污染；相关材料，都是耐腐蚀、无毒、无害的材料，在施工期和运营期不会产生环境污染；建设施工道路和其他辅助设施所用材料都是普通的建筑材料，这些均不会对土壤环境造成影响。</w:t>
            </w:r>
          </w:p>
          <w:p w14:paraId="1B607400">
            <w:pPr>
              <w:adjustRightInd w:val="0"/>
              <w:snapToGrid w:val="0"/>
              <w:spacing w:line="351" w:lineRule="auto"/>
              <w:ind w:firstLine="480" w:firstLineChars="200"/>
              <w:rPr>
                <w:b/>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综上，本项目施工过程中对土壤环境影响较小。</w:t>
            </w:r>
          </w:p>
          <w:p w14:paraId="0915235D">
            <w:pPr>
              <w:adjustRightInd w:val="0"/>
              <w:snapToGrid w:val="0"/>
              <w:spacing w:line="360" w:lineRule="auto"/>
              <w:ind w:firstLine="482" w:firstLineChars="20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w:t>
            </w:r>
            <w:r>
              <w:rPr>
                <w:rFonts w:hint="eastAsia"/>
                <w:b/>
                <w:bCs/>
                <w:color w:val="000000" w:themeColor="text1"/>
                <w:sz w:val="24"/>
                <w:highlight w:val="none"/>
                <w14:textFill>
                  <w14:solidFill>
                    <w14:schemeClr w14:val="tx1"/>
                  </w14:solidFill>
                </w14:textFill>
              </w:rPr>
              <w:t>6</w:t>
            </w:r>
            <w:r>
              <w:rPr>
                <w:b/>
                <w:bCs/>
                <w:color w:val="000000" w:themeColor="text1"/>
                <w:sz w:val="24"/>
                <w:highlight w:val="none"/>
                <w14:textFill>
                  <w14:solidFill>
                    <w14:schemeClr w14:val="tx1"/>
                  </w14:solidFill>
                </w14:textFill>
              </w:rPr>
              <w:t>水土流失影响分析</w:t>
            </w:r>
          </w:p>
          <w:p w14:paraId="4E8D896D">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本项目的水土流失产生时段主要集中在施工期，</w:t>
            </w:r>
            <w:r>
              <w:rPr>
                <w:rFonts w:hint="eastAsia"/>
                <w:color w:val="000000" w:themeColor="text1"/>
                <w:sz w:val="24"/>
                <w:highlight w:val="none"/>
                <w14:textFill>
                  <w14:solidFill>
                    <w14:schemeClr w14:val="tx1"/>
                  </w14:solidFill>
                </w14:textFill>
              </w:rPr>
              <w:t>项目建设水土流失区包括</w:t>
            </w:r>
            <w:r>
              <w:rPr>
                <w:rFonts w:hint="eastAsia"/>
                <w:color w:val="000000" w:themeColor="text1"/>
                <w:sz w:val="24"/>
                <w:highlight w:val="none"/>
                <w:lang w:val="en-US" w:eastAsia="zh-CN"/>
                <w14:textFill>
                  <w14:solidFill>
                    <w14:schemeClr w14:val="tx1"/>
                  </w14:solidFill>
                </w14:textFill>
              </w:rPr>
              <w:t>站址</w:t>
            </w:r>
            <w:r>
              <w:rPr>
                <w:rFonts w:hint="eastAsia"/>
                <w:color w:val="000000" w:themeColor="text1"/>
                <w:sz w:val="24"/>
                <w:highlight w:val="none"/>
                <w14:textFill>
                  <w14:solidFill>
                    <w14:schemeClr w14:val="tx1"/>
                  </w14:solidFill>
                </w14:textFill>
              </w:rPr>
              <w:t>场地平整、进站道路施工区等。对</w:t>
            </w:r>
            <w:r>
              <w:rPr>
                <w:rFonts w:hint="eastAsia"/>
                <w:color w:val="000000" w:themeColor="text1"/>
                <w:sz w:val="24"/>
                <w:highlight w:val="none"/>
                <w:lang w:val="en-US" w:eastAsia="zh-CN"/>
                <w14:textFill>
                  <w14:solidFill>
                    <w14:schemeClr w14:val="tx1"/>
                  </w14:solidFill>
                </w14:textFill>
              </w:rPr>
              <w:t>站址</w:t>
            </w:r>
            <w:r>
              <w:rPr>
                <w:rFonts w:hint="eastAsia"/>
                <w:color w:val="000000" w:themeColor="text1"/>
                <w:sz w:val="24"/>
                <w:highlight w:val="none"/>
                <w14:textFill>
                  <w14:solidFill>
                    <w14:schemeClr w14:val="tx1"/>
                  </w14:solidFill>
                </w14:textFill>
              </w:rPr>
              <w:t>基础开挖前进行表土清理并集中堆放，待施工结束后清除施工场地内碎石、砖块等施工残留物，覆土并恢复原貌。在施工过程中，特别是下雨或大风天气施工时，为防止开挖填垫后的场地水蚀和风蚀，对变压器基础</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储能舱</w:t>
            </w:r>
            <w:r>
              <w:rPr>
                <w:rFonts w:hint="eastAsia"/>
                <w:color w:val="000000" w:themeColor="text1"/>
                <w:sz w:val="24"/>
                <w:highlight w:val="none"/>
                <w14:textFill>
                  <w14:solidFill>
                    <w14:schemeClr w14:val="tx1"/>
                  </w14:solidFill>
                </w14:textFill>
              </w:rPr>
              <w:t>施工场地区、进站道路施工区等区域布设排水、拦挡和遮盖等临时防护措施，考虑临时工程的短时效性，选择有效、简单易行、易于拆除且投资小的措施。施工期结束后，随着地表扰动停止，土壤侵蚀量将逐渐减小。施工完毕后进行土地整治，返还表土，应尽量做到挖方、填方基本平衡。</w:t>
            </w:r>
          </w:p>
          <w:p w14:paraId="761100C7">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综上分析，通过采取上述防治水土流失的</w:t>
            </w:r>
            <w:r>
              <w:rPr>
                <w:rFonts w:hint="eastAsia"/>
                <w:color w:val="000000" w:themeColor="text1"/>
                <w:sz w:val="24"/>
                <w:highlight w:val="none"/>
                <w:lang w:eastAsia="zh-CN"/>
                <w14:textFill>
                  <w14:solidFill>
                    <w14:schemeClr w14:val="tx1"/>
                  </w14:solidFill>
                </w14:textFill>
              </w:rPr>
              <w:t>措施</w:t>
            </w:r>
            <w:r>
              <w:rPr>
                <w:rFonts w:hint="eastAsia"/>
                <w:color w:val="000000" w:themeColor="text1"/>
                <w:sz w:val="24"/>
                <w:highlight w:val="none"/>
                <w14:textFill>
                  <w14:solidFill>
                    <w14:schemeClr w14:val="tx1"/>
                  </w14:solidFill>
                </w14:textFill>
              </w:rPr>
              <w:t>，可以极大地改善和减少工程建设过程中造成的水土流失，降低对水土流失的影响。</w:t>
            </w:r>
          </w:p>
          <w:p w14:paraId="00D782E4">
            <w:pPr>
              <w:adjustRightInd w:val="0"/>
              <w:snapToGrid w:val="0"/>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w:t>
            </w:r>
            <w:r>
              <w:rPr>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7</w:t>
            </w:r>
            <w:r>
              <w:rPr>
                <w:b/>
                <w:bCs/>
                <w:color w:val="000000" w:themeColor="text1"/>
                <w:sz w:val="24"/>
                <w:highlight w:val="none"/>
                <w14:textFill>
                  <w14:solidFill>
                    <w14:schemeClr w14:val="tx1"/>
                  </w14:solidFill>
                </w14:textFill>
              </w:rPr>
              <w:t>施工期防沙治沙分析</w:t>
            </w:r>
          </w:p>
          <w:p w14:paraId="4713E03A">
            <w:pPr>
              <w:spacing w:line="360" w:lineRule="auto"/>
              <w:ind w:firstLine="480" w:firstLineChars="200"/>
              <w:rPr>
                <w:color w:val="000000" w:themeColor="text1"/>
                <w:sz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本工程</w:t>
            </w:r>
            <w:r>
              <w:rPr>
                <w:color w:val="000000" w:themeColor="text1"/>
                <w:sz w:val="24"/>
                <w:highlight w:val="none"/>
                <w:lang w:val="zh-CN"/>
                <w14:textFill>
                  <w14:solidFill>
                    <w14:schemeClr w14:val="tx1"/>
                  </w14:solidFill>
                </w14:textFill>
              </w:rPr>
              <w:t>施工过程中，可能对区域</w:t>
            </w:r>
            <w:r>
              <w:rPr>
                <w:rFonts w:hint="eastAsia"/>
                <w:color w:val="000000" w:themeColor="text1"/>
                <w:sz w:val="24"/>
                <w:highlight w:val="none"/>
                <w:lang w:val="en-US" w:eastAsia="zh-CN"/>
                <w14:textFill>
                  <w14:solidFill>
                    <w14:schemeClr w14:val="tx1"/>
                  </w14:solidFill>
                </w14:textFill>
              </w:rPr>
              <w:t>戈壁</w:t>
            </w:r>
            <w:r>
              <w:rPr>
                <w:color w:val="000000" w:themeColor="text1"/>
                <w:sz w:val="24"/>
                <w:highlight w:val="none"/>
                <w:lang w:val="zh-CN"/>
                <w14:textFill>
                  <w14:solidFill>
                    <w14:schemeClr w14:val="tx1"/>
                  </w14:solidFill>
                </w14:textFill>
              </w:rPr>
              <w:t>造成破坏，形成沙土裸露过程。根据《中华人民共和国防沙治沙法》（中华人民共和国主席令第55号）、</w:t>
            </w:r>
            <w:r>
              <w:rPr>
                <w:color w:val="000000" w:themeColor="text1"/>
                <w:sz w:val="24"/>
                <w:highlight w:val="none"/>
                <w14:textFill>
                  <w14:solidFill>
                    <w14:schemeClr w14:val="tx1"/>
                  </w14:solidFill>
                </w14:textFill>
              </w:rPr>
              <w:t>《关于做好沙区开发建设项目环评中防沙治沙内容评价工作的意见》（林沙发</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2013</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136号）、《关于加强沙区建设项目环境影响评价工作的通知》（新环环评发</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2020</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138号）等文件要求，电站</w:t>
            </w:r>
            <w:r>
              <w:rPr>
                <w:color w:val="000000" w:themeColor="text1"/>
                <w:sz w:val="24"/>
                <w:highlight w:val="none"/>
                <w:lang w:val="zh-CN"/>
                <w14:textFill>
                  <w14:solidFill>
                    <w14:schemeClr w14:val="tx1"/>
                  </w14:solidFill>
                </w14:textFill>
              </w:rPr>
              <w:t>应确保项目占地范围内的防风固沙治理。</w:t>
            </w:r>
          </w:p>
          <w:p w14:paraId="388DBAA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（1）项目实施过程中对周边沙化土地的影响</w:t>
            </w:r>
          </w:p>
          <w:p w14:paraId="20365380">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①占用和影响的沙漠、戈壁、沙地等其他沙化土地的面积等情况</w:t>
            </w:r>
          </w:p>
          <w:p w14:paraId="058A787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本项目占地</w:t>
            </w:r>
            <w:r>
              <w:rPr>
                <w:rFonts w:hint="eastAsia"/>
                <w:color w:val="000000" w:themeColor="text1"/>
                <w:sz w:val="24"/>
                <w:highlight w:val="none"/>
                <w14:textFill>
                  <w14:solidFill>
                    <w14:schemeClr w14:val="tx1"/>
                  </w14:solidFill>
                </w14:textFill>
              </w:rPr>
              <w:t>为戈壁荒漠，根据新疆第六次沙化监测调查结果，本项目所在地带为非沙化土地，不占用任何防沙治沙设施。</w:t>
            </w:r>
          </w:p>
          <w:p w14:paraId="78CE410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②弃土、石、渣地等对当地土地沙化和沙尘天气的影响</w:t>
            </w:r>
          </w:p>
          <w:p w14:paraId="6B44875C">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w:t>
            </w:r>
            <w:r>
              <w:rPr>
                <w:rFonts w:hint="eastAsia"/>
                <w:color w:val="000000" w:themeColor="text1"/>
                <w:sz w:val="24"/>
                <w:highlight w:val="none"/>
                <w14:textFill>
                  <w14:solidFill>
                    <w14:schemeClr w14:val="tx1"/>
                  </w14:solidFill>
                </w14:textFill>
              </w:rPr>
              <w:t>开挖</w:t>
            </w:r>
            <w:r>
              <w:rPr>
                <w:color w:val="000000" w:themeColor="text1"/>
                <w:sz w:val="24"/>
                <w:highlight w:val="none"/>
                <w14:textFill>
                  <w14:solidFill>
                    <w14:schemeClr w14:val="tx1"/>
                  </w14:solidFill>
                </w14:textFill>
              </w:rPr>
              <w:t>时会产生土石方，产生的土石方</w:t>
            </w:r>
            <w:r>
              <w:rPr>
                <w:rFonts w:hint="eastAsia"/>
                <w:color w:val="000000" w:themeColor="text1"/>
                <w:sz w:val="24"/>
                <w:highlight w:val="none"/>
                <w14:textFill>
                  <w14:solidFill>
                    <w14:schemeClr w14:val="tx1"/>
                  </w14:solidFill>
                </w14:textFill>
              </w:rPr>
              <w:t>均可回填利用</w:t>
            </w:r>
            <w:r>
              <w:rPr>
                <w:color w:val="000000" w:themeColor="text1"/>
                <w:sz w:val="24"/>
                <w:highlight w:val="none"/>
                <w14:textFill>
                  <w14:solidFill>
                    <w14:schemeClr w14:val="tx1"/>
                  </w14:solidFill>
                </w14:textFill>
              </w:rPr>
              <w:t>。项目建设过程中对原地貌的扰动将降低项目占地范围内的土壤抗侵蚀能力，造成土地沙化；</w:t>
            </w:r>
            <w:r>
              <w:rPr>
                <w:rFonts w:hint="eastAsia"/>
                <w:color w:val="000000" w:themeColor="text1"/>
                <w:sz w:val="24"/>
                <w:highlight w:val="none"/>
                <w14:textFill>
                  <w14:solidFill>
                    <w14:schemeClr w14:val="tx1"/>
                  </w14:solidFill>
                </w14:textFill>
              </w:rPr>
              <w:t>此外，由于项目地处内陆地区，风沙较大，空气干燥，</w:t>
            </w:r>
            <w:r>
              <w:rPr>
                <w:color w:val="000000" w:themeColor="text1"/>
                <w:sz w:val="24"/>
                <w:highlight w:val="none"/>
                <w14:textFill>
                  <w14:solidFill>
                    <w14:schemeClr w14:val="tx1"/>
                  </w14:solidFill>
                </w14:textFill>
              </w:rPr>
              <w:t>若项目土石方堆存过程中未采取防尘网苫盖、洒水抑尘等措施，地表沙化的土壤及废土、废渣遇大风天气易产生严重的扬尘，形成沙尘天气。</w:t>
            </w:r>
          </w:p>
          <w:p w14:paraId="15EC2B7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③损坏的防沙治沙设施（包括生物、物理或化学固沙等措施）。</w:t>
            </w:r>
          </w:p>
          <w:p w14:paraId="4D9BEBC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本项目占地范围均不涉及已建设的防沙治沙设施。</w:t>
            </w:r>
          </w:p>
          <w:p w14:paraId="4FDEB64C">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④可能造成的土地沙化和沙尘等生态危害。</w:t>
            </w:r>
          </w:p>
          <w:p w14:paraId="2CB11EEB">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项目施工期基础开挖、场地平整等过程中，</w:t>
            </w:r>
            <w:r>
              <w:rPr>
                <w:color w:val="000000" w:themeColor="text1"/>
                <w:sz w:val="24"/>
                <w:highlight w:val="none"/>
                <w14:textFill>
                  <w14:solidFill>
                    <w14:schemeClr w14:val="tx1"/>
                  </w14:solidFill>
                </w14:textFill>
              </w:rPr>
              <w:t>对原有地表土壤造成扰动，造成地表原有结构的破坏。此外，在施工过程中，各种车辆（尤其是重型卡车）行驶将使经过的土壤变紧实，严重的经过多次碾压后植物很难再生长，甚至退化为沙地。</w:t>
            </w:r>
          </w:p>
          <w:p w14:paraId="00C0596E">
            <w:pPr>
              <w:spacing w:line="360" w:lineRule="auto"/>
              <w:ind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④</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项目实施对周边戈壁砾幕的影响</w:t>
            </w:r>
          </w:p>
          <w:p w14:paraId="56624C4E">
            <w:pPr>
              <w:spacing w:line="360" w:lineRule="auto"/>
              <w:ind w:firstLine="480" w:firstLineChars="200"/>
              <w:rPr>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项目施工期基础开挖、场地平整等过程中，对原有地表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戈壁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造成扰动，造成地表原有结构的破坏</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在施工过程中，各种车辆（尤其是重型卡车）行驶将使经过的</w:t>
            </w:r>
            <w:r>
              <w:rPr>
                <w:rFonts w:hint="eastAsia"/>
                <w:color w:val="000000" w:themeColor="text1"/>
                <w:sz w:val="24"/>
                <w:highlight w:val="none"/>
                <w:lang w:val="en-US" w:eastAsia="zh-CN"/>
                <w14:textFill>
                  <w14:solidFill>
                    <w14:schemeClr w14:val="tx1"/>
                  </w14:solidFill>
                </w14:textFill>
              </w:rPr>
              <w:t>戈壁破坏</w:t>
            </w:r>
            <w:r>
              <w:rPr>
                <w:color w:val="000000" w:themeColor="text1"/>
                <w:sz w:val="24"/>
                <w:highlight w:val="none"/>
                <w14:textFill>
                  <w14:solidFill>
                    <w14:schemeClr w14:val="tx1"/>
                  </w14:solidFill>
                </w14:textFill>
              </w:rPr>
              <w:t>，甚至退化为沙地。</w:t>
            </w:r>
          </w:p>
          <w:p w14:paraId="583FAE69">
            <w:pPr>
              <w:wordWrap w:val="0"/>
              <w:spacing w:line="360" w:lineRule="auto"/>
              <w:ind w:firstLine="480" w:firstLineChars="200"/>
              <w:jc w:val="left"/>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上述施工作业过程中，对原地貌的扰动大大降低了项目占地范围内的土壤抗侵蚀能力，若未采取相应的防护措施，遇大风天气，极易加重区域沙尘天气</w:t>
            </w:r>
            <w:r>
              <w:rPr>
                <w:rFonts w:hint="eastAsia"/>
                <w:bCs/>
                <w:color w:val="000000" w:themeColor="text1"/>
                <w:sz w:val="24"/>
                <w:highlight w:val="none"/>
                <w14:textFill>
                  <w14:solidFill>
                    <w14:schemeClr w14:val="tx1"/>
                  </w14:solidFill>
                </w14:textFill>
              </w:rPr>
              <w:t>。</w:t>
            </w:r>
          </w:p>
          <w:p w14:paraId="6FE5E778">
            <w:pPr>
              <w:adjustRightInd w:val="0"/>
              <w:snapToGrid w:val="0"/>
              <w:spacing w:line="332" w:lineRule="auto"/>
              <w:ind w:firstLine="480" w:firstLineChars="200"/>
              <w:jc w:val="left"/>
              <w:rPr>
                <w:rFonts w:hint="eastAsia"/>
                <w:color w:val="000000" w:themeColor="text1"/>
                <w:kern w:val="0"/>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综上所述，施工期对周围环境有一定影响，采取相应防治措施后对周围环境的影响较小，同时施工期较短，施工结束后，影响即随之消除</w:t>
            </w:r>
            <w:r>
              <w:rPr>
                <w:rFonts w:hint="eastAsia"/>
                <w:color w:val="000000" w:themeColor="text1"/>
                <w:kern w:val="0"/>
                <w:sz w:val="24"/>
                <w:highlight w:val="none"/>
                <w14:textFill>
                  <w14:solidFill>
                    <w14:schemeClr w14:val="tx1"/>
                  </w14:solidFill>
                </w14:textFill>
              </w:rPr>
              <w:t>。</w:t>
            </w:r>
          </w:p>
          <w:p w14:paraId="5BD44BA8">
            <w:pPr>
              <w:pStyle w:val="7"/>
              <w:rPr>
                <w:rFonts w:hint="eastAsia"/>
                <w:color w:val="000000" w:themeColor="text1"/>
                <w:kern w:val="0"/>
                <w:sz w:val="24"/>
                <w:highlight w:val="none"/>
                <w14:textFill>
                  <w14:solidFill>
                    <w14:schemeClr w14:val="tx1"/>
                  </w14:solidFill>
                </w14:textFill>
              </w:rPr>
            </w:pPr>
          </w:p>
          <w:p w14:paraId="43A7A6C4">
            <w:pPr>
              <w:pStyle w:val="7"/>
              <w:rPr>
                <w:color w:val="000000" w:themeColor="text1"/>
                <w14:textFill>
                  <w14:solidFill>
                    <w14:schemeClr w14:val="tx1"/>
                  </w14:solidFill>
                </w14:textFill>
              </w:rPr>
            </w:pPr>
          </w:p>
        </w:tc>
      </w:tr>
    </w:tbl>
    <w:p w14:paraId="1AF64FF1">
      <w:pPr>
        <w:pStyle w:val="27"/>
        <w:adjustRightInd w:val="0"/>
        <w:snapToGrid w:val="0"/>
        <w:spacing w:before="0" w:beforeAutospacing="0" w:after="0" w:afterAutospacing="0" w:line="14" w:lineRule="auto"/>
        <w:jc w:val="center"/>
        <w:rPr>
          <w:rFonts w:hint="eastAsia" w:ascii="黑体" w:hAnsi="黑体" w:eastAsia="黑体"/>
          <w:snapToGrid w:val="0"/>
          <w:color w:val="000000" w:themeColor="text1"/>
          <w:kern w:val="2"/>
          <w:sz w:val="36"/>
          <w:szCs w:val="36"/>
          <w:highlight w:val="none"/>
          <w14:textFill>
            <w14:solidFill>
              <w14:schemeClr w14:val="tx1"/>
            </w14:solidFill>
          </w14:textFill>
        </w:rPr>
      </w:pPr>
    </w:p>
    <w:tbl>
      <w:tblPr>
        <w:tblStyle w:val="32"/>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363"/>
      </w:tblGrid>
      <w:tr w14:paraId="038522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tcMar>
              <w:left w:w="28" w:type="dxa"/>
              <w:right w:w="28" w:type="dxa"/>
            </w:tcMar>
            <w:vAlign w:val="center"/>
          </w:tcPr>
          <w:p w14:paraId="10A7C41B">
            <w:pPr>
              <w:pStyle w:val="27"/>
              <w:adjustRightInd w:val="0"/>
              <w:snapToGrid w:val="0"/>
              <w:spacing w:before="0" w:beforeAutospacing="0" w:after="0" w:afterAutospacing="0"/>
              <w:jc w:val="center"/>
              <w:rPr>
                <w:rFonts w:hint="eastAsia" w:cs="宋体"/>
                <w:bCs/>
                <w:color w:val="000000" w:themeColor="text1"/>
                <w:kern w:val="2"/>
                <w:sz w:val="21"/>
                <w:szCs w:val="21"/>
                <w:highlight w:val="none"/>
                <w14:textFill>
                  <w14:solidFill>
                    <w14:schemeClr w14:val="tx1"/>
                  </w14:solidFill>
                </w14:textFill>
              </w:rPr>
            </w:pPr>
            <w:r>
              <w:rPr>
                <w:rFonts w:hint="eastAsia" w:cs="宋体"/>
                <w:bCs/>
                <w:color w:val="000000" w:themeColor="text1"/>
                <w:spacing w:val="10"/>
                <w:kern w:val="2"/>
                <w:highlight w:val="none"/>
                <w14:textFill>
                  <w14:solidFill>
                    <w14:schemeClr w14:val="tx1"/>
                  </w14:solidFill>
                </w14:textFill>
              </w:rPr>
              <w:t>运营期生态环境影响分析</w:t>
            </w:r>
          </w:p>
        </w:tc>
        <w:tc>
          <w:tcPr>
            <w:tcW w:w="8363" w:type="dxa"/>
          </w:tcPr>
          <w:p w14:paraId="6AE5EB3F">
            <w:pPr>
              <w:pStyle w:val="64"/>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1、运营期生态环境影响</w:t>
            </w:r>
          </w:p>
          <w:p w14:paraId="706DF5A6">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项目用地为</w:t>
            </w:r>
            <w:r>
              <w:rPr>
                <w:rFonts w:hint="eastAsia"/>
                <w:color w:val="000000" w:themeColor="text1"/>
                <w:sz w:val="24"/>
                <w:highlight w:val="none"/>
                <w14:textFill>
                  <w14:solidFill>
                    <w14:schemeClr w14:val="tx1"/>
                  </w14:solidFill>
                </w14:textFill>
              </w:rPr>
              <w:t>未利用地</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现状为裸地（戈壁荒漠），不涉及基本农田、草地，建设工程实施中应尽量避免破坏现状地貌，项目完工后尽快实施生态恢复。</w:t>
            </w:r>
            <w:r>
              <w:rPr>
                <w:color w:val="000000" w:themeColor="text1"/>
                <w:sz w:val="24"/>
                <w:highlight w:val="none"/>
                <w14:textFill>
                  <w14:solidFill>
                    <w14:schemeClr w14:val="tx1"/>
                  </w14:solidFill>
                </w14:textFill>
              </w:rPr>
              <w:t>经现场踏勘和调查，场址区内未发现受国家保护的动物，项目周边没有迁徙动物，无生态阻隔影响。建设单位可根据实际情况在项目区内设置绿化带从而起到防止水土流失的作用，进而改善了场区的生态环境。</w:t>
            </w:r>
            <w:r>
              <w:rPr>
                <w:rFonts w:hint="eastAsia"/>
                <w:color w:val="000000" w:themeColor="text1"/>
                <w:sz w:val="24"/>
                <w:highlight w:val="none"/>
                <w14:textFill>
                  <w14:solidFill>
                    <w14:schemeClr w14:val="tx1"/>
                  </w14:solidFill>
                </w14:textFill>
              </w:rPr>
              <w:t>新建</w:t>
            </w:r>
            <w:r>
              <w:rPr>
                <w:rFonts w:hint="eastAsia"/>
                <w:color w:val="000000" w:themeColor="text1"/>
                <w:sz w:val="24"/>
                <w:highlight w:val="none"/>
                <w:lang w:val="en-US" w:eastAsia="zh-CN"/>
                <w14:textFill>
                  <w14:solidFill>
                    <w14:schemeClr w14:val="tx1"/>
                  </w14:solidFill>
                </w14:textFill>
              </w:rPr>
              <w:t>储能站及配套升压</w:t>
            </w:r>
            <w:r>
              <w:rPr>
                <w:rFonts w:hint="eastAsia"/>
                <w:color w:val="000000" w:themeColor="text1"/>
                <w:sz w:val="24"/>
                <w:szCs w:val="32"/>
                <w:highlight w:val="none"/>
                <w14:textFill>
                  <w14:solidFill>
                    <w14:schemeClr w14:val="tx1"/>
                  </w14:solidFill>
                </w14:textFill>
              </w:rPr>
              <w:t>站</w:t>
            </w:r>
            <w:r>
              <w:rPr>
                <w:rFonts w:hint="eastAsia"/>
                <w:color w:val="000000" w:themeColor="text1"/>
                <w:sz w:val="24"/>
                <w:highlight w:val="none"/>
                <w14:textFill>
                  <w14:solidFill>
                    <w14:schemeClr w14:val="tx1"/>
                  </w14:solidFill>
                </w14:textFill>
              </w:rPr>
              <w:t>投入运行后仅需定期巡检，对区域生态环境影响很小。</w:t>
            </w:r>
          </w:p>
          <w:p w14:paraId="7F747FD3">
            <w:pPr>
              <w:pStyle w:val="64"/>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2、运营期电磁环境影响分析</w:t>
            </w:r>
          </w:p>
          <w:p w14:paraId="0F27A2E8">
            <w:pPr>
              <w:pStyle w:val="64"/>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本项目建成运行后对评价范围内的工频电场、工频磁场环境影响值能满足《电磁环境控制限值》（GB8702-2014）控制限值要求，项目对</w:t>
            </w:r>
            <w:r>
              <w:rPr>
                <w:rFonts w:hint="eastAsia"/>
                <w:color w:val="000000" w:themeColor="text1"/>
                <w:kern w:val="2"/>
                <w:szCs w:val="32"/>
                <w:highlight w:val="none"/>
                <w14:textFill>
                  <w14:solidFill>
                    <w14:schemeClr w14:val="tx1"/>
                  </w14:solidFill>
                </w14:textFill>
              </w:rPr>
              <w:t>升压站</w:t>
            </w:r>
            <w:r>
              <w:rPr>
                <w:rFonts w:hint="eastAsia"/>
                <w:color w:val="000000" w:themeColor="text1"/>
                <w:highlight w:val="none"/>
                <w14:textFill>
                  <w14:solidFill>
                    <w14:schemeClr w14:val="tx1"/>
                  </w14:solidFill>
                </w14:textFill>
              </w:rPr>
              <w:t>周边的电磁环境影响较小。电磁环境影响分析详见“附录 电磁环境影响专题评价”。</w:t>
            </w:r>
          </w:p>
          <w:p w14:paraId="7092360C">
            <w:pPr>
              <w:pStyle w:val="64"/>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3、运营期大气环境影响分析</w:t>
            </w:r>
          </w:p>
          <w:p w14:paraId="7948C26F">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本项目为储能及</w:t>
            </w:r>
            <w:r>
              <w:rPr>
                <w:rFonts w:hint="eastAsia"/>
                <w:color w:val="000000" w:themeColor="text1"/>
                <w:sz w:val="24"/>
                <w:highlight w:val="none"/>
                <w14:textFill>
                  <w14:solidFill>
                    <w14:schemeClr w14:val="tx1"/>
                  </w14:solidFill>
                </w14:textFill>
              </w:rPr>
              <w:t>升压输变电工程，在电能汇集中没有废气排放。</w:t>
            </w:r>
            <w:r>
              <w:rPr>
                <w:color w:val="000000" w:themeColor="text1"/>
                <w:sz w:val="24"/>
                <w:highlight w:val="none"/>
                <w14:textFill>
                  <w14:solidFill>
                    <w14:schemeClr w14:val="tx1"/>
                  </w14:solidFill>
                </w14:textFill>
              </w:rPr>
              <w:t>项目</w:t>
            </w:r>
            <w:r>
              <w:rPr>
                <w:rFonts w:hint="eastAsia"/>
                <w:color w:val="000000" w:themeColor="text1"/>
                <w:sz w:val="24"/>
                <w:highlight w:val="none"/>
                <w14:textFill>
                  <w14:solidFill>
                    <w14:schemeClr w14:val="tx1"/>
                  </w14:solidFill>
                </w14:textFill>
              </w:rPr>
              <w:t>本身</w:t>
            </w:r>
            <w:r>
              <w:rPr>
                <w:color w:val="000000" w:themeColor="text1"/>
                <w:sz w:val="24"/>
                <w:highlight w:val="none"/>
                <w14:textFill>
                  <w14:solidFill>
                    <w14:schemeClr w14:val="tx1"/>
                  </w14:solidFill>
                </w14:textFill>
              </w:rPr>
              <w:t>运营期无废气产生</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站内</w:t>
            </w:r>
            <w:r>
              <w:rPr>
                <w:rFonts w:hint="eastAsia" w:cs="Times New Roman"/>
                <w:color w:val="000000" w:themeColor="text1"/>
                <w:sz w:val="24"/>
                <w:highlight w:val="none"/>
                <w:lang w:val="en-US" w:eastAsia="zh-CN"/>
                <w14:textFill>
                  <w14:solidFill>
                    <w14:schemeClr w14:val="tx1"/>
                  </w14:solidFill>
                </w14:textFill>
              </w:rPr>
              <w:t>生活污水处理设备为地埋式一体化污水处理设施，主体设备密闭设计，经地下环境隔离，基本无恶臭逸散，</w:t>
            </w:r>
            <w:r>
              <w:rPr>
                <w:rFonts w:hint="eastAsia"/>
                <w:color w:val="000000" w:themeColor="text1"/>
                <w:sz w:val="24"/>
                <w:highlight w:val="none"/>
                <w14:textFill>
                  <w14:solidFill>
                    <w14:schemeClr w14:val="tx1"/>
                  </w14:solidFill>
                </w14:textFill>
              </w:rPr>
              <w:t>项目废气主要为生活区职工食堂产生的油烟。</w:t>
            </w:r>
          </w:p>
          <w:p w14:paraId="0F2F056D">
            <w:pPr>
              <w:wordWrap w:val="0"/>
              <w:spacing w:line="360" w:lineRule="auto"/>
              <w:ind w:firstLine="482" w:firstLineChars="200"/>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b/>
                <w:bCs/>
                <w:color w:val="000000" w:themeColor="text1"/>
                <w:sz w:val="24"/>
                <w:highlight w:val="none"/>
                <w14:textFill>
                  <w14:solidFill>
                    <w14:schemeClr w14:val="tx1"/>
                  </w14:solidFill>
                </w14:textFill>
              </w:rPr>
              <w:t>.1运营期废气产排情况</w:t>
            </w:r>
          </w:p>
          <w:p w14:paraId="04AA2735">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项目废气排放情况见下表。</w:t>
            </w:r>
          </w:p>
          <w:p w14:paraId="60B92A7B">
            <w:pPr>
              <w:autoSpaceDE w:val="0"/>
              <w:autoSpaceDN w:val="0"/>
              <w:adjustRightInd w:val="0"/>
              <w:jc w:val="cente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表4-3  项目废气排放情况</w:t>
            </w:r>
          </w:p>
          <w:tbl>
            <w:tblPr>
              <w:tblStyle w:val="32"/>
              <w:tblW w:w="814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03"/>
              <w:gridCol w:w="3087"/>
              <w:gridCol w:w="1341"/>
              <w:gridCol w:w="1123"/>
              <w:gridCol w:w="1028"/>
            </w:tblGrid>
            <w:tr w14:paraId="25D5FF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65" w:type="dxa"/>
                  <w:tcBorders>
                    <w:top w:val="single" w:color="auto" w:sz="4" w:space="0"/>
                    <w:left w:val="single" w:color="auto" w:sz="0" w:space="0"/>
                  </w:tcBorders>
                  <w:tcMar>
                    <w:top w:w="0" w:type="dxa"/>
                    <w:left w:w="57" w:type="dxa"/>
                    <w:bottom w:w="0" w:type="dxa"/>
                    <w:right w:w="57" w:type="dxa"/>
                  </w:tcMar>
                  <w:vAlign w:val="center"/>
                </w:tcPr>
                <w:p w14:paraId="43BBD8A1">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排放口</w:t>
                  </w:r>
                </w:p>
              </w:tc>
              <w:tc>
                <w:tcPr>
                  <w:tcW w:w="803" w:type="dxa"/>
                  <w:tcBorders>
                    <w:top w:val="single" w:color="auto" w:sz="4" w:space="0"/>
                  </w:tcBorders>
                  <w:tcMar>
                    <w:top w:w="0" w:type="dxa"/>
                    <w:left w:w="57" w:type="dxa"/>
                    <w:bottom w:w="0" w:type="dxa"/>
                    <w:right w:w="57" w:type="dxa"/>
                  </w:tcMar>
                  <w:vAlign w:val="center"/>
                </w:tcPr>
                <w:p w14:paraId="2AE73C4A">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污染物</w:t>
                  </w:r>
                </w:p>
              </w:tc>
              <w:tc>
                <w:tcPr>
                  <w:tcW w:w="3087" w:type="dxa"/>
                  <w:tcBorders>
                    <w:top w:val="single" w:color="auto" w:sz="4" w:space="0"/>
                  </w:tcBorders>
                  <w:tcMar>
                    <w:top w:w="0" w:type="dxa"/>
                    <w:left w:w="57" w:type="dxa"/>
                    <w:bottom w:w="0" w:type="dxa"/>
                    <w:right w:w="57" w:type="dxa"/>
                  </w:tcMar>
                  <w:vAlign w:val="center"/>
                </w:tcPr>
                <w:p w14:paraId="24551F11">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处理措施</w:t>
                  </w:r>
                </w:p>
              </w:tc>
              <w:tc>
                <w:tcPr>
                  <w:tcW w:w="1341" w:type="dxa"/>
                  <w:tcBorders>
                    <w:top w:val="single" w:color="auto" w:sz="4" w:space="0"/>
                  </w:tcBorders>
                  <w:tcMar>
                    <w:top w:w="0" w:type="dxa"/>
                    <w:left w:w="57" w:type="dxa"/>
                    <w:bottom w:w="0" w:type="dxa"/>
                    <w:right w:w="57" w:type="dxa"/>
                  </w:tcMar>
                  <w:vAlign w:val="center"/>
                </w:tcPr>
                <w:p w14:paraId="4EEA7BA8">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排放浓度</w:t>
                  </w:r>
                </w:p>
              </w:tc>
              <w:tc>
                <w:tcPr>
                  <w:tcW w:w="1123" w:type="dxa"/>
                  <w:tcBorders>
                    <w:top w:val="single" w:color="auto" w:sz="4" w:space="0"/>
                  </w:tcBorders>
                  <w:tcMar>
                    <w:top w:w="0" w:type="dxa"/>
                    <w:left w:w="57" w:type="dxa"/>
                    <w:bottom w:w="0" w:type="dxa"/>
                    <w:right w:w="57" w:type="dxa"/>
                  </w:tcMar>
                  <w:vAlign w:val="center"/>
                </w:tcPr>
                <w:p w14:paraId="169BF439">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排放量</w:t>
                  </w:r>
                </w:p>
              </w:tc>
              <w:tc>
                <w:tcPr>
                  <w:tcW w:w="1028" w:type="dxa"/>
                  <w:tcBorders>
                    <w:top w:val="single" w:color="auto" w:sz="4" w:space="0"/>
                    <w:right w:val="single" w:color="auto" w:sz="4" w:space="0"/>
                  </w:tcBorders>
                  <w:tcMar>
                    <w:top w:w="0" w:type="dxa"/>
                    <w:left w:w="57" w:type="dxa"/>
                    <w:bottom w:w="0" w:type="dxa"/>
                    <w:right w:w="57" w:type="dxa"/>
                  </w:tcMar>
                  <w:vAlign w:val="center"/>
                </w:tcPr>
                <w:p w14:paraId="1641487F">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排放方式</w:t>
                  </w:r>
                </w:p>
              </w:tc>
            </w:tr>
            <w:tr w14:paraId="4F434A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147" w:type="dxa"/>
                  <w:gridSpan w:val="6"/>
                  <w:tcBorders>
                    <w:left w:val="single" w:color="auto" w:sz="4" w:space="0"/>
                    <w:right w:val="single" w:color="auto" w:sz="4" w:space="0"/>
                  </w:tcBorders>
                  <w:tcMar>
                    <w:top w:w="0" w:type="dxa"/>
                    <w:left w:w="57" w:type="dxa"/>
                    <w:bottom w:w="0" w:type="dxa"/>
                    <w:right w:w="57" w:type="dxa"/>
                  </w:tcMar>
                  <w:vAlign w:val="center"/>
                </w:tcPr>
                <w:p w14:paraId="0713D52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正常工况</w:t>
                  </w:r>
                </w:p>
              </w:tc>
            </w:tr>
            <w:tr w14:paraId="3F1555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65" w:type="dxa"/>
                  <w:tcBorders>
                    <w:left w:val="single" w:color="auto" w:sz="4" w:space="0"/>
                  </w:tcBorders>
                  <w:tcMar>
                    <w:top w:w="0" w:type="dxa"/>
                    <w:left w:w="57" w:type="dxa"/>
                    <w:bottom w:w="0" w:type="dxa"/>
                    <w:right w:w="57" w:type="dxa"/>
                  </w:tcMar>
                  <w:vAlign w:val="center"/>
                </w:tcPr>
                <w:p w14:paraId="09ED6C8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DA001</w:t>
                  </w:r>
                </w:p>
              </w:tc>
              <w:tc>
                <w:tcPr>
                  <w:tcW w:w="803" w:type="dxa"/>
                  <w:tcMar>
                    <w:top w:w="0" w:type="dxa"/>
                    <w:left w:w="57" w:type="dxa"/>
                    <w:bottom w:w="0" w:type="dxa"/>
                    <w:right w:w="57" w:type="dxa"/>
                  </w:tcMar>
                  <w:vAlign w:val="center"/>
                </w:tcPr>
                <w:p w14:paraId="2134ED0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油烟</w:t>
                  </w:r>
                </w:p>
              </w:tc>
              <w:tc>
                <w:tcPr>
                  <w:tcW w:w="3087" w:type="dxa"/>
                  <w:tcMar>
                    <w:top w:w="0" w:type="dxa"/>
                    <w:left w:w="57" w:type="dxa"/>
                    <w:bottom w:w="0" w:type="dxa"/>
                    <w:right w:w="57" w:type="dxa"/>
                  </w:tcMar>
                  <w:vAlign w:val="center"/>
                </w:tcPr>
                <w:p w14:paraId="150D7EBE">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油烟净化器（</w:t>
                  </w:r>
                  <w:r>
                    <w:rPr>
                      <w:rFonts w:hint="eastAsia"/>
                      <w:color w:val="000000" w:themeColor="text1"/>
                      <w:szCs w:val="21"/>
                      <w:highlight w:val="none"/>
                      <w14:textFill>
                        <w14:solidFill>
                          <w14:schemeClr w14:val="tx1"/>
                        </w14:solidFill>
                      </w14:textFill>
                    </w:rPr>
                    <w:t>85</w:t>
                  </w:r>
                  <w:r>
                    <w:rPr>
                      <w:color w:val="000000" w:themeColor="text1"/>
                      <w:szCs w:val="21"/>
                      <w:highlight w:val="none"/>
                      <w14:textFill>
                        <w14:solidFill>
                          <w14:schemeClr w14:val="tx1"/>
                        </w14:solidFill>
                      </w14:textFill>
                    </w:rPr>
                    <w:t>%净化效率+1000</w:t>
                  </w:r>
                  <w:r>
                    <w:rPr>
                      <w:rFonts w:hint="eastAsia"/>
                      <w:color w:val="000000" w:themeColor="text1"/>
                      <w:szCs w:val="21"/>
                      <w:highlight w:val="none"/>
                      <w14:textFill>
                        <w14:solidFill>
                          <w14:schemeClr w14:val="tx1"/>
                        </w14:solidFill>
                      </w14:textFill>
                    </w:rPr>
                    <w:t>m³</w:t>
                  </w:r>
                  <w:r>
                    <w:rPr>
                      <w:color w:val="000000" w:themeColor="text1"/>
                      <w:szCs w:val="21"/>
                      <w:highlight w:val="none"/>
                      <w14:textFill>
                        <w14:solidFill>
                          <w14:schemeClr w14:val="tx1"/>
                        </w14:solidFill>
                      </w14:textFill>
                    </w:rPr>
                    <w:t>/h风机）</w:t>
                  </w:r>
                </w:p>
              </w:tc>
              <w:tc>
                <w:tcPr>
                  <w:tcW w:w="1341" w:type="dxa"/>
                  <w:tcMar>
                    <w:top w:w="0" w:type="dxa"/>
                    <w:left w:w="57" w:type="dxa"/>
                    <w:bottom w:w="0" w:type="dxa"/>
                    <w:right w:w="57" w:type="dxa"/>
                  </w:tcMar>
                  <w:vAlign w:val="center"/>
                </w:tcPr>
                <w:p w14:paraId="611604F0">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0.3</w:t>
                  </w:r>
                  <w:r>
                    <w:rPr>
                      <w:color w:val="000000" w:themeColor="text1"/>
                      <w:szCs w:val="21"/>
                      <w:highlight w:val="none"/>
                      <w14:textFill>
                        <w14:solidFill>
                          <w14:schemeClr w14:val="tx1"/>
                        </w14:solidFill>
                      </w14:textFill>
                    </w:rPr>
                    <w:t>mg/</w:t>
                  </w:r>
                  <w:r>
                    <w:rPr>
                      <w:rFonts w:hint="eastAsia"/>
                      <w:color w:val="000000" w:themeColor="text1"/>
                      <w:szCs w:val="21"/>
                      <w:highlight w:val="none"/>
                      <w14:textFill>
                        <w14:solidFill>
                          <w14:schemeClr w14:val="tx1"/>
                        </w14:solidFill>
                      </w14:textFill>
                    </w:rPr>
                    <w:t>m³</w:t>
                  </w:r>
                </w:p>
              </w:tc>
              <w:tc>
                <w:tcPr>
                  <w:tcW w:w="1123" w:type="dxa"/>
                  <w:tcMar>
                    <w:top w:w="0" w:type="dxa"/>
                    <w:left w:w="57" w:type="dxa"/>
                    <w:bottom w:w="0" w:type="dxa"/>
                    <w:right w:w="57" w:type="dxa"/>
                  </w:tcMar>
                  <w:vAlign w:val="center"/>
                </w:tcPr>
                <w:p w14:paraId="3AD0502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0.00</w:t>
                  </w:r>
                  <w:r>
                    <w:rPr>
                      <w:rFonts w:hint="eastAsia"/>
                      <w:color w:val="000000" w:themeColor="text1"/>
                      <w:szCs w:val="21"/>
                      <w:highlight w:val="none"/>
                      <w:lang w:val="en-US" w:eastAsia="zh-CN"/>
                      <w14:textFill>
                        <w14:solidFill>
                          <w14:schemeClr w14:val="tx1"/>
                        </w14:solidFill>
                      </w14:textFill>
                    </w:rPr>
                    <w:t>033</w:t>
                  </w:r>
                  <w:r>
                    <w:rPr>
                      <w:color w:val="000000" w:themeColor="text1"/>
                      <w:szCs w:val="21"/>
                      <w:highlight w:val="none"/>
                      <w14:textFill>
                        <w14:solidFill>
                          <w14:schemeClr w14:val="tx1"/>
                        </w14:solidFill>
                      </w14:textFill>
                    </w:rPr>
                    <w:t>t/a</w:t>
                  </w:r>
                </w:p>
              </w:tc>
              <w:tc>
                <w:tcPr>
                  <w:tcW w:w="1028" w:type="dxa"/>
                  <w:tcBorders>
                    <w:right w:val="single" w:color="auto" w:sz="4" w:space="0"/>
                  </w:tcBorders>
                  <w:tcMar>
                    <w:top w:w="0" w:type="dxa"/>
                    <w:left w:w="57" w:type="dxa"/>
                    <w:bottom w:w="0" w:type="dxa"/>
                    <w:right w:w="57" w:type="dxa"/>
                  </w:tcMar>
                  <w:vAlign w:val="center"/>
                </w:tcPr>
                <w:p w14:paraId="7863DAF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有组织</w:t>
                  </w:r>
                </w:p>
              </w:tc>
            </w:tr>
            <w:tr w14:paraId="1233B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147" w:type="dxa"/>
                  <w:gridSpan w:val="6"/>
                  <w:tcBorders>
                    <w:left w:val="single" w:color="auto" w:sz="4" w:space="0"/>
                    <w:right w:val="single" w:color="auto" w:sz="4" w:space="0"/>
                  </w:tcBorders>
                  <w:tcMar>
                    <w:top w:w="0" w:type="dxa"/>
                    <w:left w:w="57" w:type="dxa"/>
                    <w:bottom w:w="0" w:type="dxa"/>
                    <w:right w:w="57" w:type="dxa"/>
                  </w:tcMar>
                  <w:vAlign w:val="center"/>
                </w:tcPr>
                <w:p w14:paraId="49CF77C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非正常工况</w:t>
                  </w:r>
                </w:p>
              </w:tc>
            </w:tr>
            <w:tr w14:paraId="6DDF0D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65" w:type="dxa"/>
                  <w:tcBorders>
                    <w:left w:val="single" w:color="auto" w:sz="4" w:space="0"/>
                    <w:bottom w:val="single" w:color="auto" w:sz="4" w:space="0"/>
                  </w:tcBorders>
                  <w:tcMar>
                    <w:top w:w="0" w:type="dxa"/>
                    <w:left w:w="57" w:type="dxa"/>
                    <w:bottom w:w="0" w:type="dxa"/>
                    <w:right w:w="57" w:type="dxa"/>
                  </w:tcMar>
                  <w:vAlign w:val="center"/>
                </w:tcPr>
                <w:p w14:paraId="6A0D36F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DA001</w:t>
                  </w:r>
                </w:p>
              </w:tc>
              <w:tc>
                <w:tcPr>
                  <w:tcW w:w="803" w:type="dxa"/>
                  <w:tcBorders>
                    <w:bottom w:val="single" w:color="auto" w:sz="4" w:space="0"/>
                  </w:tcBorders>
                  <w:tcMar>
                    <w:top w:w="0" w:type="dxa"/>
                    <w:left w:w="57" w:type="dxa"/>
                    <w:bottom w:w="0" w:type="dxa"/>
                    <w:right w:w="57" w:type="dxa"/>
                  </w:tcMar>
                  <w:vAlign w:val="center"/>
                </w:tcPr>
                <w:p w14:paraId="436592F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油烟</w:t>
                  </w:r>
                </w:p>
              </w:tc>
              <w:tc>
                <w:tcPr>
                  <w:tcW w:w="3087" w:type="dxa"/>
                  <w:tcBorders>
                    <w:bottom w:val="single" w:color="auto" w:sz="4" w:space="0"/>
                  </w:tcBorders>
                  <w:tcMar>
                    <w:top w:w="0" w:type="dxa"/>
                    <w:left w:w="57" w:type="dxa"/>
                    <w:bottom w:w="0" w:type="dxa"/>
                    <w:right w:w="57" w:type="dxa"/>
                  </w:tcMar>
                  <w:vAlign w:val="center"/>
                </w:tcPr>
                <w:p w14:paraId="3C21510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油烟净化器（0%净化效率+1000</w:t>
                  </w:r>
                  <w:r>
                    <w:rPr>
                      <w:rFonts w:hint="eastAsia"/>
                      <w:color w:val="000000" w:themeColor="text1"/>
                      <w:szCs w:val="21"/>
                      <w:highlight w:val="none"/>
                      <w14:textFill>
                        <w14:solidFill>
                          <w14:schemeClr w14:val="tx1"/>
                        </w14:solidFill>
                      </w14:textFill>
                    </w:rPr>
                    <w:t>m³</w:t>
                  </w:r>
                  <w:r>
                    <w:rPr>
                      <w:color w:val="000000" w:themeColor="text1"/>
                      <w:szCs w:val="21"/>
                      <w:highlight w:val="none"/>
                      <w14:textFill>
                        <w14:solidFill>
                          <w14:schemeClr w14:val="tx1"/>
                        </w14:solidFill>
                      </w14:textFill>
                    </w:rPr>
                    <w:t>/h风机）</w:t>
                  </w:r>
                </w:p>
              </w:tc>
              <w:tc>
                <w:tcPr>
                  <w:tcW w:w="1341" w:type="dxa"/>
                  <w:tcBorders>
                    <w:bottom w:val="single" w:color="auto" w:sz="4" w:space="0"/>
                  </w:tcBorders>
                  <w:tcMar>
                    <w:top w:w="0" w:type="dxa"/>
                    <w:left w:w="57" w:type="dxa"/>
                    <w:bottom w:w="0" w:type="dxa"/>
                    <w:right w:w="57" w:type="dxa"/>
                  </w:tcMar>
                  <w:vAlign w:val="center"/>
                </w:tcPr>
                <w:p w14:paraId="705B7FBC">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w:t>
                  </w:r>
                  <w:r>
                    <w:rPr>
                      <w:color w:val="000000" w:themeColor="text1"/>
                      <w:szCs w:val="21"/>
                      <w:highlight w:val="none"/>
                      <w14:textFill>
                        <w14:solidFill>
                          <w14:schemeClr w14:val="tx1"/>
                        </w14:solidFill>
                      </w14:textFill>
                    </w:rPr>
                    <w:t>mg/</w:t>
                  </w:r>
                  <w:r>
                    <w:rPr>
                      <w:rFonts w:hint="eastAsia"/>
                      <w:color w:val="000000" w:themeColor="text1"/>
                      <w:szCs w:val="21"/>
                      <w:highlight w:val="none"/>
                      <w14:textFill>
                        <w14:solidFill>
                          <w14:schemeClr w14:val="tx1"/>
                        </w14:solidFill>
                      </w14:textFill>
                    </w:rPr>
                    <w:t>m³</w:t>
                  </w:r>
                </w:p>
              </w:tc>
              <w:tc>
                <w:tcPr>
                  <w:tcW w:w="1123" w:type="dxa"/>
                  <w:tcBorders>
                    <w:bottom w:val="single" w:color="auto" w:sz="4" w:space="0"/>
                  </w:tcBorders>
                  <w:tcMar>
                    <w:top w:w="0" w:type="dxa"/>
                    <w:left w:w="57" w:type="dxa"/>
                    <w:bottom w:w="0" w:type="dxa"/>
                    <w:right w:w="57" w:type="dxa"/>
                  </w:tcMar>
                  <w:vAlign w:val="center"/>
                </w:tcPr>
                <w:p w14:paraId="3CD0860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w:t>
                  </w:r>
                  <w:r>
                    <w:rPr>
                      <w:rFonts w:hint="eastAsia"/>
                      <w:color w:val="000000" w:themeColor="text1"/>
                      <w:szCs w:val="21"/>
                      <w:highlight w:val="none"/>
                      <w:lang w:val="en-US" w:eastAsia="zh-CN"/>
                      <w14:textFill>
                        <w14:solidFill>
                          <w14:schemeClr w14:val="tx1"/>
                        </w14:solidFill>
                      </w14:textFill>
                    </w:rPr>
                    <w:t>018</w:t>
                  </w:r>
                  <w:r>
                    <w:rPr>
                      <w:color w:val="000000" w:themeColor="text1"/>
                      <w:szCs w:val="21"/>
                      <w:highlight w:val="none"/>
                      <w14:textFill>
                        <w14:solidFill>
                          <w14:schemeClr w14:val="tx1"/>
                        </w14:solidFill>
                      </w14:textFill>
                    </w:rPr>
                    <w:t>kg/a</w:t>
                  </w:r>
                </w:p>
              </w:tc>
              <w:tc>
                <w:tcPr>
                  <w:tcW w:w="1028" w:type="dxa"/>
                  <w:tcBorders>
                    <w:bottom w:val="single" w:color="auto" w:sz="4" w:space="0"/>
                    <w:right w:val="single" w:color="auto" w:sz="4" w:space="0"/>
                  </w:tcBorders>
                  <w:tcMar>
                    <w:top w:w="0" w:type="dxa"/>
                    <w:left w:w="57" w:type="dxa"/>
                    <w:bottom w:w="0" w:type="dxa"/>
                    <w:right w:w="57" w:type="dxa"/>
                  </w:tcMar>
                  <w:vAlign w:val="center"/>
                </w:tcPr>
                <w:p w14:paraId="57B3AF1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有组织</w:t>
                  </w:r>
                </w:p>
              </w:tc>
            </w:tr>
          </w:tbl>
          <w:p w14:paraId="0C6D1DF4">
            <w:pPr>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正常工况：本项目食堂就餐人数71人/餐，消耗动植物油以25g/人·d计，则食堂年消耗食用油</w:t>
            </w:r>
            <w:r>
              <w:rPr>
                <w:rFonts w:hint="eastAsia"/>
                <w:color w:val="000000" w:themeColor="text1"/>
                <w:sz w:val="24"/>
                <w:highlight w:val="none"/>
                <w:lang w:val="en-US" w:eastAsia="zh-CN"/>
                <w14:textFill>
                  <w14:solidFill>
                    <w14:schemeClr w14:val="tx1"/>
                  </w14:solidFill>
                </w14:textFill>
              </w:rPr>
              <w:t>73</w:t>
            </w:r>
            <w:r>
              <w:rPr>
                <w:rFonts w:hint="eastAsia"/>
                <w:color w:val="000000" w:themeColor="text1"/>
                <w:sz w:val="24"/>
                <w:highlight w:val="none"/>
                <w14:textFill>
                  <w14:solidFill>
                    <w14:schemeClr w14:val="tx1"/>
                  </w14:solidFill>
                </w14:textFill>
              </w:rPr>
              <w:t>kg/a。食物烹饪、加工过程中产生油烟废气，油烟的产生量按食用油的3%计算，则食堂油烟产生量约</w:t>
            </w:r>
            <w:r>
              <w:rPr>
                <w:rFonts w:hint="eastAsia"/>
                <w:color w:val="000000" w:themeColor="text1"/>
                <w:sz w:val="24"/>
                <w:highlight w:val="none"/>
                <w:lang w:val="en-US" w:eastAsia="zh-CN"/>
                <w14:textFill>
                  <w14:solidFill>
                    <w14:schemeClr w14:val="tx1"/>
                  </w14:solidFill>
                </w14:textFill>
              </w:rPr>
              <w:t>2.19</w:t>
            </w:r>
            <w:r>
              <w:rPr>
                <w:rFonts w:hint="eastAsia"/>
                <w:color w:val="000000" w:themeColor="text1"/>
                <w:sz w:val="24"/>
                <w:highlight w:val="none"/>
                <w14:textFill>
                  <w14:solidFill>
                    <w14:schemeClr w14:val="tx1"/>
                  </w14:solidFill>
                </w14:textFill>
              </w:rPr>
              <w:t>kg/a，每天按2h/餐计算，则日排烟6h，油烟产生速率为0.00</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kg/h，产生浓度为</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mg/m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，本项目食堂灶头上部按要求安装排风罩，并配套安装1台抽油烟机，净化效率85%。排风罩总风量</w:t>
            </w:r>
            <w:r>
              <w:rPr>
                <w:rFonts w:hint="eastAsia"/>
                <w:color w:val="000000" w:themeColor="text1"/>
                <w:sz w:val="24"/>
                <w:highlight w:val="none"/>
                <w:lang w:val="en-US" w:eastAsia="zh-CN"/>
                <w14:textFill>
                  <w14:solidFill>
                    <w14:schemeClr w14:val="tx1"/>
                  </w14:solidFill>
                </w14:textFill>
              </w:rPr>
              <w:t>500</w:t>
            </w:r>
            <w:r>
              <w:rPr>
                <w:rFonts w:hint="eastAsia"/>
                <w:color w:val="000000" w:themeColor="text1"/>
                <w:sz w:val="24"/>
                <w:highlight w:val="none"/>
                <w14:textFill>
                  <w14:solidFill>
                    <w14:schemeClr w14:val="tx1"/>
                  </w14:solidFill>
                </w14:textFill>
              </w:rPr>
              <w:t>m³/h，则油烟排放浓度</w:t>
            </w:r>
            <w:r>
              <w:rPr>
                <w:rFonts w:hint="eastAsia"/>
                <w:color w:val="000000" w:themeColor="text1"/>
                <w:sz w:val="24"/>
                <w:highlight w:val="none"/>
                <w:lang w:val="en-US" w:eastAsia="zh-CN"/>
                <w14:textFill>
                  <w14:solidFill>
                    <w14:schemeClr w14:val="tx1"/>
                  </w14:solidFill>
                </w14:textFill>
              </w:rPr>
              <w:t>0.30</w:t>
            </w:r>
            <w:r>
              <w:rPr>
                <w:rFonts w:hint="eastAsia"/>
                <w:color w:val="000000" w:themeColor="text1"/>
                <w:sz w:val="24"/>
                <w:highlight w:val="none"/>
                <w14:textFill>
                  <w14:solidFill>
                    <w14:schemeClr w14:val="tx1"/>
                  </w14:solidFill>
                </w14:textFill>
              </w:rPr>
              <w:t>mg/m³，排放量为0.0</w:t>
            </w:r>
            <w:r>
              <w:rPr>
                <w:rFonts w:hint="eastAsia"/>
                <w:color w:val="000000" w:themeColor="text1"/>
                <w:sz w:val="24"/>
                <w:highlight w:val="none"/>
                <w:lang w:val="en-US" w:eastAsia="zh-CN"/>
                <w14:textFill>
                  <w14:solidFill>
                    <w14:schemeClr w14:val="tx1"/>
                  </w14:solidFill>
                </w14:textFill>
              </w:rPr>
              <w:t>0033</w:t>
            </w:r>
            <w:r>
              <w:rPr>
                <w:rFonts w:hint="eastAsia"/>
                <w:color w:val="000000" w:themeColor="text1"/>
                <w:sz w:val="24"/>
                <w:highlight w:val="none"/>
                <w14:textFill>
                  <w14:solidFill>
                    <w14:schemeClr w14:val="tx1"/>
                  </w14:solidFill>
                </w14:textFill>
              </w:rPr>
              <w:t>t/a。</w:t>
            </w:r>
          </w:p>
          <w:p w14:paraId="47F8DCF0">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非正常工况：本项目废气排放非正常工况以油烟净化器损坏造成设备净化效率为0%计算，预计每年产生3次，每次持续1d，则非正常工况下项目油烟排放8.824mg/m³，0.159kg/a。</w:t>
            </w:r>
          </w:p>
          <w:p w14:paraId="49562602">
            <w:pPr>
              <w:wordWrap w:val="0"/>
              <w:spacing w:line="360" w:lineRule="auto"/>
              <w:ind w:firstLine="482" w:firstLineChars="200"/>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3.2废气环保设施合理性分析</w:t>
            </w:r>
          </w:p>
          <w:p w14:paraId="51B7F4FC">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项目废气环保设施排放口设置情况见下表。</w:t>
            </w:r>
          </w:p>
          <w:p w14:paraId="722E6347">
            <w:pPr>
              <w:autoSpaceDE w:val="0"/>
              <w:autoSpaceDN w:val="0"/>
              <w:adjustRightInd w:val="0"/>
              <w:jc w:val="cente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表4-4  废气环保设施排放口设置情况</w:t>
            </w:r>
          </w:p>
          <w:tbl>
            <w:tblPr>
              <w:tblStyle w:val="32"/>
              <w:tblW w:w="8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3577"/>
              <w:gridCol w:w="954"/>
              <w:gridCol w:w="782"/>
              <w:gridCol w:w="782"/>
              <w:gridCol w:w="1114"/>
            </w:tblGrid>
            <w:tr w14:paraId="55BD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33" w:type="dxa"/>
                  <w:vAlign w:val="center"/>
                </w:tcPr>
                <w:p w14:paraId="72A1D968">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排放口</w:t>
                  </w:r>
                </w:p>
              </w:tc>
              <w:tc>
                <w:tcPr>
                  <w:tcW w:w="3577" w:type="dxa"/>
                  <w:vAlign w:val="center"/>
                </w:tcPr>
                <w:p w14:paraId="1804E9DB">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名称</w:t>
                  </w:r>
                </w:p>
              </w:tc>
              <w:tc>
                <w:tcPr>
                  <w:tcW w:w="954" w:type="dxa"/>
                  <w:vAlign w:val="center"/>
                </w:tcPr>
                <w:p w14:paraId="6D0E9A3E">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内径</w:t>
                  </w:r>
                </w:p>
              </w:tc>
              <w:tc>
                <w:tcPr>
                  <w:tcW w:w="782" w:type="dxa"/>
                  <w:vAlign w:val="center"/>
                </w:tcPr>
                <w:p w14:paraId="03584765">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温度</w:t>
                  </w:r>
                </w:p>
              </w:tc>
              <w:tc>
                <w:tcPr>
                  <w:tcW w:w="782" w:type="dxa"/>
                  <w:vAlign w:val="center"/>
                </w:tcPr>
                <w:p w14:paraId="4A08AD8F">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高度</w:t>
                  </w:r>
                </w:p>
              </w:tc>
              <w:tc>
                <w:tcPr>
                  <w:tcW w:w="1114" w:type="dxa"/>
                  <w:vAlign w:val="center"/>
                </w:tcPr>
                <w:p w14:paraId="1BD8EF77">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排放方式</w:t>
                  </w:r>
                </w:p>
              </w:tc>
            </w:tr>
            <w:tr w14:paraId="53F0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33" w:type="dxa"/>
                  <w:vAlign w:val="center"/>
                </w:tcPr>
                <w:p w14:paraId="0F07E99F">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DA001</w:t>
                  </w:r>
                </w:p>
              </w:tc>
              <w:tc>
                <w:tcPr>
                  <w:tcW w:w="3577" w:type="dxa"/>
                  <w:vAlign w:val="center"/>
                </w:tcPr>
                <w:p w14:paraId="310246CD">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油烟净化器排口</w:t>
                  </w:r>
                </w:p>
              </w:tc>
              <w:tc>
                <w:tcPr>
                  <w:tcW w:w="954" w:type="dxa"/>
                  <w:vAlign w:val="center"/>
                </w:tcPr>
                <w:p w14:paraId="4654AB4B">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0.4m</w:t>
                  </w:r>
                </w:p>
              </w:tc>
              <w:tc>
                <w:tcPr>
                  <w:tcW w:w="782" w:type="dxa"/>
                  <w:vAlign w:val="center"/>
                </w:tcPr>
                <w:p w14:paraId="43B5847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40℃</w:t>
                  </w:r>
                </w:p>
              </w:tc>
              <w:tc>
                <w:tcPr>
                  <w:tcW w:w="782" w:type="dxa"/>
                  <w:vAlign w:val="center"/>
                </w:tcPr>
                <w:p w14:paraId="7DB762E4">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8m</w:t>
                  </w:r>
                </w:p>
              </w:tc>
              <w:tc>
                <w:tcPr>
                  <w:tcW w:w="1114" w:type="dxa"/>
                  <w:vAlign w:val="center"/>
                </w:tcPr>
                <w:p w14:paraId="033C1AD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有组织</w:t>
                  </w:r>
                </w:p>
              </w:tc>
            </w:tr>
          </w:tbl>
          <w:p w14:paraId="7005E949">
            <w:pPr>
              <w:wordWrap w:val="0"/>
              <w:spacing w:line="360" w:lineRule="auto"/>
              <w:ind w:firstLine="480" w:firstLineChars="200"/>
              <w:jc w:val="left"/>
              <w:rPr>
                <w:b/>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本项目食堂基准灶头数为</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，根据《饮食业油烟排放标准（试行）》（GB18483-2001）表1饮食业单位的规模划分，本项目规模为</w:t>
            </w:r>
            <w:r>
              <w:rPr>
                <w:rFonts w:hint="eastAsia"/>
                <w:color w:val="000000" w:themeColor="text1"/>
                <w:sz w:val="24"/>
                <w:highlight w:val="none"/>
                <w:lang w:val="en-US" w:eastAsia="zh-CN"/>
                <w14:textFill>
                  <w14:solidFill>
                    <w14:schemeClr w14:val="tx1"/>
                  </w14:solidFill>
                </w14:textFill>
              </w:rPr>
              <w:t>小</w:t>
            </w:r>
            <w:r>
              <w:rPr>
                <w:rFonts w:hint="eastAsia"/>
                <w:color w:val="000000" w:themeColor="text1"/>
                <w:sz w:val="24"/>
                <w:highlight w:val="none"/>
                <w14:textFill>
                  <w14:solidFill>
                    <w14:schemeClr w14:val="tx1"/>
                  </w14:solidFill>
                </w14:textFill>
              </w:rPr>
              <w:t>型，并配套安装1台抽油烟机，净化效率85%，食堂</w:t>
            </w:r>
            <w:r>
              <w:rPr>
                <w:rFonts w:hint="eastAsia"/>
                <w:color w:val="000000" w:themeColor="text1"/>
                <w:sz w:val="24"/>
                <w:highlight w:val="none"/>
                <w:lang w:val="en-US" w:eastAsia="zh-CN"/>
                <w14:textFill>
                  <w14:solidFill>
                    <w14:schemeClr w14:val="tx1"/>
                  </w14:solidFill>
                </w14:textFill>
              </w:rPr>
              <w:t>油烟</w:t>
            </w:r>
            <w:r>
              <w:rPr>
                <w:rFonts w:hint="eastAsia"/>
                <w:color w:val="000000" w:themeColor="text1"/>
                <w:sz w:val="24"/>
                <w:highlight w:val="none"/>
                <w14:textFill>
                  <w14:solidFill>
                    <w14:schemeClr w14:val="tx1"/>
                  </w14:solidFill>
                </w14:textFill>
              </w:rPr>
              <w:t>屋顶排放，排放浓度满足《饮食业油烟排放标准（试行）》（GB18483-2001）表2饮食业单位的油烟最高允许排放浓度（2.0mg/m³）和油烟净化设施最低去除效率（</w:t>
            </w:r>
            <w:r>
              <w:rPr>
                <w:rFonts w:hint="eastAsia"/>
                <w:color w:val="000000" w:themeColor="text1"/>
                <w:sz w:val="24"/>
                <w:highlight w:val="none"/>
                <w:lang w:val="en-US" w:eastAsia="zh-CN"/>
                <w14:textFill>
                  <w14:solidFill>
                    <w14:schemeClr w14:val="tx1"/>
                  </w14:solidFill>
                </w14:textFill>
              </w:rPr>
              <w:t>60</w:t>
            </w:r>
            <w:r>
              <w:rPr>
                <w:rFonts w:hint="eastAsia"/>
                <w:color w:val="000000" w:themeColor="text1"/>
                <w:sz w:val="24"/>
                <w:highlight w:val="none"/>
                <w14:textFill>
                  <w14:solidFill>
                    <w14:schemeClr w14:val="tx1"/>
                  </w14:solidFill>
                </w14:textFill>
              </w:rPr>
              <w:t>%）的限值要求。故项目油烟净化器设置《排污许可证申请与核发技术规范 总则》（HJ942-2018）对可行性设备的要求，使用该设备技术可行。</w:t>
            </w:r>
          </w:p>
          <w:p w14:paraId="6D24CB32">
            <w:pPr>
              <w:pStyle w:val="64"/>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4、运营期声环境影响分析</w:t>
            </w:r>
          </w:p>
          <w:p w14:paraId="758413F9">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项目运营期噪声源主要来自储能站及</w:t>
            </w:r>
            <w:r>
              <w:rPr>
                <w:rFonts w:hint="eastAsia"/>
                <w:color w:val="000000" w:themeColor="text1"/>
                <w:sz w:val="24"/>
                <w:szCs w:val="32"/>
                <w:highlight w:val="none"/>
                <w14:textFill>
                  <w14:solidFill>
                    <w14:schemeClr w14:val="tx1"/>
                  </w14:solidFill>
                </w14:textFill>
              </w:rPr>
              <w:t>升压站</w:t>
            </w:r>
            <w:r>
              <w:rPr>
                <w:color w:val="000000" w:themeColor="text1"/>
                <w:sz w:val="24"/>
                <w:highlight w:val="none"/>
                <w14:textFill>
                  <w14:solidFill>
                    <w14:schemeClr w14:val="tx1"/>
                  </w14:solidFill>
                </w14:textFill>
              </w:rPr>
              <w:t>电器设备</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输电线路</w:t>
            </w:r>
            <w:r>
              <w:rPr>
                <w:color w:val="000000" w:themeColor="text1"/>
                <w:sz w:val="24"/>
                <w:highlight w:val="none"/>
                <w14:textFill>
                  <w14:solidFill>
                    <w14:schemeClr w14:val="tx1"/>
                  </w14:solidFill>
                </w14:textFill>
              </w:rPr>
              <w:t>运行时所产生的电磁噪声</w:t>
            </w:r>
            <w:r>
              <w:rPr>
                <w:rFonts w:hint="eastAsia"/>
                <w:color w:val="000000" w:themeColor="text1"/>
                <w:sz w:val="24"/>
                <w:highlight w:val="none"/>
                <w14:textFill>
                  <w14:solidFill>
                    <w14:schemeClr w14:val="tx1"/>
                  </w14:solidFill>
                </w14:textFill>
              </w:rPr>
              <w:t>。</w:t>
            </w:r>
          </w:p>
          <w:p w14:paraId="24864892">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2" w:firstLineChars="200"/>
              <w:textAlignment w:val="auto"/>
              <w:rPr>
                <w:rFonts w:hint="eastAsia" w:cs="Times New Roman"/>
                <w:b/>
                <w:bCs/>
                <w:color w:val="000000" w:themeColor="text1"/>
                <w:sz w:val="24"/>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1、储能升压站</w:t>
            </w:r>
            <w:r>
              <w:rPr>
                <w:rFonts w:hint="eastAsia" w:cs="Times New Roman"/>
                <w:b/>
                <w:bCs/>
                <w:color w:val="000000" w:themeColor="text1"/>
                <w:sz w:val="24"/>
                <w:highlight w:val="none"/>
                <w:lang w:val="en-US" w:eastAsia="zh-CN"/>
                <w14:textFill>
                  <w14:solidFill>
                    <w14:schemeClr w14:val="tx1"/>
                  </w14:solidFill>
                </w14:textFill>
              </w:rPr>
              <w:t>声环境影响分析</w:t>
            </w:r>
          </w:p>
          <w:p w14:paraId="19E830F5">
            <w:pPr>
              <w:pStyle w:val="78"/>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（1）主要噪声源及源强</w:t>
            </w:r>
          </w:p>
          <w:p w14:paraId="103CB46D">
            <w:pPr>
              <w:pStyle w:val="78"/>
              <w:ind w:firstLine="480"/>
              <w:rPr>
                <w:b/>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储能站噪声源强主要为变压器及PCS噪声，项目储能交流成套设备采用户外升压一体机型式，将储能双向变流器、升压变压器、高压进线柜集成于储能户外升压一体机单元，本次环评将储能单元视为噪声源强进行评价。</w:t>
            </w:r>
            <w:r>
              <w:rPr>
                <w:color w:val="000000" w:themeColor="text1"/>
                <w:highlight w:val="none"/>
                <w14:textFill>
                  <w14:solidFill>
                    <w14:schemeClr w14:val="tx1"/>
                  </w14:solidFill>
                </w14:textFill>
              </w:rPr>
              <w:t>升压站的噪声主要是变压器高压电器设备运行时所产生的电磁噪声，</w:t>
            </w:r>
            <w:r>
              <w:rPr>
                <w:rFonts w:hint="eastAsia" w:cs="Times New Roman"/>
                <w:color w:val="000000" w:themeColor="text1"/>
                <w:highlight w:val="none"/>
                <w:lang w:val="en-US" w:eastAsia="zh-CN"/>
                <w14:textFill>
                  <w14:solidFill>
                    <w14:schemeClr w14:val="tx1"/>
                  </w14:solidFill>
                </w14:textFill>
              </w:rPr>
              <w:t>其中GIS是低噪声电力设备，日常运行无噪声，仅操作时产生短暂、低幅值的瞬时噪声，衰减速度快，故本次环评以变压器、SVG噪声为主要噪声源进行评价。</w:t>
            </w:r>
            <w:r>
              <w:rPr>
                <w:rFonts w:hint="eastAsia"/>
                <w:color w:val="000000" w:themeColor="text1"/>
                <w:highlight w:val="none"/>
                <w14:textFill>
                  <w14:solidFill>
                    <w14:schemeClr w14:val="tx1"/>
                  </w14:solidFill>
                </w14:textFill>
              </w:rPr>
              <w:t>参考</w:t>
            </w:r>
            <w:r>
              <w:rPr>
                <w:color w:val="000000" w:themeColor="text1"/>
                <w:highlight w:val="none"/>
                <w14:textFill>
                  <w14:solidFill>
                    <w14:schemeClr w14:val="tx1"/>
                  </w14:solidFill>
                </w14:textFill>
              </w:rPr>
              <w:t>《变电站噪声控制技术导则》（DL/T1518-2016）及实际调查，</w:t>
            </w:r>
            <w:r>
              <w:rPr>
                <w:rFonts w:hint="eastAsia"/>
                <w:color w:val="000000" w:themeColor="text1"/>
                <w:highlight w:val="none"/>
                <w14:textFill>
                  <w14:solidFill>
                    <w14:schemeClr w14:val="tx1"/>
                  </w14:solidFill>
                </w14:textFill>
              </w:rPr>
              <w:t>确定本次评价</w:t>
            </w:r>
            <w:r>
              <w:rPr>
                <w:color w:val="000000" w:themeColor="text1"/>
                <w:highlight w:val="none"/>
                <w14:textFill>
                  <w14:solidFill>
                    <w14:schemeClr w14:val="tx1"/>
                  </w14:solidFill>
                </w14:textFill>
              </w:rPr>
              <w:t>变压器声压级</w:t>
            </w:r>
            <w:r>
              <w:rPr>
                <w:rFonts w:hint="eastAsia"/>
                <w:color w:val="000000" w:themeColor="text1"/>
                <w:highlight w:val="none"/>
                <w14:textFill>
                  <w14:solidFill>
                    <w14:schemeClr w14:val="tx1"/>
                  </w14:solidFill>
                </w14:textFill>
              </w:rPr>
              <w:t>以70</w:t>
            </w:r>
            <w:r>
              <w:rPr>
                <w:color w:val="000000" w:themeColor="text1"/>
                <w:highlight w:val="none"/>
                <w14:textFill>
                  <w14:solidFill>
                    <w14:schemeClr w14:val="tx1"/>
                  </w14:solidFill>
                </w14:textFill>
              </w:rPr>
              <w:t>dB（A）</w:t>
            </w:r>
            <w:r>
              <w:rPr>
                <w:rFonts w:hint="eastAsia"/>
                <w:color w:val="000000" w:themeColor="text1"/>
                <w:highlight w:val="none"/>
                <w14:textFill>
                  <w14:solidFill>
                    <w14:schemeClr w14:val="tx1"/>
                  </w14:solidFill>
                </w14:textFill>
              </w:rPr>
              <w:t>计</w:t>
            </w:r>
            <w:r>
              <w:rPr>
                <w:color w:val="000000" w:themeColor="text1"/>
                <w:highlight w:val="none"/>
                <w14:textFill>
                  <w14:solidFill>
                    <w14:schemeClr w14:val="tx1"/>
                  </w14:solidFill>
                </w14:textFill>
              </w:rPr>
              <w:t>，项目噪声源强见表</w:t>
            </w:r>
            <w:r>
              <w:rPr>
                <w:rFonts w:hint="eastAsia"/>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t>。</w:t>
            </w:r>
          </w:p>
          <w:p w14:paraId="295A92C5">
            <w:pPr>
              <w:snapToGrid w:val="0"/>
              <w:spacing w:before="120" w:beforeLines="50"/>
              <w:jc w:val="center"/>
              <w:rPr>
                <w:rFonts w:hint="eastAsia" w:eastAsia="宋体"/>
                <w:b/>
                <w:color w:val="000000" w:themeColor="text1"/>
                <w:spacing w:val="12"/>
                <w:sz w:val="24"/>
                <w:szCs w:val="32"/>
                <w:highlight w:val="none"/>
                <w:lang w:eastAsia="zh-CN"/>
                <w14:textFill>
                  <w14:solidFill>
                    <w14:schemeClr w14:val="tx1"/>
                  </w14:solidFill>
                </w14:textFill>
              </w:rPr>
            </w:pPr>
            <w:r>
              <w:rPr>
                <w:b/>
                <w:color w:val="000000" w:themeColor="text1"/>
                <w:sz w:val="24"/>
                <w:szCs w:val="32"/>
                <w:highlight w:val="none"/>
                <w14:textFill>
                  <w14:solidFill>
                    <w14:schemeClr w14:val="tx1"/>
                  </w14:solidFill>
                </w14:textFill>
              </w:rPr>
              <w:t>表</w:t>
            </w:r>
            <w:r>
              <w:rPr>
                <w:rFonts w:hint="eastAsia"/>
                <w:b/>
                <w:color w:val="000000" w:themeColor="text1"/>
                <w:spacing w:val="4"/>
                <w:sz w:val="24"/>
                <w:szCs w:val="32"/>
                <w:highlight w:val="none"/>
                <w14:textFill>
                  <w14:solidFill>
                    <w14:schemeClr w14:val="tx1"/>
                  </w14:solidFill>
                </w14:textFill>
              </w:rPr>
              <w:t xml:space="preserve">4-5 </w:t>
            </w:r>
            <w:r>
              <w:rPr>
                <w:b/>
                <w:color w:val="000000" w:themeColor="text1"/>
                <w:sz w:val="24"/>
                <w:szCs w:val="32"/>
                <w:highlight w:val="none"/>
                <w14:textFill>
                  <w14:solidFill>
                    <w14:schemeClr w14:val="tx1"/>
                  </w14:solidFill>
                </w14:textFill>
              </w:rPr>
              <w:t xml:space="preserve"> </w:t>
            </w:r>
            <w:r>
              <w:rPr>
                <w:b/>
                <w:color w:val="000000" w:themeColor="text1"/>
                <w:spacing w:val="12"/>
                <w:sz w:val="24"/>
                <w:szCs w:val="32"/>
                <w:highlight w:val="none"/>
                <w14:textFill>
                  <w14:solidFill>
                    <w14:schemeClr w14:val="tx1"/>
                  </w14:solidFill>
                </w14:textFill>
              </w:rPr>
              <w:t>项目噪声源强</w:t>
            </w:r>
            <w:r>
              <w:rPr>
                <w:rFonts w:hint="eastAsia"/>
                <w:b/>
                <w:color w:val="000000" w:themeColor="text1"/>
                <w:spacing w:val="12"/>
                <w:sz w:val="24"/>
                <w:szCs w:val="32"/>
                <w:highlight w:val="none"/>
                <w:lang w:val="en-US" w:eastAsia="zh-CN"/>
                <w14:textFill>
                  <w14:solidFill>
                    <w14:schemeClr w14:val="tx1"/>
                  </w14:solidFill>
                </w14:textFill>
              </w:rPr>
              <w:t>调查清单</w:t>
            </w:r>
            <w:r>
              <w:rPr>
                <w:b/>
                <w:color w:val="000000" w:themeColor="text1"/>
                <w:spacing w:val="12"/>
                <w:sz w:val="24"/>
                <w:szCs w:val="32"/>
                <w:highlight w:val="none"/>
                <w14:textFill>
                  <w14:solidFill>
                    <w14:schemeClr w14:val="tx1"/>
                  </w14:solidFill>
                </w14:textFill>
              </w:rPr>
              <w:t>表</w:t>
            </w:r>
            <w:r>
              <w:rPr>
                <w:rFonts w:hint="eastAsia"/>
                <w:b/>
                <w:color w:val="000000" w:themeColor="text1"/>
                <w:spacing w:val="12"/>
                <w:sz w:val="24"/>
                <w:szCs w:val="32"/>
                <w:highlight w:val="none"/>
                <w:lang w:eastAsia="zh-CN"/>
                <w14:textFill>
                  <w14:solidFill>
                    <w14:schemeClr w14:val="tx1"/>
                  </w14:solidFill>
                </w14:textFill>
              </w:rPr>
              <w:t>（</w:t>
            </w:r>
            <w:r>
              <w:rPr>
                <w:rFonts w:hint="eastAsia"/>
                <w:b/>
                <w:color w:val="000000" w:themeColor="text1"/>
                <w:spacing w:val="12"/>
                <w:sz w:val="24"/>
                <w:szCs w:val="32"/>
                <w:highlight w:val="none"/>
                <w:lang w:val="en-US" w:eastAsia="zh-CN"/>
                <w14:textFill>
                  <w14:solidFill>
                    <w14:schemeClr w14:val="tx1"/>
                  </w14:solidFill>
                </w14:textFill>
              </w:rPr>
              <w:t>室外声源</w:t>
            </w:r>
            <w:r>
              <w:rPr>
                <w:rFonts w:hint="eastAsia"/>
                <w:b/>
                <w:color w:val="000000" w:themeColor="text1"/>
                <w:spacing w:val="12"/>
                <w:sz w:val="24"/>
                <w:szCs w:val="32"/>
                <w:highlight w:val="none"/>
                <w:lang w:eastAsia="zh-CN"/>
                <w14:textFill>
                  <w14:solidFill>
                    <w14:schemeClr w14:val="tx1"/>
                  </w14:solidFill>
                </w14:textFill>
              </w:rPr>
              <w:t>）</w:t>
            </w:r>
          </w:p>
          <w:tbl>
            <w:tblPr>
              <w:tblStyle w:val="3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10"/>
              <w:gridCol w:w="1752"/>
              <w:gridCol w:w="795"/>
              <w:gridCol w:w="495"/>
              <w:gridCol w:w="779"/>
              <w:gridCol w:w="1024"/>
              <w:gridCol w:w="889"/>
              <w:gridCol w:w="664"/>
            </w:tblGrid>
            <w:tr w14:paraId="312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vMerge w:val="restart"/>
                  <w:noWrap w:val="0"/>
                  <w:vAlign w:val="center"/>
                </w:tcPr>
                <w:p w14:paraId="066260D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r>
                    <w:rPr>
                      <w:rFonts w:hint="default" w:ascii="Times New Roman" w:hAnsi="Times New Roman" w:cs="Times New Roman"/>
                      <w:b/>
                      <w:bCs/>
                      <w:color w:val="000000" w:themeColor="text1"/>
                      <w:sz w:val="18"/>
                      <w:szCs w:val="18"/>
                      <w:highlight w:val="none"/>
                      <w14:textFill>
                        <w14:solidFill>
                          <w14:schemeClr w14:val="tx1"/>
                        </w14:solidFill>
                      </w14:textFill>
                    </w:rPr>
                    <w:t>序号</w:t>
                  </w:r>
                </w:p>
              </w:tc>
              <w:tc>
                <w:tcPr>
                  <w:tcW w:w="682" w:type="pct"/>
                  <w:vMerge w:val="restart"/>
                  <w:noWrap w:val="0"/>
                  <w:vAlign w:val="center"/>
                </w:tcPr>
                <w:p w14:paraId="0C3BFEF5">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r>
                    <w:rPr>
                      <w:rFonts w:hint="default" w:ascii="Times New Roman" w:hAnsi="Times New Roman" w:cs="Times New Roman"/>
                      <w:b/>
                      <w:bCs/>
                      <w:color w:val="000000" w:themeColor="text1"/>
                      <w:sz w:val="18"/>
                      <w:szCs w:val="18"/>
                      <w:highlight w:val="none"/>
                      <w14:textFill>
                        <w14:solidFill>
                          <w14:schemeClr w14:val="tx1"/>
                        </w14:solidFill>
                      </w14:textFill>
                    </w:rPr>
                    <w:t>声源名称</w:t>
                  </w:r>
                </w:p>
              </w:tc>
              <w:tc>
                <w:tcPr>
                  <w:tcW w:w="1077" w:type="pct"/>
                  <w:vMerge w:val="restart"/>
                  <w:noWrap w:val="0"/>
                  <w:vAlign w:val="center"/>
                </w:tcPr>
                <w:p w14:paraId="465F370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eastAsia" w:ascii="Times New Roman" w:hAnsi="Times New Roman" w:eastAsia="宋体" w:cs="Times New Roman"/>
                      <w:b/>
                      <w:bCs/>
                      <w:color w:val="000000" w:themeColor="text1"/>
                      <w:sz w:val="18"/>
                      <w:szCs w:val="18"/>
                      <w:highlight w:val="none"/>
                      <w:lang w:val="en-US" w:eastAsia="zh-CN"/>
                      <w14:textFill>
                        <w14:solidFill>
                          <w14:schemeClr w14:val="tx1"/>
                        </w14:solidFill>
                      </w14:textFill>
                    </w:rPr>
                  </w:pPr>
                  <w:r>
                    <w:rPr>
                      <w:rFonts w:hint="eastAsia" w:cs="Times New Roman"/>
                      <w:b/>
                      <w:bCs/>
                      <w:color w:val="000000" w:themeColor="text1"/>
                      <w:sz w:val="18"/>
                      <w:szCs w:val="18"/>
                      <w:highlight w:val="none"/>
                      <w:lang w:val="en-US" w:eastAsia="zh-CN"/>
                      <w14:textFill>
                        <w14:solidFill>
                          <w14:schemeClr w14:val="tx1"/>
                        </w14:solidFill>
                      </w14:textFill>
                    </w:rPr>
                    <w:t>型号</w:t>
                  </w:r>
                </w:p>
              </w:tc>
              <w:tc>
                <w:tcPr>
                  <w:tcW w:w="1272" w:type="pct"/>
                  <w:gridSpan w:val="3"/>
                  <w:noWrap w:val="0"/>
                  <w:vAlign w:val="center"/>
                </w:tcPr>
                <w:p w14:paraId="7973B5F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r>
                    <w:rPr>
                      <w:rFonts w:hint="default" w:ascii="Times New Roman" w:hAnsi="Times New Roman" w:cs="Times New Roman"/>
                      <w:b/>
                      <w:bCs/>
                      <w:color w:val="000000" w:themeColor="text1"/>
                      <w:sz w:val="18"/>
                      <w:szCs w:val="18"/>
                      <w:highlight w:val="none"/>
                      <w14:textFill>
                        <w14:solidFill>
                          <w14:schemeClr w14:val="tx1"/>
                        </w14:solidFill>
                      </w14:textFill>
                    </w:rPr>
                    <w:t>空间相对位置/m</w:t>
                  </w:r>
                </w:p>
              </w:tc>
              <w:tc>
                <w:tcPr>
                  <w:tcW w:w="629" w:type="pct"/>
                  <w:vMerge w:val="restart"/>
                  <w:noWrap w:val="0"/>
                  <w:vAlign w:val="center"/>
                </w:tcPr>
                <w:p w14:paraId="2E64D77D">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eastAsia="宋体" w:cs="Times New Roman"/>
                      <w:b/>
                      <w:bCs/>
                      <w:color w:val="000000" w:themeColor="text1"/>
                      <w:sz w:val="18"/>
                      <w:szCs w:val="18"/>
                      <w:highlight w:val="none"/>
                      <w:lang w:val="en-US" w:eastAsia="zh-CN"/>
                      <w14:textFill>
                        <w14:solidFill>
                          <w14:schemeClr w14:val="tx1"/>
                        </w14:solidFill>
                      </w14:textFill>
                    </w:rPr>
                  </w:pPr>
                  <w:r>
                    <w:rPr>
                      <w:rFonts w:hint="eastAsia" w:cs="Times New Roman"/>
                      <w:b/>
                      <w:bCs/>
                      <w:color w:val="000000" w:themeColor="text1"/>
                      <w:sz w:val="18"/>
                      <w:szCs w:val="18"/>
                      <w:highlight w:val="none"/>
                      <w:lang w:val="en-US" w:eastAsia="zh-CN"/>
                      <w14:textFill>
                        <w14:solidFill>
                          <w14:schemeClr w14:val="tx1"/>
                        </w14:solidFill>
                      </w14:textFill>
                    </w:rPr>
                    <w:t>声源源强声压级/</w:t>
                  </w:r>
                  <w:r>
                    <w:rPr>
                      <w:rFonts w:hint="default" w:ascii="Times New Roman" w:hAnsi="Times New Roman" w:eastAsia="宋体" w:cs="Times New Roman"/>
                      <w:b/>
                      <w:bCs/>
                      <w:color w:val="000000" w:themeColor="text1"/>
                      <w:sz w:val="18"/>
                      <w:szCs w:val="18"/>
                      <w:highlight w:val="none"/>
                      <w14:textFill>
                        <w14:solidFill>
                          <w14:schemeClr w14:val="tx1"/>
                        </w14:solidFill>
                      </w14:textFill>
                    </w:rPr>
                    <w:t>dB(A)</w:t>
                  </w:r>
                </w:p>
              </w:tc>
              <w:tc>
                <w:tcPr>
                  <w:tcW w:w="546" w:type="pct"/>
                  <w:vMerge w:val="restart"/>
                  <w:noWrap w:val="0"/>
                  <w:vAlign w:val="center"/>
                </w:tcPr>
                <w:p w14:paraId="6704FC9D">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eastAsia="宋体" w:cs="Times New Roman"/>
                      <w:b/>
                      <w:bCs/>
                      <w:color w:val="000000" w:themeColor="text1"/>
                      <w:sz w:val="18"/>
                      <w:szCs w:val="18"/>
                      <w:highlight w:val="none"/>
                      <w:lang w:val="en-US" w:eastAsia="zh-CN"/>
                      <w14:textFill>
                        <w14:solidFill>
                          <w14:schemeClr w14:val="tx1"/>
                        </w14:solidFill>
                      </w14:textFill>
                    </w:rPr>
                  </w:pPr>
                  <w:r>
                    <w:rPr>
                      <w:rFonts w:hint="eastAsia" w:cs="Times New Roman"/>
                      <w:b/>
                      <w:bCs/>
                      <w:color w:val="000000" w:themeColor="text1"/>
                      <w:sz w:val="18"/>
                      <w:szCs w:val="18"/>
                      <w:highlight w:val="none"/>
                      <w:lang w:val="en-US" w:eastAsia="zh-CN"/>
                      <w14:textFill>
                        <w14:solidFill>
                          <w14:schemeClr w14:val="tx1"/>
                        </w14:solidFill>
                      </w14:textFill>
                    </w:rPr>
                    <w:t>声源控制措施</w:t>
                  </w:r>
                </w:p>
              </w:tc>
              <w:tc>
                <w:tcPr>
                  <w:tcW w:w="408" w:type="pct"/>
                  <w:vMerge w:val="restart"/>
                  <w:noWrap w:val="0"/>
                  <w:vAlign w:val="center"/>
                </w:tcPr>
                <w:p w14:paraId="0ECD5B8D">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运行时段</w:t>
                  </w:r>
                </w:p>
              </w:tc>
            </w:tr>
            <w:tr w14:paraId="7DB8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vMerge w:val="continue"/>
                  <w:noWrap w:val="0"/>
                  <w:vAlign w:val="center"/>
                </w:tcPr>
                <w:p w14:paraId="5E793C3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p>
              </w:tc>
              <w:tc>
                <w:tcPr>
                  <w:tcW w:w="682" w:type="pct"/>
                  <w:vMerge w:val="continue"/>
                  <w:noWrap w:val="0"/>
                  <w:vAlign w:val="center"/>
                </w:tcPr>
                <w:p w14:paraId="14CA333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p>
              </w:tc>
              <w:tc>
                <w:tcPr>
                  <w:tcW w:w="1077" w:type="pct"/>
                  <w:vMerge w:val="continue"/>
                  <w:noWrap w:val="0"/>
                  <w:vAlign w:val="center"/>
                </w:tcPr>
                <w:p w14:paraId="50E27E7D">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p>
              </w:tc>
              <w:tc>
                <w:tcPr>
                  <w:tcW w:w="488" w:type="pct"/>
                  <w:noWrap w:val="0"/>
                  <w:vAlign w:val="center"/>
                </w:tcPr>
                <w:p w14:paraId="54EB2746">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r>
                    <w:rPr>
                      <w:rFonts w:hint="default" w:ascii="Times New Roman" w:hAnsi="Times New Roman" w:cs="Times New Roman"/>
                      <w:b/>
                      <w:bCs/>
                      <w:color w:val="000000" w:themeColor="text1"/>
                      <w:sz w:val="18"/>
                      <w:szCs w:val="18"/>
                      <w:highlight w:val="none"/>
                      <w14:textFill>
                        <w14:solidFill>
                          <w14:schemeClr w14:val="tx1"/>
                        </w14:solidFill>
                      </w14:textFill>
                    </w:rPr>
                    <w:t>X</w:t>
                  </w:r>
                </w:p>
              </w:tc>
              <w:tc>
                <w:tcPr>
                  <w:tcW w:w="304" w:type="pct"/>
                  <w:noWrap w:val="0"/>
                  <w:vAlign w:val="center"/>
                </w:tcPr>
                <w:p w14:paraId="5D23F5F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r>
                    <w:rPr>
                      <w:rFonts w:hint="default" w:ascii="Times New Roman" w:hAnsi="Times New Roman" w:cs="Times New Roman"/>
                      <w:b/>
                      <w:bCs/>
                      <w:color w:val="000000" w:themeColor="text1"/>
                      <w:sz w:val="18"/>
                      <w:szCs w:val="18"/>
                      <w:highlight w:val="none"/>
                      <w14:textFill>
                        <w14:solidFill>
                          <w14:schemeClr w14:val="tx1"/>
                        </w14:solidFill>
                      </w14:textFill>
                    </w:rPr>
                    <w:t>Y</w:t>
                  </w:r>
                </w:p>
              </w:tc>
              <w:tc>
                <w:tcPr>
                  <w:tcW w:w="479" w:type="pct"/>
                  <w:noWrap w:val="0"/>
                  <w:vAlign w:val="center"/>
                </w:tcPr>
                <w:p w14:paraId="4D9A417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cs="Times New Roman"/>
                      <w:b/>
                      <w:bCs/>
                      <w:color w:val="000000" w:themeColor="text1"/>
                      <w:sz w:val="18"/>
                      <w:szCs w:val="18"/>
                      <w:highlight w:val="none"/>
                      <w14:textFill>
                        <w14:solidFill>
                          <w14:schemeClr w14:val="tx1"/>
                        </w14:solidFill>
                      </w14:textFill>
                    </w:rPr>
                  </w:pPr>
                  <w:r>
                    <w:rPr>
                      <w:rFonts w:hint="default" w:ascii="Times New Roman" w:hAnsi="Times New Roman" w:cs="Times New Roman"/>
                      <w:b/>
                      <w:bCs/>
                      <w:color w:val="000000" w:themeColor="text1"/>
                      <w:sz w:val="18"/>
                      <w:szCs w:val="18"/>
                      <w:highlight w:val="none"/>
                      <w14:textFill>
                        <w14:solidFill>
                          <w14:schemeClr w14:val="tx1"/>
                        </w14:solidFill>
                      </w14:textFill>
                    </w:rPr>
                    <w:t>Z</w:t>
                  </w:r>
                </w:p>
              </w:tc>
              <w:tc>
                <w:tcPr>
                  <w:tcW w:w="629" w:type="pct"/>
                  <w:vMerge w:val="continue"/>
                  <w:noWrap w:val="0"/>
                  <w:vAlign w:val="center"/>
                </w:tcPr>
                <w:p w14:paraId="3B23E2B4">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p>
              </w:tc>
              <w:tc>
                <w:tcPr>
                  <w:tcW w:w="546" w:type="pct"/>
                  <w:vMerge w:val="continue"/>
                  <w:noWrap w:val="0"/>
                  <w:vAlign w:val="center"/>
                </w:tcPr>
                <w:p w14:paraId="18E83215">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p>
              </w:tc>
              <w:tc>
                <w:tcPr>
                  <w:tcW w:w="408" w:type="pct"/>
                  <w:vMerge w:val="continue"/>
                  <w:noWrap w:val="0"/>
                  <w:vAlign w:val="center"/>
                </w:tcPr>
                <w:p w14:paraId="615BE0D1">
                  <w:pPr>
                    <w:pStyle w:val="100"/>
                    <w:keepNext w:val="0"/>
                    <w:keepLines w:val="0"/>
                    <w:pageBreakBefore w:val="0"/>
                    <w:kinsoku/>
                    <w:wordWrap/>
                    <w:overflowPunct/>
                    <w:topLinePunct w:val="0"/>
                    <w:bidi w:val="0"/>
                    <w:adjustRightInd/>
                    <w:snapToGrid/>
                    <w:spacing w:line="240" w:lineRule="auto"/>
                    <w:ind w:left="0" w:leftChars="0" w:right="0" w:rightChars="0" w:firstLine="0" w:firstLineChars="0"/>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p>
              </w:tc>
            </w:tr>
            <w:tr w14:paraId="40B6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39A6C90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w:t>
                  </w:r>
                </w:p>
              </w:tc>
              <w:tc>
                <w:tcPr>
                  <w:tcW w:w="682" w:type="pct"/>
                  <w:noWrap w:val="0"/>
                  <w:vAlign w:val="center"/>
                </w:tcPr>
                <w:p w14:paraId="4C0FB0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restart"/>
                  <w:noWrap w:val="0"/>
                  <w:vAlign w:val="center"/>
                </w:tcPr>
                <w:p w14:paraId="5E706AA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SCB14-3300kVA/37-0.69</w:t>
                  </w:r>
                </w:p>
              </w:tc>
              <w:tc>
                <w:tcPr>
                  <w:tcW w:w="488" w:type="pct"/>
                  <w:noWrap w:val="0"/>
                  <w:vAlign w:val="center"/>
                </w:tcPr>
                <w:p w14:paraId="0BF7A069">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-102</w:t>
                  </w:r>
                </w:p>
              </w:tc>
              <w:tc>
                <w:tcPr>
                  <w:tcW w:w="304" w:type="pct"/>
                  <w:noWrap w:val="0"/>
                  <w:vAlign w:val="center"/>
                </w:tcPr>
                <w:p w14:paraId="2A2E3AD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2</w:t>
                  </w:r>
                </w:p>
              </w:tc>
              <w:tc>
                <w:tcPr>
                  <w:tcW w:w="479" w:type="pct"/>
                  <w:noWrap w:val="0"/>
                  <w:vAlign w:val="center"/>
                </w:tcPr>
                <w:p w14:paraId="789733D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7AF13F75">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restart"/>
                  <w:noWrap w:val="0"/>
                  <w:vAlign w:val="center"/>
                </w:tcPr>
                <w:p w14:paraId="126F7986">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基础减震、柔性连接</w:t>
                  </w:r>
                </w:p>
              </w:tc>
              <w:tc>
                <w:tcPr>
                  <w:tcW w:w="408" w:type="pct"/>
                  <w:vMerge w:val="restart"/>
                  <w:noWrap w:val="0"/>
                  <w:vAlign w:val="center"/>
                </w:tcPr>
                <w:p w14:paraId="3F3D1E9E">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昼夜</w:t>
                  </w:r>
                </w:p>
              </w:tc>
            </w:tr>
            <w:tr w14:paraId="5EA8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138770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2</w:t>
                  </w:r>
                </w:p>
              </w:tc>
              <w:tc>
                <w:tcPr>
                  <w:tcW w:w="682" w:type="pct"/>
                  <w:noWrap w:val="0"/>
                  <w:vAlign w:val="center"/>
                </w:tcPr>
                <w:p w14:paraId="268B2B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210D6F4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00EADFD9">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-75</w:t>
                  </w:r>
                </w:p>
              </w:tc>
              <w:tc>
                <w:tcPr>
                  <w:tcW w:w="304" w:type="pct"/>
                  <w:noWrap w:val="0"/>
                  <w:vAlign w:val="center"/>
                </w:tcPr>
                <w:p w14:paraId="6129BDD5">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-6</w:t>
                  </w:r>
                </w:p>
              </w:tc>
              <w:tc>
                <w:tcPr>
                  <w:tcW w:w="479" w:type="pct"/>
                  <w:noWrap w:val="0"/>
                  <w:vAlign w:val="center"/>
                </w:tcPr>
                <w:p w14:paraId="3AFD1B0E">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1703E5C1">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6627A67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16D4F68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4E65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0B38864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3</w:t>
                  </w:r>
                </w:p>
              </w:tc>
              <w:tc>
                <w:tcPr>
                  <w:tcW w:w="682" w:type="pct"/>
                  <w:noWrap w:val="0"/>
                  <w:vAlign w:val="center"/>
                </w:tcPr>
                <w:p w14:paraId="7456E1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713AA96F">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59AA520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-53</w:t>
                  </w:r>
                </w:p>
              </w:tc>
              <w:tc>
                <w:tcPr>
                  <w:tcW w:w="304" w:type="pct"/>
                  <w:noWrap w:val="0"/>
                  <w:vAlign w:val="center"/>
                </w:tcPr>
                <w:p w14:paraId="5DC4C60D">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-13</w:t>
                  </w:r>
                </w:p>
              </w:tc>
              <w:tc>
                <w:tcPr>
                  <w:tcW w:w="479" w:type="pct"/>
                  <w:noWrap w:val="0"/>
                  <w:vAlign w:val="center"/>
                </w:tcPr>
                <w:p w14:paraId="0573E56E">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4724BE0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335B7B42">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381CC38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790A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779819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4</w:t>
                  </w:r>
                </w:p>
              </w:tc>
              <w:tc>
                <w:tcPr>
                  <w:tcW w:w="682" w:type="pct"/>
                  <w:noWrap w:val="0"/>
                  <w:vAlign w:val="center"/>
                </w:tcPr>
                <w:p w14:paraId="3EFF7A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1E779A8D">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6BB4F419">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-29</w:t>
                  </w:r>
                </w:p>
              </w:tc>
              <w:tc>
                <w:tcPr>
                  <w:tcW w:w="304" w:type="pct"/>
                  <w:noWrap w:val="0"/>
                  <w:vAlign w:val="center"/>
                </w:tcPr>
                <w:p w14:paraId="3319535D">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-20</w:t>
                  </w:r>
                </w:p>
              </w:tc>
              <w:tc>
                <w:tcPr>
                  <w:tcW w:w="479" w:type="pct"/>
                  <w:noWrap w:val="0"/>
                  <w:vAlign w:val="center"/>
                </w:tcPr>
                <w:p w14:paraId="0AFAC606">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7E7676AF">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1FC6A20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0C513481">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7C7F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07ABFC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5</w:t>
                  </w:r>
                </w:p>
              </w:tc>
              <w:tc>
                <w:tcPr>
                  <w:tcW w:w="682" w:type="pct"/>
                  <w:noWrap w:val="0"/>
                  <w:vAlign w:val="center"/>
                </w:tcPr>
                <w:p w14:paraId="68E9BEF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550C3E16">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3E63D4E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-6</w:t>
                  </w:r>
                </w:p>
              </w:tc>
              <w:tc>
                <w:tcPr>
                  <w:tcW w:w="304" w:type="pct"/>
                  <w:noWrap w:val="0"/>
                  <w:vAlign w:val="center"/>
                </w:tcPr>
                <w:p w14:paraId="51F426D6">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-26</w:t>
                  </w:r>
                </w:p>
              </w:tc>
              <w:tc>
                <w:tcPr>
                  <w:tcW w:w="479" w:type="pct"/>
                  <w:noWrap w:val="0"/>
                  <w:vAlign w:val="center"/>
                </w:tcPr>
                <w:p w14:paraId="5800F78A">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26A91913">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5234EC02">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4DDDAEC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6217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4AC902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6</w:t>
                  </w:r>
                </w:p>
              </w:tc>
              <w:tc>
                <w:tcPr>
                  <w:tcW w:w="682" w:type="pct"/>
                  <w:noWrap w:val="0"/>
                  <w:vAlign w:val="center"/>
                </w:tcPr>
                <w:p w14:paraId="502EC7D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089F153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0E54937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14</w:t>
                  </w:r>
                </w:p>
              </w:tc>
              <w:tc>
                <w:tcPr>
                  <w:tcW w:w="304" w:type="pct"/>
                  <w:noWrap w:val="0"/>
                  <w:vAlign w:val="center"/>
                </w:tcPr>
                <w:p w14:paraId="24F6DC0B">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both"/>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-31</w:t>
                  </w:r>
                </w:p>
              </w:tc>
              <w:tc>
                <w:tcPr>
                  <w:tcW w:w="479" w:type="pct"/>
                  <w:noWrap w:val="0"/>
                  <w:vAlign w:val="center"/>
                </w:tcPr>
                <w:p w14:paraId="78487665">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5F3C9E5A">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07693009">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27C99E5E">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3FBF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43C7AE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7</w:t>
                  </w:r>
                </w:p>
              </w:tc>
              <w:tc>
                <w:tcPr>
                  <w:tcW w:w="682" w:type="pct"/>
                  <w:noWrap w:val="0"/>
                  <w:vAlign w:val="center"/>
                </w:tcPr>
                <w:p w14:paraId="0A992FC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4E870BC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3D3E356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35</w:t>
                  </w:r>
                </w:p>
              </w:tc>
              <w:tc>
                <w:tcPr>
                  <w:tcW w:w="304" w:type="pct"/>
                  <w:noWrap w:val="0"/>
                  <w:vAlign w:val="center"/>
                </w:tcPr>
                <w:p w14:paraId="66F6011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-36</w:t>
                  </w:r>
                </w:p>
              </w:tc>
              <w:tc>
                <w:tcPr>
                  <w:tcW w:w="479" w:type="pct"/>
                  <w:noWrap w:val="0"/>
                  <w:vAlign w:val="center"/>
                </w:tcPr>
                <w:p w14:paraId="642E7004">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75D28C53">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7E7E885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2ABAF55B">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06EB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788E97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8</w:t>
                  </w:r>
                </w:p>
              </w:tc>
              <w:tc>
                <w:tcPr>
                  <w:tcW w:w="682" w:type="pct"/>
                  <w:noWrap w:val="0"/>
                  <w:vAlign w:val="center"/>
                </w:tcPr>
                <w:p w14:paraId="345A9C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32E578C4">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15B77AEF">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54</w:t>
                  </w:r>
                </w:p>
              </w:tc>
              <w:tc>
                <w:tcPr>
                  <w:tcW w:w="304" w:type="pct"/>
                  <w:noWrap w:val="0"/>
                  <w:vAlign w:val="center"/>
                </w:tcPr>
                <w:p w14:paraId="0519D0C4">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-40</w:t>
                  </w:r>
                </w:p>
              </w:tc>
              <w:tc>
                <w:tcPr>
                  <w:tcW w:w="479" w:type="pct"/>
                  <w:noWrap w:val="0"/>
                  <w:vAlign w:val="center"/>
                </w:tcPr>
                <w:p w14:paraId="08F69D19">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3368FCBF">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38A00E5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73FF9869">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35A8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0EA042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9</w:t>
                  </w:r>
                </w:p>
              </w:tc>
              <w:tc>
                <w:tcPr>
                  <w:tcW w:w="682" w:type="pct"/>
                  <w:noWrap w:val="0"/>
                  <w:vAlign w:val="center"/>
                </w:tcPr>
                <w:p w14:paraId="539AF0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2FF997F2">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0E22E082">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73</w:t>
                  </w:r>
                </w:p>
              </w:tc>
              <w:tc>
                <w:tcPr>
                  <w:tcW w:w="304" w:type="pct"/>
                  <w:noWrap w:val="0"/>
                  <w:vAlign w:val="center"/>
                </w:tcPr>
                <w:p w14:paraId="70C32A8B">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-43</w:t>
                  </w:r>
                </w:p>
              </w:tc>
              <w:tc>
                <w:tcPr>
                  <w:tcW w:w="479" w:type="pct"/>
                  <w:noWrap w:val="0"/>
                  <w:vAlign w:val="center"/>
                </w:tcPr>
                <w:p w14:paraId="41D3FB5B">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76C8FCC7">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7C3B576E">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1E2614DF">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3D4D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20FFE0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10</w:t>
                  </w:r>
                </w:p>
              </w:tc>
              <w:tc>
                <w:tcPr>
                  <w:tcW w:w="682" w:type="pct"/>
                  <w:noWrap w:val="0"/>
                  <w:vAlign w:val="center"/>
                </w:tcPr>
                <w:p w14:paraId="303490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0A043D4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5F954575">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94</w:t>
                  </w:r>
                </w:p>
              </w:tc>
              <w:tc>
                <w:tcPr>
                  <w:tcW w:w="304" w:type="pct"/>
                  <w:noWrap w:val="0"/>
                  <w:vAlign w:val="center"/>
                </w:tcPr>
                <w:p w14:paraId="5C366579">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-48</w:t>
                  </w:r>
                </w:p>
              </w:tc>
              <w:tc>
                <w:tcPr>
                  <w:tcW w:w="479" w:type="pct"/>
                  <w:noWrap w:val="0"/>
                  <w:vAlign w:val="center"/>
                </w:tcPr>
                <w:p w14:paraId="422E4A1A">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1D1DDE29">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63692EC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689B6CA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289F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570D8E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11</w:t>
                  </w:r>
                </w:p>
              </w:tc>
              <w:tc>
                <w:tcPr>
                  <w:tcW w:w="682" w:type="pct"/>
                  <w:noWrap w:val="0"/>
                  <w:vAlign w:val="center"/>
                </w:tcPr>
                <w:p w14:paraId="26B61F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7999982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14BF2C4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87</w:t>
                  </w:r>
                </w:p>
              </w:tc>
              <w:tc>
                <w:tcPr>
                  <w:tcW w:w="304" w:type="pct"/>
                  <w:noWrap w:val="0"/>
                  <w:vAlign w:val="center"/>
                </w:tcPr>
                <w:p w14:paraId="794A177B">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-67</w:t>
                  </w:r>
                </w:p>
              </w:tc>
              <w:tc>
                <w:tcPr>
                  <w:tcW w:w="479" w:type="pct"/>
                  <w:noWrap w:val="0"/>
                  <w:vAlign w:val="center"/>
                </w:tcPr>
                <w:p w14:paraId="7F0485A9">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550EC8D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6FA673C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3FA8D6A2">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2D35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4F0954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12</w:t>
                  </w:r>
                </w:p>
              </w:tc>
              <w:tc>
                <w:tcPr>
                  <w:tcW w:w="682" w:type="pct"/>
                  <w:noWrap w:val="0"/>
                  <w:vAlign w:val="center"/>
                </w:tcPr>
                <w:p w14:paraId="0EFAFC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7B14CC37">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25730A89">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68</w:t>
                  </w:r>
                </w:p>
              </w:tc>
              <w:tc>
                <w:tcPr>
                  <w:tcW w:w="304" w:type="pct"/>
                  <w:noWrap w:val="0"/>
                  <w:vAlign w:val="center"/>
                </w:tcPr>
                <w:p w14:paraId="2AA63D34">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-63</w:t>
                  </w:r>
                </w:p>
              </w:tc>
              <w:tc>
                <w:tcPr>
                  <w:tcW w:w="479" w:type="pct"/>
                  <w:noWrap w:val="0"/>
                  <w:vAlign w:val="center"/>
                </w:tcPr>
                <w:p w14:paraId="7F76692F">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4D07561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419935B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0541E564">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2E5D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10E69E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13</w:t>
                  </w:r>
                </w:p>
              </w:tc>
              <w:tc>
                <w:tcPr>
                  <w:tcW w:w="682" w:type="pct"/>
                  <w:noWrap w:val="0"/>
                  <w:vAlign w:val="center"/>
                </w:tcPr>
                <w:p w14:paraId="080A86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08B07CC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6871DB7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50</w:t>
                  </w:r>
                </w:p>
              </w:tc>
              <w:tc>
                <w:tcPr>
                  <w:tcW w:w="304" w:type="pct"/>
                  <w:noWrap w:val="0"/>
                  <w:vAlign w:val="center"/>
                </w:tcPr>
                <w:p w14:paraId="519A053E">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-57</w:t>
                  </w:r>
                </w:p>
              </w:tc>
              <w:tc>
                <w:tcPr>
                  <w:tcW w:w="479" w:type="pct"/>
                  <w:noWrap w:val="0"/>
                  <w:vAlign w:val="center"/>
                </w:tcPr>
                <w:p w14:paraId="52E9238A">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503F753F">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06B1A66C">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0EFCFBD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48D6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559369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14</w:t>
                  </w:r>
                </w:p>
              </w:tc>
              <w:tc>
                <w:tcPr>
                  <w:tcW w:w="682" w:type="pct"/>
                  <w:noWrap w:val="0"/>
                  <w:vAlign w:val="center"/>
                </w:tcPr>
                <w:p w14:paraId="225E4C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0CC1C866">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4E279A1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28</w:t>
                  </w:r>
                </w:p>
              </w:tc>
              <w:tc>
                <w:tcPr>
                  <w:tcW w:w="304" w:type="pct"/>
                  <w:noWrap w:val="0"/>
                  <w:vAlign w:val="center"/>
                </w:tcPr>
                <w:p w14:paraId="7318CB1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-55</w:t>
                  </w:r>
                </w:p>
              </w:tc>
              <w:tc>
                <w:tcPr>
                  <w:tcW w:w="479" w:type="pct"/>
                  <w:noWrap w:val="0"/>
                  <w:vAlign w:val="center"/>
                </w:tcPr>
                <w:p w14:paraId="5FE4330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12AE808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2B723F9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41546CF2">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3232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597CB02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15</w:t>
                  </w:r>
                </w:p>
              </w:tc>
              <w:tc>
                <w:tcPr>
                  <w:tcW w:w="682" w:type="pct"/>
                  <w:noWrap w:val="0"/>
                  <w:vAlign w:val="center"/>
                </w:tcPr>
                <w:p w14:paraId="7A7943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4EA6D93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09A460F1">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9</w:t>
                  </w:r>
                </w:p>
              </w:tc>
              <w:tc>
                <w:tcPr>
                  <w:tcW w:w="304" w:type="pct"/>
                  <w:noWrap w:val="0"/>
                  <w:vAlign w:val="center"/>
                </w:tcPr>
                <w:p w14:paraId="7FDF3347">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-50</w:t>
                  </w:r>
                </w:p>
              </w:tc>
              <w:tc>
                <w:tcPr>
                  <w:tcW w:w="479" w:type="pct"/>
                  <w:noWrap w:val="0"/>
                  <w:vAlign w:val="center"/>
                </w:tcPr>
                <w:p w14:paraId="14224AA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4002364E">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7C2AF22A">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345CA7B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3D79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5EFE8E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16</w:t>
                  </w:r>
                </w:p>
              </w:tc>
              <w:tc>
                <w:tcPr>
                  <w:tcW w:w="682" w:type="pct"/>
                  <w:noWrap w:val="0"/>
                  <w:vAlign w:val="center"/>
                </w:tcPr>
                <w:p w14:paraId="0E48C3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72D13A4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31315E4B">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-10</w:t>
                  </w:r>
                </w:p>
              </w:tc>
              <w:tc>
                <w:tcPr>
                  <w:tcW w:w="304" w:type="pct"/>
                  <w:noWrap w:val="0"/>
                  <w:vAlign w:val="center"/>
                </w:tcPr>
                <w:p w14:paraId="69F8448B">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-47</w:t>
                  </w:r>
                </w:p>
              </w:tc>
              <w:tc>
                <w:tcPr>
                  <w:tcW w:w="479" w:type="pct"/>
                  <w:noWrap w:val="0"/>
                  <w:vAlign w:val="center"/>
                </w:tcPr>
                <w:p w14:paraId="55217359">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7347B257">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65229684">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6B658701">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314A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5E4397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17</w:t>
                  </w:r>
                </w:p>
              </w:tc>
              <w:tc>
                <w:tcPr>
                  <w:tcW w:w="682" w:type="pct"/>
                  <w:noWrap w:val="0"/>
                  <w:vAlign w:val="center"/>
                </w:tcPr>
                <w:p w14:paraId="075ECC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79E95E6B">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2DEF91CE">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-34</w:t>
                  </w:r>
                </w:p>
              </w:tc>
              <w:tc>
                <w:tcPr>
                  <w:tcW w:w="304" w:type="pct"/>
                  <w:noWrap w:val="0"/>
                  <w:vAlign w:val="center"/>
                </w:tcPr>
                <w:p w14:paraId="2D85E8B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-44</w:t>
                  </w:r>
                </w:p>
              </w:tc>
              <w:tc>
                <w:tcPr>
                  <w:tcW w:w="479" w:type="pct"/>
                  <w:noWrap w:val="0"/>
                  <w:vAlign w:val="center"/>
                </w:tcPr>
                <w:p w14:paraId="48056413">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02FF300B">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1ED9F8DE">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5ED7432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68CF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4543E8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18</w:t>
                  </w:r>
                </w:p>
              </w:tc>
              <w:tc>
                <w:tcPr>
                  <w:tcW w:w="682" w:type="pct"/>
                  <w:noWrap w:val="0"/>
                  <w:vAlign w:val="center"/>
                </w:tcPr>
                <w:p w14:paraId="67AD14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66BE3987">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770C9C86">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-57</w:t>
                  </w:r>
                </w:p>
              </w:tc>
              <w:tc>
                <w:tcPr>
                  <w:tcW w:w="304" w:type="pct"/>
                  <w:noWrap w:val="0"/>
                  <w:vAlign w:val="center"/>
                </w:tcPr>
                <w:p w14:paraId="4E2ACA2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-40</w:t>
                  </w:r>
                </w:p>
              </w:tc>
              <w:tc>
                <w:tcPr>
                  <w:tcW w:w="479" w:type="pct"/>
                  <w:noWrap w:val="0"/>
                  <w:vAlign w:val="center"/>
                </w:tcPr>
                <w:p w14:paraId="6B83F84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3AEC9305">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772564EC">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088FAC5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1953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77CA3D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19</w:t>
                  </w:r>
                </w:p>
              </w:tc>
              <w:tc>
                <w:tcPr>
                  <w:tcW w:w="682" w:type="pct"/>
                  <w:noWrap w:val="0"/>
                  <w:vAlign w:val="center"/>
                </w:tcPr>
                <w:p w14:paraId="08ED61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4A5613AE">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5F0024F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-80</w:t>
                  </w:r>
                </w:p>
              </w:tc>
              <w:tc>
                <w:tcPr>
                  <w:tcW w:w="304" w:type="pct"/>
                  <w:noWrap w:val="0"/>
                  <w:vAlign w:val="center"/>
                </w:tcPr>
                <w:p w14:paraId="6B138473">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-35</w:t>
                  </w:r>
                </w:p>
              </w:tc>
              <w:tc>
                <w:tcPr>
                  <w:tcW w:w="479" w:type="pct"/>
                  <w:noWrap w:val="0"/>
                  <w:vAlign w:val="center"/>
                </w:tcPr>
                <w:p w14:paraId="5F2466A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7994BDAF">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1A4201C2">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0C229817">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145D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58ADE6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20</w:t>
                  </w:r>
                </w:p>
              </w:tc>
              <w:tc>
                <w:tcPr>
                  <w:tcW w:w="682" w:type="pct"/>
                  <w:noWrap w:val="0"/>
                  <w:vAlign w:val="center"/>
                </w:tcPr>
                <w:p w14:paraId="054634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eastAsia" w:cs="Times New Roman"/>
                      <w:color w:val="000000" w:themeColor="text1"/>
                      <w:sz w:val="18"/>
                      <w:szCs w:val="18"/>
                      <w:highlight w:val="none"/>
                      <w:lang w:val="en-US" w:eastAsia="zh-CN" w:bidi="ar"/>
                      <w14:textFill>
                        <w14:solidFill>
                          <w14:schemeClr w14:val="tx1"/>
                        </w14:solidFill>
                      </w14:textFill>
                    </w:rPr>
                    <w:t>储能单元</w:t>
                  </w:r>
                </w:p>
              </w:tc>
              <w:tc>
                <w:tcPr>
                  <w:tcW w:w="1077" w:type="pct"/>
                  <w:vMerge w:val="continue"/>
                  <w:noWrap w:val="0"/>
                  <w:vAlign w:val="center"/>
                </w:tcPr>
                <w:p w14:paraId="50B0128A">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88" w:type="pct"/>
                  <w:noWrap w:val="0"/>
                  <w:vAlign w:val="center"/>
                </w:tcPr>
                <w:p w14:paraId="3F6A583F">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-106</w:t>
                  </w:r>
                </w:p>
              </w:tc>
              <w:tc>
                <w:tcPr>
                  <w:tcW w:w="304" w:type="pct"/>
                  <w:noWrap w:val="0"/>
                  <w:vAlign w:val="center"/>
                </w:tcPr>
                <w:p w14:paraId="2D4A4BB2">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-30</w:t>
                  </w:r>
                </w:p>
              </w:tc>
              <w:tc>
                <w:tcPr>
                  <w:tcW w:w="479" w:type="pct"/>
                  <w:noWrap w:val="0"/>
                  <w:vAlign w:val="center"/>
                </w:tcPr>
                <w:p w14:paraId="61C5C221">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w:t>
                  </w:r>
                </w:p>
              </w:tc>
              <w:tc>
                <w:tcPr>
                  <w:tcW w:w="629" w:type="pct"/>
                  <w:noWrap w:val="0"/>
                  <w:vAlign w:val="center"/>
                </w:tcPr>
                <w:p w14:paraId="32189176">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714F92B7">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23503691">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6CBA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53A25D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21</w:t>
                  </w:r>
                </w:p>
              </w:tc>
              <w:tc>
                <w:tcPr>
                  <w:tcW w:w="682" w:type="pct"/>
                  <w:noWrap w:val="0"/>
                  <w:vAlign w:val="center"/>
                </w:tcPr>
                <w:p w14:paraId="2EB716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t>1#变压器</w:t>
                  </w:r>
                </w:p>
              </w:tc>
              <w:tc>
                <w:tcPr>
                  <w:tcW w:w="1077" w:type="pct"/>
                  <w:noWrap w:val="0"/>
                  <w:vAlign w:val="center"/>
                </w:tcPr>
                <w:p w14:paraId="636828A9">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SZ18-120000/110</w:t>
                  </w:r>
                </w:p>
              </w:tc>
              <w:tc>
                <w:tcPr>
                  <w:tcW w:w="488" w:type="pct"/>
                  <w:noWrap w:val="0"/>
                  <w:vAlign w:val="center"/>
                </w:tcPr>
                <w:p w14:paraId="591356A0">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22</w:t>
                  </w:r>
                </w:p>
              </w:tc>
              <w:tc>
                <w:tcPr>
                  <w:tcW w:w="304" w:type="pct"/>
                  <w:noWrap w:val="0"/>
                  <w:vAlign w:val="center"/>
                </w:tcPr>
                <w:p w14:paraId="437B58EF">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17</w:t>
                  </w:r>
                </w:p>
              </w:tc>
              <w:tc>
                <w:tcPr>
                  <w:tcW w:w="479" w:type="pct"/>
                  <w:noWrap w:val="0"/>
                  <w:vAlign w:val="center"/>
                </w:tcPr>
                <w:p w14:paraId="0D1526AF">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0.5</w:t>
                  </w:r>
                </w:p>
              </w:tc>
              <w:tc>
                <w:tcPr>
                  <w:tcW w:w="629" w:type="pct"/>
                  <w:noWrap w:val="0"/>
                  <w:vAlign w:val="center"/>
                </w:tcPr>
                <w:p w14:paraId="0EB1CE42">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70</w:t>
                  </w:r>
                </w:p>
              </w:tc>
              <w:tc>
                <w:tcPr>
                  <w:tcW w:w="546" w:type="pct"/>
                  <w:vMerge w:val="continue"/>
                  <w:noWrap w:val="0"/>
                  <w:vAlign w:val="center"/>
                </w:tcPr>
                <w:p w14:paraId="686EA9BC">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5904ECC4">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79F8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81" w:type="pct"/>
                  <w:noWrap w:val="0"/>
                  <w:vAlign w:val="center"/>
                </w:tcPr>
                <w:p w14:paraId="2B539D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22</w:t>
                  </w:r>
                </w:p>
              </w:tc>
              <w:tc>
                <w:tcPr>
                  <w:tcW w:w="682" w:type="pct"/>
                  <w:noWrap w:val="0"/>
                  <w:vAlign w:val="center"/>
                </w:tcPr>
                <w:p w14:paraId="66CCDF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pPr>
                  <w:r>
                    <w:rPr>
                      <w:rStyle w:val="86"/>
                      <w:rFonts w:hint="default" w:ascii="Times New Roman" w:hAnsi="Times New Roman" w:cs="Times New Roman"/>
                      <w:color w:val="000000" w:themeColor="text1"/>
                      <w:sz w:val="18"/>
                      <w:szCs w:val="18"/>
                      <w:highlight w:val="none"/>
                      <w:lang w:val="en-US" w:eastAsia="zh-CN" w:bidi="ar"/>
                      <w14:textFill>
                        <w14:solidFill>
                          <w14:schemeClr w14:val="tx1"/>
                        </w14:solidFill>
                      </w14:textFill>
                    </w:rPr>
                    <w:t>1#SVG</w:t>
                  </w:r>
                </w:p>
              </w:tc>
              <w:tc>
                <w:tcPr>
                  <w:tcW w:w="1077" w:type="pct"/>
                  <w:noWrap w:val="0"/>
                  <w:vAlign w:val="center"/>
                </w:tcPr>
                <w:p w14:paraId="104F9F7B">
                  <w:pPr>
                    <w:keepNext w:val="0"/>
                    <w:keepLines w:val="0"/>
                    <w:widowControl/>
                    <w:suppressLineNumbers w:val="0"/>
                    <w:jc w:val="cente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pPr>
                  <w:r>
                    <w:rPr>
                      <w:rFonts w:hint="eastAsia" w:cs="Times New Roman"/>
                      <w:color w:val="000000" w:themeColor="text1"/>
                      <w:kern w:val="0"/>
                      <w:sz w:val="20"/>
                      <w:szCs w:val="20"/>
                      <w:highlight w:val="none"/>
                      <w:lang w:val="en-US" w:eastAsia="zh-CN" w:bidi="ar"/>
                      <w14:textFill>
                        <w14:solidFill>
                          <w14:schemeClr w14:val="tx1"/>
                        </w14:solidFill>
                      </w14:textFill>
                    </w:rPr>
                    <w:t>/</w:t>
                  </w:r>
                </w:p>
              </w:tc>
              <w:tc>
                <w:tcPr>
                  <w:tcW w:w="488" w:type="pct"/>
                  <w:noWrap w:val="0"/>
                  <w:vAlign w:val="center"/>
                </w:tcPr>
                <w:p w14:paraId="04944FF2">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18</w:t>
                  </w:r>
                </w:p>
              </w:tc>
              <w:tc>
                <w:tcPr>
                  <w:tcW w:w="304" w:type="pct"/>
                  <w:noWrap w:val="0"/>
                  <w:vAlign w:val="center"/>
                </w:tcPr>
                <w:p w14:paraId="2B274235">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7</w:t>
                  </w:r>
                </w:p>
              </w:tc>
              <w:tc>
                <w:tcPr>
                  <w:tcW w:w="479" w:type="pct"/>
                  <w:noWrap w:val="0"/>
                  <w:vAlign w:val="center"/>
                </w:tcPr>
                <w:p w14:paraId="4660F4BD">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r>
                    <w:rPr>
                      <w:rFonts w:hint="eastAsia" w:cs="Times New Roman"/>
                      <w:b w:val="0"/>
                      <w:bCs w:val="0"/>
                      <w:color w:val="000000" w:themeColor="text1"/>
                      <w:sz w:val="18"/>
                      <w:szCs w:val="18"/>
                      <w:highlight w:val="none"/>
                      <w:lang w:val="en-US" w:eastAsia="zh-CN"/>
                      <w14:textFill>
                        <w14:solidFill>
                          <w14:schemeClr w14:val="tx1"/>
                        </w14:solidFill>
                      </w14:textFill>
                    </w:rPr>
                    <w:t>0.5</w:t>
                  </w:r>
                </w:p>
              </w:tc>
              <w:tc>
                <w:tcPr>
                  <w:tcW w:w="629" w:type="pct"/>
                  <w:noWrap w:val="0"/>
                  <w:vAlign w:val="center"/>
                </w:tcPr>
                <w:p w14:paraId="74B52607">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eastAsia="宋体" w:cs="Times New Roman"/>
                      <w:color w:val="000000" w:themeColor="text1"/>
                      <w:sz w:val="18"/>
                      <w:szCs w:val="18"/>
                      <w:highlight w:val="none"/>
                      <w:lang w:val="en-US" w:eastAsia="zh-CN"/>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65</w:t>
                  </w:r>
                </w:p>
              </w:tc>
              <w:tc>
                <w:tcPr>
                  <w:tcW w:w="546" w:type="pct"/>
                  <w:vMerge w:val="continue"/>
                  <w:noWrap w:val="0"/>
                  <w:vAlign w:val="center"/>
                </w:tcPr>
                <w:p w14:paraId="693A1BA4">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b w:val="0"/>
                      <w:bCs w:val="0"/>
                      <w:color w:val="000000" w:themeColor="text1"/>
                      <w:sz w:val="18"/>
                      <w:szCs w:val="18"/>
                      <w:highlight w:val="none"/>
                      <w:lang w:val="en-US" w:eastAsia="zh-CN"/>
                      <w14:textFill>
                        <w14:solidFill>
                          <w14:schemeClr w14:val="tx1"/>
                        </w14:solidFill>
                      </w14:textFill>
                    </w:rPr>
                  </w:pPr>
                </w:p>
              </w:tc>
              <w:tc>
                <w:tcPr>
                  <w:tcW w:w="408" w:type="pct"/>
                  <w:vMerge w:val="continue"/>
                  <w:noWrap w:val="0"/>
                  <w:vAlign w:val="center"/>
                </w:tcPr>
                <w:p w14:paraId="6D920918">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p>
              </w:tc>
            </w:tr>
            <w:tr w14:paraId="52F0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9"/>
                  <w:noWrap w:val="0"/>
                  <w:vAlign w:val="center"/>
                </w:tcPr>
                <w:p w14:paraId="4BCA16E2">
                  <w:pPr>
                    <w:pStyle w:val="100"/>
                    <w:keepNext w:val="0"/>
                    <w:keepLines w:val="0"/>
                    <w:pageBreakBefore w:val="0"/>
                    <w:kinsoku/>
                    <w:wordWrap/>
                    <w:overflowPunct/>
                    <w:topLinePunct w:val="0"/>
                    <w:bidi w:val="0"/>
                    <w:adjustRightInd/>
                    <w:snapToGrid/>
                    <w:spacing w:line="240" w:lineRule="auto"/>
                    <w:ind w:left="0" w:leftChars="0" w:right="0" w:rightChars="0" w:firstLine="0" w:firstLineChars="0"/>
                    <w:jc w:val="both"/>
                    <w:textAlignment w:val="auto"/>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以</w:t>
                  </w:r>
                  <w:r>
                    <w:rPr>
                      <w:rFonts w:hint="eastAsia" w:cs="Times New Roman"/>
                      <w:b w:val="0"/>
                      <w:bCs w:val="0"/>
                      <w:color w:val="000000" w:themeColor="text1"/>
                      <w:sz w:val="18"/>
                      <w:szCs w:val="18"/>
                      <w:highlight w:val="none"/>
                      <w:lang w:val="en-US" w:eastAsia="zh-CN"/>
                      <w14:textFill>
                        <w14:solidFill>
                          <w14:schemeClr w14:val="tx1"/>
                        </w14:solidFill>
                      </w14:textFill>
                    </w:rPr>
                    <w:t>站址</w:t>
                  </w:r>
                  <w:r>
                    <w:rPr>
                      <w:rFonts w:hint="eastAsia"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中心作为坐标原点</w:t>
                  </w:r>
                </w:p>
              </w:tc>
            </w:tr>
          </w:tbl>
          <w:p w14:paraId="42CC0313">
            <w:pPr>
              <w:spacing w:before="120" w:beforeLines="50"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项目噪声预测</w:t>
            </w:r>
          </w:p>
          <w:p w14:paraId="68BD5E45">
            <w:pPr>
              <w:autoSpaceDE w:val="0"/>
              <w:autoSpaceDN w:val="0"/>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项目运营期噪声影响采用模型预测进行评价。根据《环境影响评价技术导则-声环境》（HJ 2.4-2021）的要求，选择户外声传播衰减计算公式如下：</w:t>
            </w:r>
          </w:p>
          <w:p w14:paraId="36214888">
            <w:pPr>
              <w:spacing w:line="360" w:lineRule="auto"/>
              <w:ind w:firstLine="480" w:firstLineChars="200"/>
              <w:jc w:val="center"/>
              <w:rPr>
                <w:rFonts w:hAnsi="宋体" w:eastAsia="Times New Roman" w:cs="宋体"/>
                <w:color w:val="000000" w:themeColor="text1"/>
                <w:sz w:val="24"/>
                <w:highlight w:val="none"/>
                <w:lang w:bidi="zh-CN"/>
                <w14:textFill>
                  <w14:solidFill>
                    <w14:schemeClr w14:val="tx1"/>
                  </w14:solidFill>
                </w14:textFill>
              </w:rPr>
            </w:pPr>
            <w:r>
              <w:rPr>
                <w:rFonts w:hint="eastAsia"/>
                <w:color w:val="000000" w:themeColor="text1"/>
                <w:sz w:val="24"/>
                <w:highlight w:val="none"/>
                <w14:textFill>
                  <w14:solidFill>
                    <w14:schemeClr w14:val="tx1"/>
                  </w14:solidFill>
                </w14:textFill>
              </w:rPr>
              <w:drawing>
                <wp:inline distT="0" distB="0" distL="114300" distR="114300">
                  <wp:extent cx="2890520" cy="203835"/>
                  <wp:effectExtent l="0" t="0" r="5080" b="9525"/>
                  <wp:docPr id="23" name="图片 6" descr="167012910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descr="1670129108507"/>
                          <pic:cNvPicPr>
                            <a:picLocks noChangeAspect="1"/>
                          </pic:cNvPicPr>
                        </pic:nvPicPr>
                        <pic:blipFill>
                          <a:blip r:embed="rId9"/>
                          <a:stretch>
                            <a:fillRect/>
                          </a:stretch>
                        </pic:blipFill>
                        <pic:spPr>
                          <a:xfrm>
                            <a:off x="0" y="0"/>
                            <a:ext cx="2890520" cy="203835"/>
                          </a:xfrm>
                          <a:prstGeom prst="rect">
                            <a:avLst/>
                          </a:prstGeom>
                          <a:noFill/>
                          <a:ln>
                            <a:noFill/>
                          </a:ln>
                        </pic:spPr>
                      </pic:pic>
                    </a:graphicData>
                  </a:graphic>
                </wp:inline>
              </w:drawing>
            </w:r>
            <w:r>
              <w:rPr>
                <w:rFonts w:hint="eastAsia"/>
                <w:color w:val="000000" w:themeColor="text1"/>
                <w:sz w:val="24"/>
                <w:highlight w:val="none"/>
                <w14:textFill>
                  <w14:solidFill>
                    <w14:schemeClr w14:val="tx1"/>
                  </w14:solidFill>
                </w14:textFill>
              </w:rPr>
              <w:t xml:space="preserve">   </w:t>
            </w:r>
            <w:r>
              <w:rPr>
                <w:rFonts w:hint="eastAsia"/>
                <w:color w:val="000000" w:themeColor="text1"/>
                <w:kern w:val="0"/>
                <w:sz w:val="24"/>
                <w:szCs w:val="20"/>
                <w:highlight w:val="none"/>
                <w14:textFill>
                  <w14:solidFill>
                    <w14:schemeClr w14:val="tx1"/>
                  </w14:solidFill>
                </w14:textFill>
              </w:rPr>
              <w:t>（A.2）</w:t>
            </w:r>
          </w:p>
          <w:p w14:paraId="21A6448D">
            <w:pPr>
              <w:spacing w:line="360" w:lineRule="auto"/>
              <w:ind w:left="-63" w:leftChars="-30" w:right="-63" w:rightChars="-30" w:firstLine="480" w:firstLineChars="200"/>
              <w:outlineLvl w:val="0"/>
              <w:rPr>
                <w:color w:val="000000" w:themeColor="text1"/>
                <w:sz w:val="24"/>
                <w:highlight w:val="none"/>
                <w14:textFill>
                  <w14:solidFill>
                    <w14:schemeClr w14:val="tx1"/>
                  </w14:solidFill>
                </w14:textFill>
              </w:rPr>
            </w:pPr>
            <w:bookmarkStart w:id="25" w:name="_Toc19276"/>
            <w:bookmarkStart w:id="26" w:name="_Toc11647"/>
            <w:r>
              <w:rPr>
                <w:color w:val="000000" w:themeColor="text1"/>
                <w:sz w:val="24"/>
                <w:highlight w:val="none"/>
                <w14:textFill>
                  <w14:solidFill>
                    <w14:schemeClr w14:val="tx1"/>
                  </w14:solidFill>
                </w14:textFill>
              </w:rPr>
              <w:t>式中：L</w:t>
            </w:r>
            <w:r>
              <w:rPr>
                <w:color w:val="000000" w:themeColor="text1"/>
                <w:sz w:val="24"/>
                <w:highlight w:val="none"/>
                <w:vertAlign w:val="subscript"/>
                <w14:textFill>
                  <w14:solidFill>
                    <w14:schemeClr w14:val="tx1"/>
                  </w14:solidFill>
                </w14:textFill>
              </w:rPr>
              <w:t>p</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r</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—预测点处声压级，dB；</w:t>
            </w:r>
            <w:bookmarkEnd w:id="25"/>
            <w:bookmarkEnd w:id="26"/>
          </w:p>
          <w:p w14:paraId="4380A9E5">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27" w:name="_Toc28959"/>
            <w:bookmarkStart w:id="28" w:name="_Toc5554"/>
            <w:r>
              <w:rPr>
                <w:color w:val="000000" w:themeColor="text1"/>
                <w:sz w:val="24"/>
                <w:highlight w:val="none"/>
                <w14:textFill>
                  <w14:solidFill>
                    <w14:schemeClr w14:val="tx1"/>
                  </w14:solidFill>
                </w14:textFill>
              </w:rPr>
              <w:t>L</w:t>
            </w:r>
            <w:r>
              <w:rPr>
                <w:color w:val="000000" w:themeColor="text1"/>
                <w:sz w:val="24"/>
                <w:highlight w:val="none"/>
                <w:vertAlign w:val="subscript"/>
                <w14:textFill>
                  <w14:solidFill>
                    <w14:schemeClr w14:val="tx1"/>
                  </w14:solidFill>
                </w14:textFill>
              </w:rPr>
              <w:t>p</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r</w:t>
            </w:r>
            <w:r>
              <w:rPr>
                <w:color w:val="000000" w:themeColor="text1"/>
                <w:sz w:val="24"/>
                <w:highlight w:val="none"/>
                <w:vertAlign w:val="subscript"/>
                <w14:textFill>
                  <w14:solidFill>
                    <w14:schemeClr w14:val="tx1"/>
                  </w14:solidFill>
                </w14:textFill>
              </w:rPr>
              <w:t>0</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—参考位置r</w:t>
            </w:r>
            <w:r>
              <w:rPr>
                <w:color w:val="000000" w:themeColor="text1"/>
                <w:sz w:val="24"/>
                <w:highlight w:val="none"/>
                <w:vertAlign w:val="subscript"/>
                <w14:textFill>
                  <w14:solidFill>
                    <w14:schemeClr w14:val="tx1"/>
                  </w14:solidFill>
                </w14:textFill>
              </w:rPr>
              <w:t>0</w:t>
            </w:r>
            <w:r>
              <w:rPr>
                <w:color w:val="000000" w:themeColor="text1"/>
                <w:sz w:val="24"/>
                <w:highlight w:val="none"/>
                <w14:textFill>
                  <w14:solidFill>
                    <w14:schemeClr w14:val="tx1"/>
                  </w14:solidFill>
                </w14:textFill>
              </w:rPr>
              <w:t>处的声压级，dB；</w:t>
            </w:r>
            <w:bookmarkEnd w:id="27"/>
            <w:bookmarkEnd w:id="28"/>
          </w:p>
          <w:p w14:paraId="33339208">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29" w:name="_Toc6065"/>
            <w:bookmarkStart w:id="30" w:name="_Toc3455"/>
            <w:r>
              <w:rPr>
                <w:color w:val="000000" w:themeColor="text1"/>
                <w:sz w:val="24"/>
                <w:highlight w:val="none"/>
                <w14:textFill>
                  <w14:solidFill>
                    <w14:schemeClr w14:val="tx1"/>
                  </w14:solidFill>
                </w14:textFill>
              </w:rPr>
              <w:t>D</w:t>
            </w:r>
            <w:r>
              <w:rPr>
                <w:color w:val="000000" w:themeColor="text1"/>
                <w:sz w:val="24"/>
                <w:highlight w:val="none"/>
                <w:vertAlign w:val="subscript"/>
                <w14:textFill>
                  <w14:solidFill>
                    <w14:schemeClr w14:val="tx1"/>
                  </w14:solidFill>
                </w14:textFill>
              </w:rPr>
              <w:t>C</w:t>
            </w:r>
            <w:r>
              <w:rPr>
                <w:color w:val="000000" w:themeColor="text1"/>
                <w:sz w:val="24"/>
                <w:highlight w:val="none"/>
                <w14:textFill>
                  <w14:solidFill>
                    <w14:schemeClr w14:val="tx1"/>
                  </w14:solidFill>
                </w14:textFill>
              </w:rPr>
              <w:t>—指向性校正，它描述点声源的等效连续声压级与产生声功率级L</w:t>
            </w:r>
            <w:r>
              <w:rPr>
                <w:color w:val="000000" w:themeColor="text1"/>
                <w:sz w:val="24"/>
                <w:highlight w:val="none"/>
                <w:vertAlign w:val="subscript"/>
                <w14:textFill>
                  <w14:solidFill>
                    <w14:schemeClr w14:val="tx1"/>
                  </w14:solidFill>
                </w14:textFill>
              </w:rPr>
              <w:t>w</w:t>
            </w:r>
            <w:r>
              <w:rPr>
                <w:color w:val="000000" w:themeColor="text1"/>
                <w:sz w:val="24"/>
                <w:highlight w:val="none"/>
                <w14:textFill>
                  <w14:solidFill>
                    <w14:schemeClr w14:val="tx1"/>
                  </w14:solidFill>
                </w14:textFill>
              </w:rPr>
              <w:t>的全向点声源在规定方向的声级的偏差程度，dB；</w:t>
            </w:r>
            <w:bookmarkEnd w:id="29"/>
            <w:bookmarkEnd w:id="30"/>
          </w:p>
          <w:p w14:paraId="43458BBB">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31" w:name="_Toc22102"/>
            <w:bookmarkStart w:id="32" w:name="_Toc29195"/>
            <w:r>
              <w:rPr>
                <w:color w:val="000000" w:themeColor="text1"/>
                <w:sz w:val="24"/>
                <w:highlight w:val="none"/>
                <w14:textFill>
                  <w14:solidFill>
                    <w14:schemeClr w14:val="tx1"/>
                  </w14:solidFill>
                </w14:textFill>
              </w:rPr>
              <w:t>A</w:t>
            </w:r>
            <w:r>
              <w:rPr>
                <w:color w:val="000000" w:themeColor="text1"/>
                <w:sz w:val="24"/>
                <w:highlight w:val="none"/>
                <w:vertAlign w:val="subscript"/>
                <w14:textFill>
                  <w14:solidFill>
                    <w14:schemeClr w14:val="tx1"/>
                  </w14:solidFill>
                </w14:textFill>
              </w:rPr>
              <w:t>div</w:t>
            </w:r>
            <w:r>
              <w:rPr>
                <w:color w:val="000000" w:themeColor="text1"/>
                <w:sz w:val="24"/>
                <w:highlight w:val="none"/>
                <w14:textFill>
                  <w14:solidFill>
                    <w14:schemeClr w14:val="tx1"/>
                  </w14:solidFill>
                </w14:textFill>
              </w:rPr>
              <w:t>—几何发散引起的衰减，dB；</w:t>
            </w:r>
            <w:bookmarkEnd w:id="31"/>
            <w:bookmarkEnd w:id="32"/>
          </w:p>
          <w:p w14:paraId="7FCA832F">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33" w:name="_Toc11713"/>
            <w:bookmarkStart w:id="34" w:name="_Toc12106"/>
            <w:r>
              <w:rPr>
                <w:color w:val="000000" w:themeColor="text1"/>
                <w:sz w:val="24"/>
                <w:highlight w:val="none"/>
                <w14:textFill>
                  <w14:solidFill>
                    <w14:schemeClr w14:val="tx1"/>
                  </w14:solidFill>
                </w14:textFill>
              </w:rPr>
              <w:t>A</w:t>
            </w:r>
            <w:r>
              <w:rPr>
                <w:color w:val="000000" w:themeColor="text1"/>
                <w:sz w:val="24"/>
                <w:highlight w:val="none"/>
                <w:vertAlign w:val="subscript"/>
                <w14:textFill>
                  <w14:solidFill>
                    <w14:schemeClr w14:val="tx1"/>
                  </w14:solidFill>
                </w14:textFill>
              </w:rPr>
              <w:t>atm</w:t>
            </w:r>
            <w:r>
              <w:rPr>
                <w:color w:val="000000" w:themeColor="text1"/>
                <w:sz w:val="24"/>
                <w:highlight w:val="none"/>
                <w14:textFill>
                  <w14:solidFill>
                    <w14:schemeClr w14:val="tx1"/>
                  </w14:solidFill>
                </w14:textFill>
              </w:rPr>
              <w:t>—大气吸收引起的衰减，dB；</w:t>
            </w:r>
            <w:bookmarkEnd w:id="33"/>
            <w:bookmarkEnd w:id="34"/>
          </w:p>
          <w:p w14:paraId="3BB9199C">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35" w:name="_Toc5886"/>
            <w:bookmarkStart w:id="36" w:name="_Toc8697"/>
            <w:r>
              <w:rPr>
                <w:color w:val="000000" w:themeColor="text1"/>
                <w:sz w:val="24"/>
                <w:highlight w:val="none"/>
                <w14:textFill>
                  <w14:solidFill>
                    <w14:schemeClr w14:val="tx1"/>
                  </w14:solidFill>
                </w14:textFill>
              </w:rPr>
              <w:t>A</w:t>
            </w:r>
            <w:r>
              <w:rPr>
                <w:color w:val="000000" w:themeColor="text1"/>
                <w:sz w:val="24"/>
                <w:highlight w:val="none"/>
                <w:vertAlign w:val="subscript"/>
                <w14:textFill>
                  <w14:solidFill>
                    <w14:schemeClr w14:val="tx1"/>
                  </w14:solidFill>
                </w14:textFill>
              </w:rPr>
              <w:t>gr</w:t>
            </w:r>
            <w:r>
              <w:rPr>
                <w:color w:val="000000" w:themeColor="text1"/>
                <w:sz w:val="24"/>
                <w:highlight w:val="none"/>
                <w14:textFill>
                  <w14:solidFill>
                    <w14:schemeClr w14:val="tx1"/>
                  </w14:solidFill>
                </w14:textFill>
              </w:rPr>
              <w:t>—地面效应引起的衰减，dB；</w:t>
            </w:r>
            <w:bookmarkEnd w:id="35"/>
            <w:bookmarkEnd w:id="36"/>
          </w:p>
          <w:p w14:paraId="24856ED5">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37" w:name="_Toc23736"/>
            <w:bookmarkStart w:id="38" w:name="_Toc15582"/>
            <w:r>
              <w:rPr>
                <w:color w:val="000000" w:themeColor="text1"/>
                <w:sz w:val="24"/>
                <w:highlight w:val="none"/>
                <w14:textFill>
                  <w14:solidFill>
                    <w14:schemeClr w14:val="tx1"/>
                  </w14:solidFill>
                </w14:textFill>
              </w:rPr>
              <w:t>A</w:t>
            </w:r>
            <w:r>
              <w:rPr>
                <w:color w:val="000000" w:themeColor="text1"/>
                <w:sz w:val="24"/>
                <w:highlight w:val="none"/>
                <w:vertAlign w:val="subscript"/>
                <w14:textFill>
                  <w14:solidFill>
                    <w14:schemeClr w14:val="tx1"/>
                  </w14:solidFill>
                </w14:textFill>
              </w:rPr>
              <w:t>bar</w:t>
            </w:r>
            <w:r>
              <w:rPr>
                <w:color w:val="000000" w:themeColor="text1"/>
                <w:sz w:val="24"/>
                <w:highlight w:val="none"/>
                <w14:textFill>
                  <w14:solidFill>
                    <w14:schemeClr w14:val="tx1"/>
                  </w14:solidFill>
                </w14:textFill>
              </w:rPr>
              <w:t>—障碍物屏蔽引起的衰减，dB；</w:t>
            </w:r>
            <w:bookmarkEnd w:id="37"/>
            <w:bookmarkEnd w:id="38"/>
          </w:p>
          <w:p w14:paraId="22049924">
            <w:pPr>
              <w:spacing w:line="360" w:lineRule="auto"/>
              <w:ind w:left="-63" w:leftChars="-30" w:right="-63" w:rightChars="-30" w:firstLine="1200" w:firstLineChars="500"/>
              <w:outlineLvl w:val="0"/>
              <w:rPr>
                <w:rFonts w:hint="eastAsia" w:ascii="宋体" w:hAnsi="宋体" w:cs="宋体"/>
                <w:color w:val="000000" w:themeColor="text1"/>
                <w:sz w:val="24"/>
                <w:highlight w:val="none"/>
                <w:lang w:val="zh-CN" w:bidi="zh-CN"/>
                <w14:textFill>
                  <w14:solidFill>
                    <w14:schemeClr w14:val="tx1"/>
                  </w14:solidFill>
                </w14:textFill>
              </w:rPr>
            </w:pPr>
            <w:bookmarkStart w:id="39" w:name="_Toc4553"/>
            <w:bookmarkStart w:id="40" w:name="_Toc17002"/>
            <w:r>
              <w:rPr>
                <w:color w:val="000000" w:themeColor="text1"/>
                <w:sz w:val="24"/>
                <w:highlight w:val="none"/>
                <w14:textFill>
                  <w14:solidFill>
                    <w14:schemeClr w14:val="tx1"/>
                  </w14:solidFill>
                </w14:textFill>
              </w:rPr>
              <w:t>A</w:t>
            </w:r>
            <w:r>
              <w:rPr>
                <w:color w:val="000000" w:themeColor="text1"/>
                <w:sz w:val="24"/>
                <w:highlight w:val="none"/>
                <w:vertAlign w:val="subscript"/>
                <w14:textFill>
                  <w14:solidFill>
                    <w14:schemeClr w14:val="tx1"/>
                  </w14:solidFill>
                </w14:textFill>
              </w:rPr>
              <w:t>misc</w:t>
            </w:r>
            <w:r>
              <w:rPr>
                <w:color w:val="000000" w:themeColor="text1"/>
                <w:sz w:val="24"/>
                <w:highlight w:val="none"/>
                <w14:textFill>
                  <w14:solidFill>
                    <w14:schemeClr w14:val="tx1"/>
                  </w14:solidFill>
                </w14:textFill>
              </w:rPr>
              <w:t>—其他多方面效应引起的衰减，dB。</w:t>
            </w:r>
            <w:bookmarkEnd w:id="39"/>
            <w:bookmarkEnd w:id="40"/>
          </w:p>
          <w:p w14:paraId="493A99C3">
            <w:pPr>
              <w:spacing w:line="360" w:lineRule="auto"/>
              <w:ind w:left="-63" w:leftChars="-30" w:right="-63" w:rightChars="-30" w:firstLine="480" w:firstLineChars="200"/>
              <w:outlineLvl w:val="0"/>
              <w:rPr>
                <w:color w:val="000000" w:themeColor="text1"/>
                <w:sz w:val="24"/>
                <w:highlight w:val="none"/>
                <w14:textFill>
                  <w14:solidFill>
                    <w14:schemeClr w14:val="tx1"/>
                  </w14:solidFill>
                </w14:textFill>
              </w:rPr>
            </w:pPr>
            <w:bookmarkStart w:id="41" w:name="_Toc10654"/>
            <w:bookmarkStart w:id="42" w:name="_Toc14446"/>
            <w:r>
              <w:rPr>
                <w:rFonts w:hint="eastAsia"/>
                <w:color w:val="000000" w:themeColor="text1"/>
                <w:sz w:val="24"/>
                <w:highlight w:val="none"/>
                <w14:textFill>
                  <w14:solidFill>
                    <w14:schemeClr w14:val="tx1"/>
                  </w14:solidFill>
                </w14:textFill>
              </w:rPr>
              <w:t>本项目按式（A.2）计算预测点的声级，因项目声环境影响预测范围较小，</w:t>
            </w:r>
            <w:r>
              <w:rPr>
                <w:color w:val="000000" w:themeColor="text1"/>
                <w:sz w:val="24"/>
                <w:highlight w:val="none"/>
                <w14:textFill>
                  <w14:solidFill>
                    <w14:schemeClr w14:val="tx1"/>
                  </w14:solidFill>
                </w14:textFill>
              </w:rPr>
              <w:t>大气吸收（A</w:t>
            </w:r>
            <w:r>
              <w:rPr>
                <w:color w:val="000000" w:themeColor="text1"/>
                <w:sz w:val="24"/>
                <w:highlight w:val="none"/>
                <w:vertAlign w:val="subscript"/>
                <w14:textFill>
                  <w14:solidFill>
                    <w14:schemeClr w14:val="tx1"/>
                  </w14:solidFill>
                </w14:textFill>
              </w:rPr>
              <w:t>atm</w:t>
            </w:r>
            <w:r>
              <w:rPr>
                <w:color w:val="000000" w:themeColor="text1"/>
                <w:sz w:val="24"/>
                <w:highlight w:val="none"/>
                <w14:textFill>
                  <w14:solidFill>
                    <w14:schemeClr w14:val="tx1"/>
                  </w14:solidFill>
                </w14:textFill>
              </w:rPr>
              <w:t>）、地面效应（A</w:t>
            </w:r>
            <w:r>
              <w:rPr>
                <w:color w:val="000000" w:themeColor="text1"/>
                <w:sz w:val="24"/>
                <w:highlight w:val="none"/>
                <w:vertAlign w:val="subscript"/>
                <w14:textFill>
                  <w14:solidFill>
                    <w14:schemeClr w14:val="tx1"/>
                  </w14:solidFill>
                </w14:textFill>
              </w:rPr>
              <w:t>gr</w:t>
            </w:r>
            <w:r>
              <w:rPr>
                <w:color w:val="000000" w:themeColor="text1"/>
                <w:sz w:val="24"/>
                <w:highlight w:val="none"/>
                <w14:textFill>
                  <w14:solidFill>
                    <w14:schemeClr w14:val="tx1"/>
                  </w14:solidFill>
                </w14:textFill>
              </w:rPr>
              <w:t>）、障碍物屏蔽（A</w:t>
            </w:r>
            <w:r>
              <w:rPr>
                <w:color w:val="000000" w:themeColor="text1"/>
                <w:sz w:val="24"/>
                <w:highlight w:val="none"/>
                <w:vertAlign w:val="subscript"/>
                <w14:textFill>
                  <w14:solidFill>
                    <w14:schemeClr w14:val="tx1"/>
                  </w14:solidFill>
                </w14:textFill>
              </w:rPr>
              <w:t>bar</w:t>
            </w:r>
            <w:r>
              <w:rPr>
                <w:color w:val="000000" w:themeColor="text1"/>
                <w:sz w:val="24"/>
                <w:highlight w:val="none"/>
                <w14:textFill>
                  <w14:solidFill>
                    <w14:schemeClr w14:val="tx1"/>
                  </w14:solidFill>
                </w14:textFill>
              </w:rPr>
              <w:t>）、其他多方面效应（A</w:t>
            </w:r>
            <w:r>
              <w:rPr>
                <w:color w:val="000000" w:themeColor="text1"/>
                <w:sz w:val="24"/>
                <w:highlight w:val="none"/>
                <w:vertAlign w:val="subscript"/>
                <w14:textFill>
                  <w14:solidFill>
                    <w14:schemeClr w14:val="tx1"/>
                  </w14:solidFill>
                </w14:textFill>
              </w:rPr>
              <w:t>misc</w:t>
            </w:r>
            <w:r>
              <w:rPr>
                <w:color w:val="000000" w:themeColor="text1"/>
                <w:sz w:val="24"/>
                <w:highlight w:val="none"/>
                <w14:textFill>
                  <w14:solidFill>
                    <w14:schemeClr w14:val="tx1"/>
                  </w14:solidFill>
                </w14:textFill>
              </w:rPr>
              <w:t>）引起的衰减</w:t>
            </w:r>
            <w:r>
              <w:rPr>
                <w:rFonts w:hint="eastAsia"/>
                <w:color w:val="000000" w:themeColor="text1"/>
                <w:sz w:val="24"/>
                <w:highlight w:val="none"/>
                <w14:textFill>
                  <w14:solidFill>
                    <w14:schemeClr w14:val="tx1"/>
                  </w14:solidFill>
                </w14:textFill>
              </w:rPr>
              <w:t>均不考虑。户外传播</w:t>
            </w:r>
            <w:r>
              <w:rPr>
                <w:color w:val="000000" w:themeColor="text1"/>
                <w:sz w:val="24"/>
                <w:highlight w:val="none"/>
                <w14:textFill>
                  <w14:solidFill>
                    <w14:schemeClr w14:val="tx1"/>
                  </w14:solidFill>
                </w14:textFill>
              </w:rPr>
              <w:t>几何发散（A</w:t>
            </w:r>
            <w:r>
              <w:rPr>
                <w:color w:val="000000" w:themeColor="text1"/>
                <w:sz w:val="24"/>
                <w:highlight w:val="none"/>
                <w:vertAlign w:val="subscript"/>
                <w14:textFill>
                  <w14:solidFill>
                    <w14:schemeClr w14:val="tx1"/>
                  </w14:solidFill>
                </w14:textFill>
              </w:rPr>
              <w:t>div</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衰减按点声源考虑。</w:t>
            </w:r>
            <w:bookmarkEnd w:id="41"/>
            <w:bookmarkEnd w:id="42"/>
          </w:p>
          <w:p w14:paraId="16DC69DE">
            <w:pPr>
              <w:spacing w:line="360" w:lineRule="auto"/>
              <w:ind w:left="-63" w:leftChars="-30" w:right="-63" w:rightChars="-30" w:firstLine="480" w:firstLineChars="200"/>
              <w:outlineLvl w:val="0"/>
              <w:rPr>
                <w:color w:val="000000" w:themeColor="text1"/>
                <w:sz w:val="24"/>
                <w:highlight w:val="none"/>
                <w14:textFill>
                  <w14:solidFill>
                    <w14:schemeClr w14:val="tx1"/>
                  </w14:solidFill>
                </w14:textFill>
              </w:rPr>
            </w:pPr>
            <w:bookmarkStart w:id="43" w:name="_Toc15833"/>
            <w:bookmarkStart w:id="44" w:name="_Toc18483"/>
            <w:r>
              <w:rPr>
                <w:color w:val="000000" w:themeColor="text1"/>
                <w:sz w:val="24"/>
                <w:highlight w:val="none"/>
                <w14:textFill>
                  <w14:solidFill>
                    <w14:schemeClr w14:val="tx1"/>
                  </w14:solidFill>
                </w14:textFill>
              </w:rPr>
              <w:t>式中：L</w:t>
            </w:r>
            <w:r>
              <w:rPr>
                <w:color w:val="000000" w:themeColor="text1"/>
                <w:sz w:val="24"/>
                <w:highlight w:val="none"/>
                <w:vertAlign w:val="subscript"/>
                <w14:textFill>
                  <w14:solidFill>
                    <w14:schemeClr w14:val="tx1"/>
                  </w14:solidFill>
                </w14:textFill>
              </w:rPr>
              <w:t>p</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r</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—预测点处声压级，dB；</w:t>
            </w:r>
            <w:bookmarkEnd w:id="43"/>
            <w:bookmarkEnd w:id="44"/>
          </w:p>
          <w:p w14:paraId="3A7D8D1F">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45" w:name="_Toc22694"/>
            <w:bookmarkStart w:id="46" w:name="_Toc17633"/>
            <w:r>
              <w:rPr>
                <w:color w:val="000000" w:themeColor="text1"/>
                <w:sz w:val="24"/>
                <w:highlight w:val="none"/>
                <w14:textFill>
                  <w14:solidFill>
                    <w14:schemeClr w14:val="tx1"/>
                  </w14:solidFill>
                </w14:textFill>
              </w:rPr>
              <w:t>L</w:t>
            </w:r>
            <w:r>
              <w:rPr>
                <w:color w:val="000000" w:themeColor="text1"/>
                <w:sz w:val="24"/>
                <w:highlight w:val="none"/>
                <w:vertAlign w:val="subscript"/>
                <w14:textFill>
                  <w14:solidFill>
                    <w14:schemeClr w14:val="tx1"/>
                  </w14:solidFill>
                </w14:textFill>
              </w:rPr>
              <w:t>p</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r</w:t>
            </w:r>
            <w:r>
              <w:rPr>
                <w:color w:val="000000" w:themeColor="text1"/>
                <w:sz w:val="24"/>
                <w:highlight w:val="none"/>
                <w:vertAlign w:val="subscript"/>
                <w14:textFill>
                  <w14:solidFill>
                    <w14:schemeClr w14:val="tx1"/>
                  </w14:solidFill>
                </w14:textFill>
              </w:rPr>
              <w:t>0</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—参考位置r</w:t>
            </w:r>
            <w:r>
              <w:rPr>
                <w:color w:val="000000" w:themeColor="text1"/>
                <w:sz w:val="24"/>
                <w:highlight w:val="none"/>
                <w:vertAlign w:val="subscript"/>
                <w14:textFill>
                  <w14:solidFill>
                    <w14:schemeClr w14:val="tx1"/>
                  </w14:solidFill>
                </w14:textFill>
              </w:rPr>
              <w:t>0</w:t>
            </w:r>
            <w:r>
              <w:rPr>
                <w:color w:val="000000" w:themeColor="text1"/>
                <w:sz w:val="24"/>
                <w:highlight w:val="none"/>
                <w14:textFill>
                  <w14:solidFill>
                    <w14:schemeClr w14:val="tx1"/>
                  </w14:solidFill>
                </w14:textFill>
              </w:rPr>
              <w:t>处的声压级，dB；</w:t>
            </w:r>
            <w:bookmarkEnd w:id="45"/>
            <w:bookmarkEnd w:id="46"/>
          </w:p>
          <w:p w14:paraId="4F5AA53A">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47" w:name="_Toc16606"/>
            <w:bookmarkStart w:id="48" w:name="_Toc18280"/>
            <w:r>
              <w:rPr>
                <w:color w:val="000000" w:themeColor="text1"/>
                <w:sz w:val="24"/>
                <w:highlight w:val="none"/>
                <w14:textFill>
                  <w14:solidFill>
                    <w14:schemeClr w14:val="tx1"/>
                  </w14:solidFill>
                </w14:textFill>
              </w:rPr>
              <w:t>r—预测点距声源的距离；</w:t>
            </w:r>
            <w:bookmarkEnd w:id="47"/>
            <w:bookmarkEnd w:id="48"/>
          </w:p>
          <w:p w14:paraId="023E7376">
            <w:pPr>
              <w:spacing w:line="360" w:lineRule="auto"/>
              <w:ind w:left="-63" w:leftChars="-30" w:right="-63" w:rightChars="-30" w:firstLine="1200" w:firstLineChars="500"/>
              <w:outlineLvl w:val="0"/>
              <w:rPr>
                <w:color w:val="000000" w:themeColor="text1"/>
                <w:sz w:val="24"/>
                <w:highlight w:val="none"/>
                <w14:textFill>
                  <w14:solidFill>
                    <w14:schemeClr w14:val="tx1"/>
                  </w14:solidFill>
                </w14:textFill>
              </w:rPr>
            </w:pPr>
            <w:bookmarkStart w:id="49" w:name="_Toc21722"/>
            <w:bookmarkStart w:id="50" w:name="_Toc11457"/>
            <w:r>
              <w:rPr>
                <w:color w:val="000000" w:themeColor="text1"/>
                <w:sz w:val="24"/>
                <w:highlight w:val="none"/>
                <w14:textFill>
                  <w14:solidFill>
                    <w14:schemeClr w14:val="tx1"/>
                  </w14:solidFill>
                </w14:textFill>
              </w:rPr>
              <w:t>r</w:t>
            </w:r>
            <w:r>
              <w:rPr>
                <w:color w:val="000000" w:themeColor="text1"/>
                <w:sz w:val="24"/>
                <w:highlight w:val="none"/>
                <w:vertAlign w:val="subscript"/>
                <w14:textFill>
                  <w14:solidFill>
                    <w14:schemeClr w14:val="tx1"/>
                  </w14:solidFill>
                </w14:textFill>
              </w:rPr>
              <w:t>0</w:t>
            </w:r>
            <w:r>
              <w:rPr>
                <w:color w:val="000000" w:themeColor="text1"/>
                <w:sz w:val="24"/>
                <w:highlight w:val="none"/>
                <w14:textFill>
                  <w14:solidFill>
                    <w14:schemeClr w14:val="tx1"/>
                  </w14:solidFill>
                </w14:textFill>
              </w:rPr>
              <w:t>—参考位置距声源的距离</w:t>
            </w:r>
            <w:r>
              <w:rPr>
                <w:rFonts w:hint="eastAsia"/>
                <w:color w:val="000000" w:themeColor="text1"/>
                <w:sz w:val="24"/>
                <w:highlight w:val="none"/>
                <w14:textFill>
                  <w14:solidFill>
                    <w14:schemeClr w14:val="tx1"/>
                  </w14:solidFill>
                </w14:textFill>
              </w:rPr>
              <w:t>。</w:t>
            </w:r>
            <w:bookmarkEnd w:id="49"/>
            <w:bookmarkEnd w:id="50"/>
          </w:p>
          <w:p w14:paraId="7EBBE100">
            <w:pPr>
              <w:autoSpaceDE w:val="0"/>
              <w:autoSpaceDN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（3）声环境影响预测结果及分析</w:t>
            </w:r>
          </w:p>
          <w:p w14:paraId="195F0D22">
            <w:pPr>
              <w:autoSpaceDE w:val="0"/>
              <w:autoSpaceDN w:val="0"/>
              <w:spacing w:line="360" w:lineRule="auto"/>
              <w:ind w:firstLine="480" w:firstLineChars="200"/>
              <w:rPr>
                <w:b/>
                <w:color w:val="000000" w:themeColor="text1"/>
                <w:highlight w:val="none"/>
                <w14:textFill>
                  <w14:solidFill>
                    <w14:schemeClr w14:val="tx1"/>
                  </w14:solidFill>
                </w14:textFill>
              </w:rPr>
            </w:pPr>
            <w:r>
              <w:rPr>
                <w:color w:val="000000" w:themeColor="text1"/>
                <w:kern w:val="0"/>
                <w:sz w:val="24"/>
                <w:szCs w:val="22"/>
                <w:highlight w:val="none"/>
                <w14:textFill>
                  <w14:solidFill>
                    <w14:schemeClr w14:val="tx1"/>
                  </w14:solidFill>
                </w14:textFill>
              </w:rPr>
              <w:t>利用以上预测公式，使噪声源通过等效变换成若干等效声源，然后计算出与噪声源不同距离处的理论噪声值，即为本项目预测值，得出产噪设备运行时对厂界声环境的影响状况</w:t>
            </w:r>
            <w:r>
              <w:rPr>
                <w:rFonts w:hint="eastAsia"/>
                <w:color w:val="000000" w:themeColor="text1"/>
                <w:sz w:val="24"/>
                <w:highlight w:val="none"/>
                <w14:textFill>
                  <w14:solidFill>
                    <w14:schemeClr w14:val="tx1"/>
                  </w14:solidFill>
                </w14:textFill>
              </w:rPr>
              <w:t>，计算结果见表4-</w:t>
            </w:r>
            <w:bookmarkStart w:id="51" w:name="_Toc3980"/>
            <w:r>
              <w:rPr>
                <w:rFonts w:hint="eastAsia"/>
                <w:color w:val="000000" w:themeColor="text1"/>
                <w:sz w:val="24"/>
                <w:highlight w:val="none"/>
                <w14:textFill>
                  <w14:solidFill>
                    <w14:schemeClr w14:val="tx1"/>
                  </w14:solidFill>
                </w14:textFill>
              </w:rPr>
              <w:t>6。</w:t>
            </w:r>
          </w:p>
          <w:p w14:paraId="12EF66ED">
            <w:pPr>
              <w:keepNext/>
              <w:keepLines/>
              <w:numPr>
                <w:ilvl w:val="2"/>
                <w:numId w:val="0"/>
              </w:numPr>
              <w:spacing w:before="120" w:beforeLines="50"/>
              <w:jc w:val="center"/>
              <w:outlineLvl w:val="2"/>
              <w:rPr>
                <w:b/>
                <w:color w:val="000000" w:themeColor="text1"/>
                <w:sz w:val="24"/>
                <w:szCs w:val="32"/>
                <w:highlight w:val="none"/>
                <w14:textFill>
                  <w14:solidFill>
                    <w14:schemeClr w14:val="tx1"/>
                  </w14:solidFill>
                </w14:textFill>
              </w:rPr>
            </w:pPr>
            <w:r>
              <w:rPr>
                <w:rFonts w:hint="eastAsia"/>
                <w:b/>
                <w:color w:val="000000" w:themeColor="text1"/>
                <w:sz w:val="24"/>
                <w:szCs w:val="32"/>
                <w:highlight w:val="none"/>
                <w14:textFill>
                  <w14:solidFill>
                    <w14:schemeClr w14:val="tx1"/>
                  </w14:solidFill>
                </w14:textFill>
              </w:rPr>
              <w:t>表4-6  运营期厂界噪声预测结果   单位：Leq dB（A）</w:t>
            </w:r>
            <w:bookmarkEnd w:id="51"/>
          </w:p>
          <w:tbl>
            <w:tblPr>
              <w:tblStyle w:val="32"/>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90"/>
              <w:gridCol w:w="1728"/>
              <w:gridCol w:w="1662"/>
              <w:gridCol w:w="2052"/>
            </w:tblGrid>
            <w:tr w14:paraId="0396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690" w:type="dxa"/>
                  <w:vMerge w:val="restart"/>
                  <w:tcMar>
                    <w:top w:w="0" w:type="dxa"/>
                    <w:left w:w="108" w:type="dxa"/>
                    <w:bottom w:w="0" w:type="dxa"/>
                    <w:right w:w="108" w:type="dxa"/>
                  </w:tcMar>
                  <w:vAlign w:val="center"/>
                </w:tcPr>
                <w:p w14:paraId="44D7ECCF">
                  <w:pPr>
                    <w:jc w:val="center"/>
                    <w:rPr>
                      <w:rFonts w:eastAsia="Times New Roman"/>
                      <w:b/>
                      <w:bCs/>
                      <w:color w:val="000000" w:themeColor="text1"/>
                      <w:highlight w:val="none"/>
                      <w:lang w:bidi="zh-CN"/>
                      <w14:textFill>
                        <w14:solidFill>
                          <w14:schemeClr w14:val="tx1"/>
                        </w14:solidFill>
                      </w14:textFill>
                    </w:rPr>
                  </w:pPr>
                  <w:r>
                    <w:rPr>
                      <w:b/>
                      <w:bCs/>
                      <w:color w:val="000000" w:themeColor="text1"/>
                      <w:highlight w:val="none"/>
                      <w:lang w:val="zh-CN" w:bidi="zh-CN"/>
                      <w14:textFill>
                        <w14:solidFill>
                          <w14:schemeClr w14:val="tx1"/>
                        </w14:solidFill>
                      </w14:textFill>
                    </w:rPr>
                    <w:t>预测点位</w:t>
                  </w:r>
                </w:p>
              </w:tc>
              <w:tc>
                <w:tcPr>
                  <w:tcW w:w="3390" w:type="dxa"/>
                  <w:gridSpan w:val="2"/>
                  <w:tcMar>
                    <w:top w:w="0" w:type="dxa"/>
                    <w:left w:w="108" w:type="dxa"/>
                    <w:bottom w:w="0" w:type="dxa"/>
                    <w:right w:w="108" w:type="dxa"/>
                  </w:tcMar>
                  <w:vAlign w:val="center"/>
                </w:tcPr>
                <w:p w14:paraId="4FA3AF35">
                  <w:pPr>
                    <w:jc w:val="center"/>
                    <w:rPr>
                      <w:b/>
                      <w:bCs/>
                      <w:color w:val="000000" w:themeColor="text1"/>
                      <w:highlight w:val="none"/>
                      <w:lang w:val="zh-CN" w:bidi="zh-CN"/>
                      <w14:textFill>
                        <w14:solidFill>
                          <w14:schemeClr w14:val="tx1"/>
                        </w14:solidFill>
                      </w14:textFill>
                    </w:rPr>
                  </w:pPr>
                  <w:r>
                    <w:rPr>
                      <w:rFonts w:hint="eastAsia"/>
                      <w:b/>
                      <w:bCs/>
                      <w:color w:val="000000" w:themeColor="text1"/>
                      <w:highlight w:val="none"/>
                      <w:lang w:bidi="zh-CN"/>
                      <w14:textFill>
                        <w14:solidFill>
                          <w14:schemeClr w14:val="tx1"/>
                        </w14:solidFill>
                      </w14:textFill>
                    </w:rPr>
                    <w:t>预测</w:t>
                  </w:r>
                  <w:r>
                    <w:rPr>
                      <w:b/>
                      <w:bCs/>
                      <w:color w:val="000000" w:themeColor="text1"/>
                      <w:highlight w:val="none"/>
                      <w:lang w:val="zh-CN" w:bidi="zh-CN"/>
                      <w14:textFill>
                        <w14:solidFill>
                          <w14:schemeClr w14:val="tx1"/>
                        </w14:solidFill>
                      </w14:textFill>
                    </w:rPr>
                    <w:t>贡献</w:t>
                  </w:r>
                  <w:r>
                    <w:rPr>
                      <w:rFonts w:hint="eastAsia"/>
                      <w:b/>
                      <w:bCs/>
                      <w:color w:val="000000" w:themeColor="text1"/>
                      <w:highlight w:val="none"/>
                      <w:lang w:bidi="zh-CN"/>
                      <w14:textFill>
                        <w14:solidFill>
                          <w14:schemeClr w14:val="tx1"/>
                        </w14:solidFill>
                      </w14:textFill>
                    </w:rPr>
                    <w:t>值</w:t>
                  </w:r>
                  <w:r>
                    <w:rPr>
                      <w:rFonts w:eastAsia="Times New Roman"/>
                      <w:b/>
                      <w:bCs/>
                      <w:color w:val="000000" w:themeColor="text1"/>
                      <w:highlight w:val="none"/>
                      <w:lang w:val="zh-CN" w:bidi="zh-CN"/>
                      <w14:textFill>
                        <w14:solidFill>
                          <w14:schemeClr w14:val="tx1"/>
                        </w14:solidFill>
                      </w14:textFill>
                    </w:rPr>
                    <w:t>dB</w:t>
                  </w:r>
                  <w:r>
                    <w:rPr>
                      <w:b/>
                      <w:bCs/>
                      <w:color w:val="000000" w:themeColor="text1"/>
                      <w:highlight w:val="none"/>
                      <w:lang w:val="zh-CN" w:bidi="zh-CN"/>
                      <w14:textFill>
                        <w14:solidFill>
                          <w14:schemeClr w14:val="tx1"/>
                        </w14:solidFill>
                      </w14:textFill>
                    </w:rPr>
                    <w:t>（</w:t>
                  </w:r>
                  <w:r>
                    <w:rPr>
                      <w:rFonts w:eastAsia="Times New Roman"/>
                      <w:b/>
                      <w:bCs/>
                      <w:color w:val="000000" w:themeColor="text1"/>
                      <w:highlight w:val="none"/>
                      <w:lang w:val="zh-CN" w:bidi="zh-CN"/>
                      <w14:textFill>
                        <w14:solidFill>
                          <w14:schemeClr w14:val="tx1"/>
                        </w14:solidFill>
                      </w14:textFill>
                    </w:rPr>
                    <w:t>A</w:t>
                  </w:r>
                  <w:r>
                    <w:rPr>
                      <w:b/>
                      <w:bCs/>
                      <w:color w:val="000000" w:themeColor="text1"/>
                      <w:highlight w:val="none"/>
                      <w:lang w:val="zh-CN" w:bidi="zh-CN"/>
                      <w14:textFill>
                        <w14:solidFill>
                          <w14:schemeClr w14:val="tx1"/>
                        </w14:solidFill>
                      </w14:textFill>
                    </w:rPr>
                    <w:t>）</w:t>
                  </w:r>
                </w:p>
              </w:tc>
              <w:tc>
                <w:tcPr>
                  <w:tcW w:w="2052" w:type="dxa"/>
                  <w:vMerge w:val="restart"/>
                  <w:tcMar>
                    <w:top w:w="0" w:type="dxa"/>
                    <w:left w:w="108" w:type="dxa"/>
                    <w:bottom w:w="0" w:type="dxa"/>
                    <w:right w:w="108" w:type="dxa"/>
                  </w:tcMar>
                  <w:vAlign w:val="center"/>
                </w:tcPr>
                <w:p w14:paraId="4B5FAC85">
                  <w:pPr>
                    <w:jc w:val="center"/>
                    <w:rPr>
                      <w:b/>
                      <w:bCs/>
                      <w:color w:val="000000" w:themeColor="text1"/>
                      <w:highlight w:val="none"/>
                      <w:lang w:val="zh-CN" w:bidi="zh-CN"/>
                      <w14:textFill>
                        <w14:solidFill>
                          <w14:schemeClr w14:val="tx1"/>
                        </w14:solidFill>
                      </w14:textFill>
                    </w:rPr>
                  </w:pPr>
                  <w:r>
                    <w:rPr>
                      <w:b/>
                      <w:bCs/>
                      <w:color w:val="000000" w:themeColor="text1"/>
                      <w:highlight w:val="none"/>
                      <w:lang w:val="zh-CN" w:bidi="zh-CN"/>
                      <w14:textFill>
                        <w14:solidFill>
                          <w14:schemeClr w14:val="tx1"/>
                        </w14:solidFill>
                      </w14:textFill>
                    </w:rPr>
                    <w:t>评价标准</w:t>
                  </w:r>
                  <w:r>
                    <w:rPr>
                      <w:rFonts w:eastAsia="Times New Roman"/>
                      <w:b/>
                      <w:bCs/>
                      <w:color w:val="000000" w:themeColor="text1"/>
                      <w:highlight w:val="none"/>
                      <w:lang w:val="zh-CN" w:bidi="zh-CN"/>
                      <w14:textFill>
                        <w14:solidFill>
                          <w14:schemeClr w14:val="tx1"/>
                        </w14:solidFill>
                      </w14:textFill>
                    </w:rPr>
                    <w:t>dB</w:t>
                  </w:r>
                  <w:r>
                    <w:rPr>
                      <w:b/>
                      <w:bCs/>
                      <w:color w:val="000000" w:themeColor="text1"/>
                      <w:highlight w:val="none"/>
                      <w:lang w:val="zh-CN" w:bidi="zh-CN"/>
                      <w14:textFill>
                        <w14:solidFill>
                          <w14:schemeClr w14:val="tx1"/>
                        </w14:solidFill>
                      </w14:textFill>
                    </w:rPr>
                    <w:t>（</w:t>
                  </w:r>
                  <w:r>
                    <w:rPr>
                      <w:rFonts w:eastAsia="Times New Roman"/>
                      <w:b/>
                      <w:bCs/>
                      <w:color w:val="000000" w:themeColor="text1"/>
                      <w:highlight w:val="none"/>
                      <w:lang w:val="zh-CN" w:bidi="zh-CN"/>
                      <w14:textFill>
                        <w14:solidFill>
                          <w14:schemeClr w14:val="tx1"/>
                        </w14:solidFill>
                      </w14:textFill>
                    </w:rPr>
                    <w:t>A</w:t>
                  </w:r>
                  <w:r>
                    <w:rPr>
                      <w:b/>
                      <w:bCs/>
                      <w:color w:val="000000" w:themeColor="text1"/>
                      <w:highlight w:val="none"/>
                      <w:lang w:val="zh-CN" w:bidi="zh-CN"/>
                      <w14:textFill>
                        <w14:solidFill>
                          <w14:schemeClr w14:val="tx1"/>
                        </w14:solidFill>
                      </w14:textFill>
                    </w:rPr>
                    <w:t>）</w:t>
                  </w:r>
                </w:p>
              </w:tc>
            </w:tr>
            <w:tr w14:paraId="3349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690" w:type="dxa"/>
                  <w:vMerge w:val="continue"/>
                  <w:tcMar>
                    <w:top w:w="0" w:type="dxa"/>
                    <w:left w:w="108" w:type="dxa"/>
                    <w:bottom w:w="0" w:type="dxa"/>
                    <w:right w:w="108" w:type="dxa"/>
                  </w:tcMar>
                  <w:vAlign w:val="center"/>
                </w:tcPr>
                <w:p w14:paraId="35F11543">
                  <w:pPr>
                    <w:rPr>
                      <w:b/>
                      <w:bCs/>
                      <w:color w:val="000000" w:themeColor="text1"/>
                      <w:sz w:val="2"/>
                      <w:szCs w:val="2"/>
                      <w:highlight w:val="none"/>
                      <w14:textFill>
                        <w14:solidFill>
                          <w14:schemeClr w14:val="tx1"/>
                        </w14:solidFill>
                      </w14:textFill>
                    </w:rPr>
                  </w:pPr>
                </w:p>
              </w:tc>
              <w:tc>
                <w:tcPr>
                  <w:tcW w:w="1728" w:type="dxa"/>
                  <w:tcMar>
                    <w:top w:w="0" w:type="dxa"/>
                    <w:left w:w="108" w:type="dxa"/>
                    <w:bottom w:w="0" w:type="dxa"/>
                    <w:right w:w="108" w:type="dxa"/>
                  </w:tcMar>
                  <w:vAlign w:val="center"/>
                </w:tcPr>
                <w:p w14:paraId="46D505EE">
                  <w:pPr>
                    <w:jc w:val="center"/>
                    <w:rPr>
                      <w:b/>
                      <w:bCs/>
                      <w:color w:val="000000" w:themeColor="text1"/>
                      <w:highlight w:val="none"/>
                      <w:lang w:val="zh-CN" w:bidi="zh-CN"/>
                      <w14:textFill>
                        <w14:solidFill>
                          <w14:schemeClr w14:val="tx1"/>
                        </w14:solidFill>
                      </w14:textFill>
                    </w:rPr>
                  </w:pPr>
                  <w:r>
                    <w:rPr>
                      <w:b/>
                      <w:bCs/>
                      <w:color w:val="000000" w:themeColor="text1"/>
                      <w:highlight w:val="none"/>
                      <w:lang w:val="zh-CN" w:bidi="zh-CN"/>
                      <w14:textFill>
                        <w14:solidFill>
                          <w14:schemeClr w14:val="tx1"/>
                        </w14:solidFill>
                      </w14:textFill>
                    </w:rPr>
                    <w:t>昼间</w:t>
                  </w:r>
                </w:p>
              </w:tc>
              <w:tc>
                <w:tcPr>
                  <w:tcW w:w="1662" w:type="dxa"/>
                  <w:tcMar>
                    <w:top w:w="0" w:type="dxa"/>
                    <w:left w:w="108" w:type="dxa"/>
                    <w:bottom w:w="0" w:type="dxa"/>
                    <w:right w:w="108" w:type="dxa"/>
                  </w:tcMar>
                  <w:vAlign w:val="center"/>
                </w:tcPr>
                <w:p w14:paraId="0ADBC661">
                  <w:pPr>
                    <w:jc w:val="center"/>
                    <w:rPr>
                      <w:b/>
                      <w:bCs/>
                      <w:color w:val="000000" w:themeColor="text1"/>
                      <w:highlight w:val="none"/>
                      <w:lang w:val="zh-CN" w:bidi="zh-CN"/>
                      <w14:textFill>
                        <w14:solidFill>
                          <w14:schemeClr w14:val="tx1"/>
                        </w14:solidFill>
                      </w14:textFill>
                    </w:rPr>
                  </w:pPr>
                  <w:r>
                    <w:rPr>
                      <w:b/>
                      <w:bCs/>
                      <w:color w:val="000000" w:themeColor="text1"/>
                      <w:highlight w:val="none"/>
                      <w:lang w:val="zh-CN" w:bidi="zh-CN"/>
                      <w14:textFill>
                        <w14:solidFill>
                          <w14:schemeClr w14:val="tx1"/>
                        </w14:solidFill>
                      </w14:textFill>
                    </w:rPr>
                    <w:t>夜间</w:t>
                  </w:r>
                </w:p>
              </w:tc>
              <w:tc>
                <w:tcPr>
                  <w:tcW w:w="2052" w:type="dxa"/>
                  <w:vMerge w:val="continue"/>
                  <w:tcMar>
                    <w:top w:w="0" w:type="dxa"/>
                    <w:left w:w="108" w:type="dxa"/>
                    <w:bottom w:w="0" w:type="dxa"/>
                    <w:right w:w="108" w:type="dxa"/>
                  </w:tcMar>
                  <w:vAlign w:val="center"/>
                </w:tcPr>
                <w:p w14:paraId="4F057E38">
                  <w:pPr>
                    <w:jc w:val="center"/>
                    <w:rPr>
                      <w:b/>
                      <w:bCs/>
                      <w:color w:val="000000" w:themeColor="text1"/>
                      <w:highlight w:val="none"/>
                      <w:lang w:val="zh-CN" w:bidi="zh-CN"/>
                      <w14:textFill>
                        <w14:solidFill>
                          <w14:schemeClr w14:val="tx1"/>
                        </w14:solidFill>
                      </w14:textFill>
                    </w:rPr>
                  </w:pPr>
                </w:p>
              </w:tc>
            </w:tr>
            <w:tr w14:paraId="6147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690" w:type="dxa"/>
                  <w:tcMar>
                    <w:top w:w="0" w:type="dxa"/>
                    <w:left w:w="108" w:type="dxa"/>
                    <w:bottom w:w="0" w:type="dxa"/>
                    <w:right w:w="108" w:type="dxa"/>
                  </w:tcMar>
                  <w:vAlign w:val="center"/>
                </w:tcPr>
                <w:p w14:paraId="51D6453A">
                  <w:pPr>
                    <w:jc w:val="center"/>
                    <w:rPr>
                      <w:color w:val="000000" w:themeColor="text1"/>
                      <w:highlight w:val="none"/>
                      <w:lang w:bidi="zh-CN"/>
                      <w14:textFill>
                        <w14:solidFill>
                          <w14:schemeClr w14:val="tx1"/>
                        </w14:solidFill>
                      </w14:textFill>
                    </w:rPr>
                  </w:pPr>
                  <w:r>
                    <w:rPr>
                      <w:rFonts w:hint="eastAsia"/>
                      <w:color w:val="000000" w:themeColor="text1"/>
                      <w:highlight w:val="none"/>
                      <w:lang w:val="en-US" w:bidi="zh-CN"/>
                      <w14:textFill>
                        <w14:solidFill>
                          <w14:schemeClr w14:val="tx1"/>
                        </w14:solidFill>
                      </w14:textFill>
                    </w:rPr>
                    <w:t>站址</w:t>
                  </w:r>
                  <w:r>
                    <w:rPr>
                      <w:color w:val="000000" w:themeColor="text1"/>
                      <w:highlight w:val="none"/>
                      <w:lang w:val="zh-CN" w:bidi="zh-CN"/>
                      <w14:textFill>
                        <w14:solidFill>
                          <w14:schemeClr w14:val="tx1"/>
                        </w14:solidFill>
                      </w14:textFill>
                    </w:rPr>
                    <w:t>东厂界</w:t>
                  </w:r>
                </w:p>
              </w:tc>
              <w:tc>
                <w:tcPr>
                  <w:tcW w:w="1728" w:type="dxa"/>
                  <w:tcMar>
                    <w:top w:w="0" w:type="dxa"/>
                    <w:left w:w="108" w:type="dxa"/>
                    <w:bottom w:w="0" w:type="dxa"/>
                    <w:right w:w="108" w:type="dxa"/>
                  </w:tcMar>
                  <w:vAlign w:val="center"/>
                </w:tcPr>
                <w:p w14:paraId="79ED4E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000000" w:themeColor="text1"/>
                      <w:highlight w:val="none"/>
                      <w:lang w:val="en-US"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24.12</w:t>
                  </w:r>
                </w:p>
              </w:tc>
              <w:tc>
                <w:tcPr>
                  <w:tcW w:w="1662" w:type="dxa"/>
                  <w:tcMar>
                    <w:top w:w="0" w:type="dxa"/>
                    <w:left w:w="108" w:type="dxa"/>
                    <w:bottom w:w="0" w:type="dxa"/>
                    <w:right w:w="108" w:type="dxa"/>
                  </w:tcMar>
                  <w:vAlign w:val="center"/>
                </w:tcPr>
                <w:p w14:paraId="1B17DB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color w:val="000000" w:themeColor="text1"/>
                      <w:highlight w:val="none"/>
                      <w:lang w:val="en-US"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24.12</w:t>
                  </w:r>
                </w:p>
              </w:tc>
              <w:tc>
                <w:tcPr>
                  <w:tcW w:w="2052" w:type="dxa"/>
                  <w:vMerge w:val="restart"/>
                  <w:tcMar>
                    <w:top w:w="0" w:type="dxa"/>
                    <w:left w:w="108" w:type="dxa"/>
                    <w:bottom w:w="0" w:type="dxa"/>
                    <w:right w:w="108" w:type="dxa"/>
                  </w:tcMar>
                  <w:vAlign w:val="center"/>
                </w:tcPr>
                <w:p w14:paraId="577BDC03">
                  <w:pPr>
                    <w:jc w:val="center"/>
                    <w:rPr>
                      <w:color w:val="000000" w:themeColor="text1"/>
                      <w:highlight w:val="none"/>
                      <w:lang w:bidi="zh-CN"/>
                      <w14:textFill>
                        <w14:solidFill>
                          <w14:schemeClr w14:val="tx1"/>
                        </w14:solidFill>
                      </w14:textFill>
                    </w:rPr>
                  </w:pPr>
                  <w:r>
                    <w:rPr>
                      <w:rFonts w:hint="eastAsia"/>
                      <w:color w:val="000000" w:themeColor="text1"/>
                      <w:highlight w:val="none"/>
                      <w:lang w:bidi="zh-CN"/>
                      <w14:textFill>
                        <w14:solidFill>
                          <w14:schemeClr w14:val="tx1"/>
                        </w14:solidFill>
                      </w14:textFill>
                    </w:rPr>
                    <w:t>昼间：</w:t>
                  </w:r>
                  <w:r>
                    <w:rPr>
                      <w:color w:val="000000" w:themeColor="text1"/>
                      <w:highlight w:val="none"/>
                      <w:lang w:val="zh-CN" w:bidi="zh-CN"/>
                      <w14:textFill>
                        <w14:solidFill>
                          <w14:schemeClr w14:val="tx1"/>
                        </w14:solidFill>
                      </w14:textFill>
                    </w:rPr>
                    <w:t>6</w:t>
                  </w:r>
                  <w:r>
                    <w:rPr>
                      <w:rFonts w:hint="eastAsia"/>
                      <w:color w:val="000000" w:themeColor="text1"/>
                      <w:highlight w:val="none"/>
                      <w:lang w:val="en-US" w:bidi="zh-CN"/>
                      <w14:textFill>
                        <w14:solidFill>
                          <w14:schemeClr w14:val="tx1"/>
                        </w14:solidFill>
                      </w14:textFill>
                    </w:rPr>
                    <w:t>5</w:t>
                  </w:r>
                  <w:r>
                    <w:rPr>
                      <w:rFonts w:eastAsia="Times New Roman"/>
                      <w:color w:val="000000" w:themeColor="text1"/>
                      <w:highlight w:val="none"/>
                      <w:lang w:val="zh-CN" w:bidi="zh-CN"/>
                      <w14:textFill>
                        <w14:solidFill>
                          <w14:schemeClr w14:val="tx1"/>
                        </w14:solidFill>
                      </w14:textFill>
                    </w:rPr>
                    <w:t>dB</w:t>
                  </w:r>
                  <w:r>
                    <w:rPr>
                      <w:color w:val="000000" w:themeColor="text1"/>
                      <w:highlight w:val="none"/>
                      <w:lang w:val="zh-CN" w:bidi="zh-CN"/>
                      <w14:textFill>
                        <w14:solidFill>
                          <w14:schemeClr w14:val="tx1"/>
                        </w14:solidFill>
                      </w14:textFill>
                    </w:rPr>
                    <w:t>（</w:t>
                  </w:r>
                  <w:r>
                    <w:rPr>
                      <w:rFonts w:eastAsia="Times New Roman"/>
                      <w:color w:val="000000" w:themeColor="text1"/>
                      <w:highlight w:val="none"/>
                      <w:lang w:val="zh-CN" w:bidi="zh-CN"/>
                      <w14:textFill>
                        <w14:solidFill>
                          <w14:schemeClr w14:val="tx1"/>
                        </w14:solidFill>
                      </w14:textFill>
                    </w:rPr>
                    <w:t>A</w:t>
                  </w:r>
                  <w:r>
                    <w:rPr>
                      <w:color w:val="000000" w:themeColor="text1"/>
                      <w:highlight w:val="none"/>
                      <w:lang w:val="zh-CN" w:bidi="zh-CN"/>
                      <w14:textFill>
                        <w14:solidFill>
                          <w14:schemeClr w14:val="tx1"/>
                        </w14:solidFill>
                      </w14:textFill>
                    </w:rPr>
                    <w:t>）</w:t>
                  </w:r>
                </w:p>
                <w:p w14:paraId="62E01BC4">
                  <w:pPr>
                    <w:jc w:val="center"/>
                    <w:rPr>
                      <w:color w:val="000000" w:themeColor="text1"/>
                      <w:highlight w:val="none"/>
                      <w:lang w:bidi="zh-CN"/>
                      <w14:textFill>
                        <w14:solidFill>
                          <w14:schemeClr w14:val="tx1"/>
                        </w14:solidFill>
                      </w14:textFill>
                    </w:rPr>
                  </w:pPr>
                  <w:r>
                    <w:rPr>
                      <w:rFonts w:hint="eastAsia"/>
                      <w:color w:val="000000" w:themeColor="text1"/>
                      <w:highlight w:val="none"/>
                      <w:lang w:bidi="zh-CN"/>
                      <w14:textFill>
                        <w14:solidFill>
                          <w14:schemeClr w14:val="tx1"/>
                        </w14:solidFill>
                      </w14:textFill>
                    </w:rPr>
                    <w:t>夜间：</w:t>
                  </w:r>
                  <w:r>
                    <w:rPr>
                      <w:color w:val="000000" w:themeColor="text1"/>
                      <w:highlight w:val="none"/>
                      <w:lang w:val="zh-CN" w:bidi="zh-CN"/>
                      <w14:textFill>
                        <w14:solidFill>
                          <w14:schemeClr w14:val="tx1"/>
                        </w14:solidFill>
                      </w14:textFill>
                    </w:rPr>
                    <w:t>5</w:t>
                  </w:r>
                  <w:r>
                    <w:rPr>
                      <w:rFonts w:hint="eastAsia"/>
                      <w:color w:val="000000" w:themeColor="text1"/>
                      <w:highlight w:val="none"/>
                      <w:lang w:val="en-US" w:bidi="zh-CN"/>
                      <w14:textFill>
                        <w14:solidFill>
                          <w14:schemeClr w14:val="tx1"/>
                        </w14:solidFill>
                      </w14:textFill>
                    </w:rPr>
                    <w:t>5</w:t>
                  </w:r>
                  <w:r>
                    <w:rPr>
                      <w:rFonts w:eastAsia="Times New Roman"/>
                      <w:color w:val="000000" w:themeColor="text1"/>
                      <w:highlight w:val="none"/>
                      <w:lang w:val="zh-CN" w:bidi="zh-CN"/>
                      <w14:textFill>
                        <w14:solidFill>
                          <w14:schemeClr w14:val="tx1"/>
                        </w14:solidFill>
                      </w14:textFill>
                    </w:rPr>
                    <w:t>dB</w:t>
                  </w:r>
                  <w:r>
                    <w:rPr>
                      <w:color w:val="000000" w:themeColor="text1"/>
                      <w:highlight w:val="none"/>
                      <w:lang w:val="zh-CN" w:bidi="zh-CN"/>
                      <w14:textFill>
                        <w14:solidFill>
                          <w14:schemeClr w14:val="tx1"/>
                        </w14:solidFill>
                      </w14:textFill>
                    </w:rPr>
                    <w:t>（</w:t>
                  </w:r>
                  <w:r>
                    <w:rPr>
                      <w:rFonts w:eastAsia="Times New Roman"/>
                      <w:color w:val="000000" w:themeColor="text1"/>
                      <w:highlight w:val="none"/>
                      <w:lang w:val="zh-CN" w:bidi="zh-CN"/>
                      <w14:textFill>
                        <w14:solidFill>
                          <w14:schemeClr w14:val="tx1"/>
                        </w14:solidFill>
                      </w14:textFill>
                    </w:rPr>
                    <w:t>A</w:t>
                  </w:r>
                  <w:r>
                    <w:rPr>
                      <w:color w:val="000000" w:themeColor="text1"/>
                      <w:highlight w:val="none"/>
                      <w:lang w:val="zh-CN" w:bidi="zh-CN"/>
                      <w14:textFill>
                        <w14:solidFill>
                          <w14:schemeClr w14:val="tx1"/>
                        </w14:solidFill>
                      </w14:textFill>
                    </w:rPr>
                    <w:t>）</w:t>
                  </w:r>
                </w:p>
              </w:tc>
            </w:tr>
            <w:tr w14:paraId="7A41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690" w:type="dxa"/>
                  <w:tcMar>
                    <w:top w:w="0" w:type="dxa"/>
                    <w:left w:w="108" w:type="dxa"/>
                    <w:bottom w:w="0" w:type="dxa"/>
                    <w:right w:w="108" w:type="dxa"/>
                  </w:tcMar>
                  <w:vAlign w:val="center"/>
                </w:tcPr>
                <w:p w14:paraId="5432F395">
                  <w:pPr>
                    <w:jc w:val="center"/>
                    <w:rPr>
                      <w:color w:val="000000" w:themeColor="text1"/>
                      <w:highlight w:val="none"/>
                      <w:lang w:bidi="zh-CN"/>
                      <w14:textFill>
                        <w14:solidFill>
                          <w14:schemeClr w14:val="tx1"/>
                        </w14:solidFill>
                      </w14:textFill>
                    </w:rPr>
                  </w:pPr>
                  <w:r>
                    <w:rPr>
                      <w:rFonts w:hint="eastAsia"/>
                      <w:color w:val="000000" w:themeColor="text1"/>
                      <w:highlight w:val="none"/>
                      <w:lang w:val="en-US" w:bidi="zh-CN"/>
                      <w14:textFill>
                        <w14:solidFill>
                          <w14:schemeClr w14:val="tx1"/>
                        </w14:solidFill>
                      </w14:textFill>
                    </w:rPr>
                    <w:t>站址</w:t>
                  </w:r>
                  <w:r>
                    <w:rPr>
                      <w:color w:val="000000" w:themeColor="text1"/>
                      <w:highlight w:val="none"/>
                      <w:lang w:val="zh-CN" w:bidi="zh-CN"/>
                      <w14:textFill>
                        <w14:solidFill>
                          <w14:schemeClr w14:val="tx1"/>
                        </w14:solidFill>
                      </w14:textFill>
                    </w:rPr>
                    <w:t>南厂界</w:t>
                  </w:r>
                </w:p>
              </w:tc>
              <w:tc>
                <w:tcPr>
                  <w:tcW w:w="1728" w:type="dxa"/>
                  <w:tcMar>
                    <w:top w:w="0" w:type="dxa"/>
                    <w:left w:w="108" w:type="dxa"/>
                    <w:bottom w:w="0" w:type="dxa"/>
                    <w:right w:w="108" w:type="dxa"/>
                  </w:tcMar>
                  <w:vAlign w:val="center"/>
                </w:tcPr>
                <w:p w14:paraId="188717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000000" w:themeColor="text1"/>
                      <w:highlight w:val="none"/>
                      <w:lang w:val="en-US"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28.87</w:t>
                  </w:r>
                </w:p>
              </w:tc>
              <w:tc>
                <w:tcPr>
                  <w:tcW w:w="1662" w:type="dxa"/>
                  <w:tcMar>
                    <w:top w:w="0" w:type="dxa"/>
                    <w:left w:w="108" w:type="dxa"/>
                    <w:bottom w:w="0" w:type="dxa"/>
                    <w:right w:w="108" w:type="dxa"/>
                  </w:tcMar>
                  <w:vAlign w:val="center"/>
                </w:tcPr>
                <w:p w14:paraId="2CC784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color w:val="000000" w:themeColor="text1"/>
                      <w:highlight w:val="none"/>
                      <w:lang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28.87</w:t>
                  </w:r>
                </w:p>
              </w:tc>
              <w:tc>
                <w:tcPr>
                  <w:tcW w:w="2052" w:type="dxa"/>
                  <w:vMerge w:val="continue"/>
                  <w:tcMar>
                    <w:top w:w="0" w:type="dxa"/>
                    <w:left w:w="108" w:type="dxa"/>
                    <w:bottom w:w="0" w:type="dxa"/>
                    <w:right w:w="108" w:type="dxa"/>
                  </w:tcMar>
                  <w:vAlign w:val="center"/>
                </w:tcPr>
                <w:p w14:paraId="5AD52357">
                  <w:pPr>
                    <w:jc w:val="center"/>
                    <w:rPr>
                      <w:color w:val="000000" w:themeColor="text1"/>
                      <w:highlight w:val="none"/>
                      <w:lang w:val="zh-CN" w:bidi="zh-CN"/>
                      <w14:textFill>
                        <w14:solidFill>
                          <w14:schemeClr w14:val="tx1"/>
                        </w14:solidFill>
                      </w14:textFill>
                    </w:rPr>
                  </w:pPr>
                </w:p>
              </w:tc>
            </w:tr>
            <w:tr w14:paraId="7CE3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690" w:type="dxa"/>
                  <w:tcMar>
                    <w:top w:w="0" w:type="dxa"/>
                    <w:left w:w="108" w:type="dxa"/>
                    <w:bottom w:w="0" w:type="dxa"/>
                    <w:right w:w="108" w:type="dxa"/>
                  </w:tcMar>
                  <w:vAlign w:val="center"/>
                </w:tcPr>
                <w:p w14:paraId="27EB9F3A">
                  <w:pPr>
                    <w:jc w:val="center"/>
                    <w:rPr>
                      <w:color w:val="000000" w:themeColor="text1"/>
                      <w:highlight w:val="none"/>
                      <w:lang w:bidi="zh-CN"/>
                      <w14:textFill>
                        <w14:solidFill>
                          <w14:schemeClr w14:val="tx1"/>
                        </w14:solidFill>
                      </w14:textFill>
                    </w:rPr>
                  </w:pPr>
                  <w:r>
                    <w:rPr>
                      <w:rFonts w:hint="eastAsia"/>
                      <w:color w:val="000000" w:themeColor="text1"/>
                      <w:highlight w:val="none"/>
                      <w:lang w:val="en-US" w:bidi="zh-CN"/>
                      <w14:textFill>
                        <w14:solidFill>
                          <w14:schemeClr w14:val="tx1"/>
                        </w14:solidFill>
                      </w14:textFill>
                    </w:rPr>
                    <w:t>站址</w:t>
                  </w:r>
                  <w:r>
                    <w:rPr>
                      <w:color w:val="000000" w:themeColor="text1"/>
                      <w:highlight w:val="none"/>
                      <w:lang w:val="zh-CN" w:bidi="zh-CN"/>
                      <w14:textFill>
                        <w14:solidFill>
                          <w14:schemeClr w14:val="tx1"/>
                        </w14:solidFill>
                      </w14:textFill>
                    </w:rPr>
                    <w:t>西厂界</w:t>
                  </w:r>
                </w:p>
              </w:tc>
              <w:tc>
                <w:tcPr>
                  <w:tcW w:w="1728" w:type="dxa"/>
                  <w:tcMar>
                    <w:top w:w="0" w:type="dxa"/>
                    <w:left w:w="108" w:type="dxa"/>
                    <w:bottom w:w="0" w:type="dxa"/>
                    <w:right w:w="108" w:type="dxa"/>
                  </w:tcMar>
                  <w:vAlign w:val="center"/>
                </w:tcPr>
                <w:p w14:paraId="62212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000000" w:themeColor="text1"/>
                      <w:highlight w:val="none"/>
                      <w:lang w:val="en-US"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23.13</w:t>
                  </w:r>
                </w:p>
              </w:tc>
              <w:tc>
                <w:tcPr>
                  <w:tcW w:w="1662" w:type="dxa"/>
                  <w:tcMar>
                    <w:top w:w="0" w:type="dxa"/>
                    <w:left w:w="108" w:type="dxa"/>
                    <w:bottom w:w="0" w:type="dxa"/>
                    <w:right w:w="108" w:type="dxa"/>
                  </w:tcMar>
                  <w:vAlign w:val="center"/>
                </w:tcPr>
                <w:p w14:paraId="2CD06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color w:val="000000" w:themeColor="text1"/>
                      <w:highlight w:val="none"/>
                      <w:lang w:val="en-US"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23.13</w:t>
                  </w:r>
                </w:p>
              </w:tc>
              <w:tc>
                <w:tcPr>
                  <w:tcW w:w="2052" w:type="dxa"/>
                  <w:vMerge w:val="continue"/>
                  <w:tcMar>
                    <w:top w:w="0" w:type="dxa"/>
                    <w:left w:w="108" w:type="dxa"/>
                    <w:bottom w:w="0" w:type="dxa"/>
                    <w:right w:w="108" w:type="dxa"/>
                  </w:tcMar>
                  <w:vAlign w:val="center"/>
                </w:tcPr>
                <w:p w14:paraId="74E1A666">
                  <w:pPr>
                    <w:jc w:val="center"/>
                    <w:rPr>
                      <w:color w:val="000000" w:themeColor="text1"/>
                      <w:highlight w:val="none"/>
                      <w:lang w:val="zh-CN" w:bidi="zh-CN"/>
                      <w14:textFill>
                        <w14:solidFill>
                          <w14:schemeClr w14:val="tx1"/>
                        </w14:solidFill>
                      </w14:textFill>
                    </w:rPr>
                  </w:pPr>
                </w:p>
              </w:tc>
            </w:tr>
            <w:tr w14:paraId="5321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690" w:type="dxa"/>
                  <w:tcMar>
                    <w:top w:w="0" w:type="dxa"/>
                    <w:left w:w="108" w:type="dxa"/>
                    <w:bottom w:w="0" w:type="dxa"/>
                    <w:right w:w="108" w:type="dxa"/>
                  </w:tcMar>
                  <w:vAlign w:val="center"/>
                </w:tcPr>
                <w:p w14:paraId="0156D8F8">
                  <w:pPr>
                    <w:jc w:val="center"/>
                    <w:rPr>
                      <w:color w:val="000000" w:themeColor="text1"/>
                      <w:highlight w:val="none"/>
                      <w:lang w:bidi="zh-CN"/>
                      <w14:textFill>
                        <w14:solidFill>
                          <w14:schemeClr w14:val="tx1"/>
                        </w14:solidFill>
                      </w14:textFill>
                    </w:rPr>
                  </w:pPr>
                  <w:r>
                    <w:rPr>
                      <w:rFonts w:hint="eastAsia"/>
                      <w:color w:val="000000" w:themeColor="text1"/>
                      <w:highlight w:val="none"/>
                      <w:lang w:val="en-US" w:bidi="zh-CN"/>
                      <w14:textFill>
                        <w14:solidFill>
                          <w14:schemeClr w14:val="tx1"/>
                        </w14:solidFill>
                      </w14:textFill>
                    </w:rPr>
                    <w:t>站址</w:t>
                  </w:r>
                  <w:r>
                    <w:rPr>
                      <w:color w:val="000000" w:themeColor="text1"/>
                      <w:highlight w:val="none"/>
                      <w:lang w:val="zh-CN" w:bidi="zh-CN"/>
                      <w14:textFill>
                        <w14:solidFill>
                          <w14:schemeClr w14:val="tx1"/>
                        </w14:solidFill>
                      </w14:textFill>
                    </w:rPr>
                    <w:t>北厂界</w:t>
                  </w:r>
                </w:p>
              </w:tc>
              <w:tc>
                <w:tcPr>
                  <w:tcW w:w="1728" w:type="dxa"/>
                  <w:tcMar>
                    <w:top w:w="0" w:type="dxa"/>
                    <w:left w:w="108" w:type="dxa"/>
                    <w:bottom w:w="0" w:type="dxa"/>
                    <w:right w:w="108" w:type="dxa"/>
                  </w:tcMar>
                  <w:vAlign w:val="center"/>
                </w:tcPr>
                <w:p w14:paraId="7F1268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000000" w:themeColor="text1"/>
                      <w:highlight w:val="none"/>
                      <w:lang w:val="en-US"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22.42</w:t>
                  </w:r>
                </w:p>
              </w:tc>
              <w:tc>
                <w:tcPr>
                  <w:tcW w:w="1662" w:type="dxa"/>
                  <w:tcMar>
                    <w:top w:w="0" w:type="dxa"/>
                    <w:left w:w="108" w:type="dxa"/>
                    <w:bottom w:w="0" w:type="dxa"/>
                    <w:right w:w="108" w:type="dxa"/>
                  </w:tcMar>
                  <w:vAlign w:val="center"/>
                </w:tcPr>
                <w:p w14:paraId="0F94AB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color w:val="000000" w:themeColor="text1"/>
                      <w:highlight w:val="none"/>
                      <w:lang w:bidi="zh-CN"/>
                      <w14:textFill>
                        <w14:solidFill>
                          <w14:schemeClr w14:val="tx1"/>
                        </w14:solidFill>
                      </w14:textFill>
                    </w:rPr>
                  </w:pPr>
                  <w:r>
                    <w:rPr>
                      <w:rFonts w:hint="eastAsia" w:cs="Times New Roman"/>
                      <w:color w:val="000000" w:themeColor="text1"/>
                      <w:highlight w:val="none"/>
                      <w:lang w:val="en-US" w:bidi="zh-CN"/>
                      <w14:textFill>
                        <w14:solidFill>
                          <w14:schemeClr w14:val="tx1"/>
                        </w14:solidFill>
                      </w14:textFill>
                    </w:rPr>
                    <w:t>22.42</w:t>
                  </w:r>
                </w:p>
              </w:tc>
              <w:tc>
                <w:tcPr>
                  <w:tcW w:w="2052" w:type="dxa"/>
                  <w:vMerge w:val="continue"/>
                  <w:tcMar>
                    <w:top w:w="0" w:type="dxa"/>
                    <w:left w:w="108" w:type="dxa"/>
                    <w:bottom w:w="0" w:type="dxa"/>
                    <w:right w:w="108" w:type="dxa"/>
                  </w:tcMar>
                  <w:vAlign w:val="center"/>
                </w:tcPr>
                <w:p w14:paraId="457980F1">
                  <w:pPr>
                    <w:jc w:val="center"/>
                    <w:rPr>
                      <w:color w:val="000000" w:themeColor="text1"/>
                      <w:highlight w:val="none"/>
                      <w:lang w:val="zh-CN" w:bidi="zh-CN"/>
                      <w14:textFill>
                        <w14:solidFill>
                          <w14:schemeClr w14:val="tx1"/>
                        </w14:solidFill>
                      </w14:textFill>
                    </w:rPr>
                  </w:pPr>
                </w:p>
              </w:tc>
            </w:tr>
          </w:tbl>
          <w:p w14:paraId="35B32BC9">
            <w:pPr>
              <w:autoSpaceDE w:val="0"/>
              <w:autoSpaceDN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根据预测结果可知，</w:t>
            </w:r>
            <w:r>
              <w:rPr>
                <w:rFonts w:hint="eastAsia"/>
                <w:color w:val="000000" w:themeColor="text1"/>
                <w:sz w:val="24"/>
                <w:highlight w:val="none"/>
                <w14:textFill>
                  <w14:solidFill>
                    <w14:schemeClr w14:val="tx1"/>
                  </w14:solidFill>
                </w14:textFill>
              </w:rPr>
              <w:t>本期</w:t>
            </w:r>
            <w:r>
              <w:rPr>
                <w:rFonts w:hint="eastAsia"/>
                <w:color w:val="000000" w:themeColor="text1"/>
                <w:sz w:val="24"/>
                <w:highlight w:val="none"/>
                <w:lang w:val="en-US" w:eastAsia="zh-CN"/>
                <w14:textFill>
                  <w14:solidFill>
                    <w14:schemeClr w14:val="tx1"/>
                  </w14:solidFill>
                </w14:textFill>
              </w:rPr>
              <w:t>储能站及升压站</w:t>
            </w:r>
            <w:r>
              <w:rPr>
                <w:rFonts w:hint="eastAsia"/>
                <w:color w:val="000000" w:themeColor="text1"/>
                <w:sz w:val="24"/>
                <w:highlight w:val="none"/>
                <w14:textFill>
                  <w14:solidFill>
                    <w14:schemeClr w14:val="tx1"/>
                  </w14:solidFill>
                </w14:textFill>
              </w:rPr>
              <w:t>工程</w:t>
            </w:r>
            <w:r>
              <w:rPr>
                <w:color w:val="000000" w:themeColor="text1"/>
                <w:sz w:val="24"/>
                <w:highlight w:val="none"/>
                <w14:textFill>
                  <w14:solidFill>
                    <w14:schemeClr w14:val="tx1"/>
                  </w14:solidFill>
                </w14:textFill>
              </w:rPr>
              <w:t>投运后，厂界环境噪声</w:t>
            </w:r>
            <w:r>
              <w:rPr>
                <w:rFonts w:hint="eastAsia"/>
                <w:color w:val="000000" w:themeColor="text1"/>
                <w:sz w:val="24"/>
                <w:highlight w:val="none"/>
                <w14:textFill>
                  <w14:solidFill>
                    <w14:schemeClr w14:val="tx1"/>
                  </w14:solidFill>
                </w14:textFill>
              </w:rPr>
              <w:t>预测</w:t>
            </w:r>
            <w:r>
              <w:rPr>
                <w:color w:val="000000" w:themeColor="text1"/>
                <w:sz w:val="24"/>
                <w:highlight w:val="none"/>
                <w14:textFill>
                  <w14:solidFill>
                    <w14:schemeClr w14:val="tx1"/>
                  </w14:solidFill>
                </w14:textFill>
              </w:rPr>
              <w:t>值在</w:t>
            </w:r>
            <w:r>
              <w:rPr>
                <w:rFonts w:hint="eastAsia"/>
                <w:color w:val="000000" w:themeColor="text1"/>
                <w:sz w:val="24"/>
                <w:highlight w:val="none"/>
                <w:lang w:val="en-US" w:eastAsia="zh-CN"/>
                <w14:textFill>
                  <w14:solidFill>
                    <w14:schemeClr w14:val="tx1"/>
                  </w14:solidFill>
                </w14:textFill>
              </w:rPr>
              <w:t>24</w:t>
            </w:r>
            <w:r>
              <w:rPr>
                <w:color w:val="000000" w:themeColor="text1"/>
                <w:sz w:val="24"/>
                <w:highlight w:val="none"/>
                <w14:textFill>
                  <w14:solidFill>
                    <w14:schemeClr w14:val="tx1"/>
                  </w14:solidFill>
                </w14:textFill>
              </w:rPr>
              <w:t>dB</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A</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30</w:t>
            </w:r>
            <w:r>
              <w:rPr>
                <w:color w:val="000000" w:themeColor="text1"/>
                <w:sz w:val="24"/>
                <w:highlight w:val="none"/>
                <w14:textFill>
                  <w14:solidFill>
                    <w14:schemeClr w14:val="tx1"/>
                  </w14:solidFill>
                </w14:textFill>
              </w:rPr>
              <w:t>dB</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A</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之间</w:t>
            </w:r>
            <w:r>
              <w:rPr>
                <w:rFonts w:hint="eastAsia"/>
                <w:color w:val="000000" w:themeColor="text1"/>
                <w:sz w:val="24"/>
                <w:highlight w:val="none"/>
                <w14:textFill>
                  <w14:solidFill>
                    <w14:schemeClr w14:val="tx1"/>
                  </w14:solidFill>
                </w14:textFill>
              </w:rPr>
              <w:t>，均</w:t>
            </w:r>
            <w:r>
              <w:rPr>
                <w:color w:val="000000" w:themeColor="text1"/>
                <w:sz w:val="24"/>
                <w:highlight w:val="none"/>
                <w14:textFill>
                  <w14:solidFill>
                    <w14:schemeClr w14:val="tx1"/>
                  </w14:solidFill>
                </w14:textFill>
              </w:rPr>
              <w:t>满足《工业企业厂界环境噪声排放标准》（GB12348-2008）</w:t>
            </w:r>
            <w:r>
              <w:rPr>
                <w:rFonts w:hint="eastAsia"/>
                <w:color w:val="000000" w:themeColor="text1"/>
                <w:sz w:val="24"/>
                <w:highlight w:val="none"/>
                <w:lang w:val="en-US" w:eastAsia="zh-CN"/>
                <w14:textFill>
                  <w14:solidFill>
                    <w14:schemeClr w14:val="tx1"/>
                  </w14:solidFill>
                </w14:textFill>
              </w:rPr>
              <w:t>3</w:t>
            </w:r>
            <w:r>
              <w:rPr>
                <w:color w:val="000000" w:themeColor="text1"/>
                <w:sz w:val="24"/>
                <w:highlight w:val="none"/>
                <w14:textFill>
                  <w14:solidFill>
                    <w14:schemeClr w14:val="tx1"/>
                  </w14:solidFill>
                </w14:textFill>
              </w:rPr>
              <w:t>类标准要求。</w:t>
            </w:r>
          </w:p>
          <w:p w14:paraId="2FA5875A">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s="Times New Roman"/>
                <w:b/>
                <w:bCs/>
                <w:color w:val="000000" w:themeColor="text1"/>
                <w:sz w:val="24"/>
                <w:highlight w:val="none"/>
                <w:lang w:val="en-US" w:eastAsia="zh-CN"/>
                <w14:textFill>
                  <w14:solidFill>
                    <w14:schemeClr w14:val="tx1"/>
                  </w14:solidFill>
                </w14:textFill>
              </w:rPr>
            </w:pPr>
            <w:r>
              <w:rPr>
                <w:rFonts w:hint="eastAsia" w:cs="Times New Roman"/>
                <w:b/>
                <w:bCs/>
                <w:color w:val="000000" w:themeColor="text1"/>
                <w:sz w:val="24"/>
                <w:highlight w:val="none"/>
                <w:lang w:val="en-US" w:eastAsia="zh-CN"/>
                <w14:textFill>
                  <w14:solidFill>
                    <w14:schemeClr w14:val="tx1"/>
                  </w14:solidFill>
                </w14:textFill>
              </w:rPr>
              <w:t>2、输电线路声环境影响分析</w:t>
            </w:r>
          </w:p>
          <w:p w14:paraId="1F2F35F0">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bCs/>
                <w:color w:val="000000" w:themeColor="text1"/>
                <w:sz w:val="22"/>
                <w:szCs w:val="22"/>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本次评价架空线路采用已运行的</w:t>
            </w:r>
            <w:r>
              <w:rPr>
                <w:rFonts w:hint="eastAsia" w:ascii="Times New Roman" w:hAnsi="Times New Roman" w:cs="Times New Roman"/>
                <w:color w:val="000000" w:themeColor="text1"/>
                <w:kern w:val="0"/>
                <w:sz w:val="24"/>
                <w:szCs w:val="24"/>
                <w:lang w:val="en-US" w:eastAsia="zh-CN"/>
                <w14:textFill>
                  <w14:solidFill>
                    <w14:schemeClr w14:val="tx1"/>
                  </w14:solidFill>
                </w14:textFill>
              </w:rPr>
              <w:t>阿克苏沙雅城北110千伏输变电工程海楼～沙雅π入沙雅城北变110kV线路工程(运行名称：沙幸线、110kV海幸一线)，海楼～沙雅城北110kV线路工程(运行名称：110kV海幸二线、110kV海幸一线</w:t>
            </w:r>
            <w:r>
              <w:rPr>
                <w:rFonts w:hint="eastAsia" w:cs="Times New Roman"/>
                <w:b w:val="0"/>
                <w:bCs w:val="0"/>
                <w:color w:val="000000" w:themeColor="text1"/>
                <w:sz w:val="24"/>
                <w:highlight w:val="none"/>
                <w:lang w:val="en-US" w:eastAsia="zh-CN"/>
                <w14:textFill>
                  <w14:solidFill>
                    <w14:schemeClr w14:val="tx1"/>
                  </w14:solidFill>
                </w14:textFill>
              </w:rPr>
              <w:t>进行类比监测（《</w:t>
            </w:r>
            <w:r>
              <w:rPr>
                <w:rFonts w:hint="eastAsia" w:ascii="Times New Roman" w:hAnsi="Times New Roman" w:cs="Times New Roman"/>
                <w:color w:val="000000" w:themeColor="text1"/>
                <w:kern w:val="0"/>
                <w:sz w:val="24"/>
                <w:szCs w:val="24"/>
                <w:lang w:val="en-US" w:eastAsia="zh-CN"/>
                <w14:textFill>
                  <w14:solidFill>
                    <w14:schemeClr w14:val="tx1"/>
                  </w14:solidFill>
                </w14:textFill>
              </w:rPr>
              <w:t>阿克苏沙雅城北110千伏输变电工程</w:t>
            </w:r>
            <w:r>
              <w:rPr>
                <w:rFonts w:hint="eastAsia" w:cs="Times New Roman"/>
                <w:b w:val="0"/>
                <w:bCs w:val="0"/>
                <w:color w:val="000000" w:themeColor="text1"/>
                <w:sz w:val="24"/>
                <w:highlight w:val="none"/>
                <w:lang w:val="en-US" w:eastAsia="zh-CN"/>
                <w14:textFill>
                  <w14:solidFill>
                    <w14:schemeClr w14:val="tx1"/>
                  </w14:solidFill>
                </w14:textFill>
              </w:rPr>
              <w:t>竣工环境保护验收调查表》），类比线路与本项目线路主要技术参数对照，见表4-7。</w:t>
            </w:r>
          </w:p>
          <w:p w14:paraId="7B40BFE7">
            <w:pPr>
              <w:pStyle w:val="64"/>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themeColor="text1"/>
                <w:sz w:val="22"/>
                <w:szCs w:val="22"/>
                <w:highlight w:val="none"/>
                <w:vertAlign w:val="baseline"/>
                <w:lang w:val="en-US" w:eastAsia="zh-CN"/>
                <w14:textFill>
                  <w14:solidFill>
                    <w14:schemeClr w14:val="tx1"/>
                  </w14:solidFill>
                </w14:textFill>
              </w:rPr>
            </w:pPr>
            <w:r>
              <w:rPr>
                <w:rFonts w:hint="eastAsia" w:cs="Times New Roman"/>
                <w:b/>
                <w:bCs/>
                <w:color w:val="000000" w:themeColor="text1"/>
                <w:sz w:val="22"/>
                <w:szCs w:val="22"/>
                <w:highlight w:val="none"/>
                <w:lang w:val="en-US" w:eastAsia="zh-CN"/>
                <w14:textFill>
                  <w14:solidFill>
                    <w14:schemeClr w14:val="tx1"/>
                  </w14:solidFill>
                </w14:textFill>
              </w:rPr>
              <w:t>表4-7  主要技术指标对照表</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2685"/>
              <w:gridCol w:w="2435"/>
              <w:gridCol w:w="1431"/>
            </w:tblGrid>
            <w:tr w14:paraId="1DAB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trPr>
              <w:tc>
                <w:tcPr>
                  <w:tcW w:w="973" w:type="pct"/>
                  <w:tcBorders>
                    <w:tl2br w:val="nil"/>
                    <w:tr2bl w:val="nil"/>
                  </w:tcBorders>
                  <w:vAlign w:val="center"/>
                </w:tcPr>
                <w:p w14:paraId="48EA1A21">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主要指标</w:t>
                  </w:r>
                </w:p>
              </w:tc>
              <w:tc>
                <w:tcPr>
                  <w:tcW w:w="1650" w:type="pct"/>
                  <w:tcBorders>
                    <w:tl2br w:val="nil"/>
                    <w:tr2bl w:val="nil"/>
                  </w:tcBorders>
                  <w:vAlign w:val="center"/>
                </w:tcPr>
                <w:p w14:paraId="64F4FB54">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沙幸线</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110kV海幸一线</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、110kV海幸二线</w:t>
                  </w:r>
                </w:p>
              </w:tc>
              <w:tc>
                <w:tcPr>
                  <w:tcW w:w="1496" w:type="pct"/>
                  <w:tcBorders>
                    <w:tl2br w:val="nil"/>
                    <w:tr2bl w:val="nil"/>
                  </w:tcBorders>
                  <w:vAlign w:val="center"/>
                </w:tcPr>
                <w:p w14:paraId="1004008B">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本项目新建110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kV</w:t>
                  </w: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线路</w:t>
                  </w:r>
                </w:p>
              </w:tc>
              <w:tc>
                <w:tcPr>
                  <w:tcW w:w="879" w:type="pct"/>
                  <w:tcBorders>
                    <w:tl2br w:val="nil"/>
                    <w:tr2bl w:val="nil"/>
                  </w:tcBorders>
                  <w:vAlign w:val="center"/>
                </w:tcPr>
                <w:p w14:paraId="116FE368">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类比可行性</w:t>
                  </w:r>
                </w:p>
              </w:tc>
            </w:tr>
            <w:tr w14:paraId="6552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3" w:type="pct"/>
                  <w:tcBorders>
                    <w:tl2br w:val="nil"/>
                    <w:tr2bl w:val="nil"/>
                  </w:tcBorders>
                  <w:vAlign w:val="center"/>
                </w:tcPr>
                <w:p w14:paraId="1F0AC482">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电压等级</w:t>
                  </w:r>
                </w:p>
              </w:tc>
              <w:tc>
                <w:tcPr>
                  <w:tcW w:w="1650" w:type="pct"/>
                  <w:tcBorders>
                    <w:tl2br w:val="nil"/>
                    <w:tr2bl w:val="nil"/>
                  </w:tcBorders>
                  <w:vAlign w:val="center"/>
                </w:tcPr>
                <w:p w14:paraId="47F113E9">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110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kV</w:t>
                  </w:r>
                </w:p>
              </w:tc>
              <w:tc>
                <w:tcPr>
                  <w:tcW w:w="1496" w:type="pct"/>
                  <w:tcBorders>
                    <w:tl2br w:val="nil"/>
                    <w:tr2bl w:val="nil"/>
                  </w:tcBorders>
                  <w:vAlign w:val="center"/>
                </w:tcPr>
                <w:p w14:paraId="78B68E77">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110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kV</w:t>
                  </w:r>
                </w:p>
              </w:tc>
              <w:tc>
                <w:tcPr>
                  <w:tcW w:w="879" w:type="pct"/>
                  <w:tcBorders>
                    <w:tl2br w:val="nil"/>
                    <w:tr2bl w:val="nil"/>
                  </w:tcBorders>
                  <w:vAlign w:val="center"/>
                </w:tcPr>
                <w:p w14:paraId="5651BEE3">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一致</w:t>
                  </w:r>
                </w:p>
              </w:tc>
            </w:tr>
            <w:tr w14:paraId="2264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3" w:type="pct"/>
                  <w:tcBorders>
                    <w:tl2br w:val="nil"/>
                    <w:tr2bl w:val="nil"/>
                  </w:tcBorders>
                  <w:vAlign w:val="center"/>
                </w:tcPr>
                <w:p w14:paraId="7D6B676C">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建设规模</w:t>
                  </w:r>
                </w:p>
              </w:tc>
              <w:tc>
                <w:tcPr>
                  <w:tcW w:w="1650" w:type="pct"/>
                  <w:tcBorders>
                    <w:tl2br w:val="nil"/>
                    <w:tr2bl w:val="nil"/>
                  </w:tcBorders>
                  <w:vAlign w:val="center"/>
                </w:tcPr>
                <w:p w14:paraId="20FA6046">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单、双回路架设</w:t>
                  </w:r>
                </w:p>
              </w:tc>
              <w:tc>
                <w:tcPr>
                  <w:tcW w:w="1496" w:type="pct"/>
                  <w:tcBorders>
                    <w:tl2br w:val="nil"/>
                    <w:tr2bl w:val="nil"/>
                  </w:tcBorders>
                  <w:vAlign w:val="center"/>
                </w:tcPr>
                <w:p w14:paraId="2487CAAE">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单回路架设</w:t>
                  </w:r>
                </w:p>
              </w:tc>
              <w:tc>
                <w:tcPr>
                  <w:tcW w:w="879" w:type="pct"/>
                  <w:tcBorders>
                    <w:tl2br w:val="nil"/>
                    <w:tr2bl w:val="nil"/>
                  </w:tcBorders>
                  <w:vAlign w:val="center"/>
                </w:tcPr>
                <w:p w14:paraId="3C157F65">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基本一致</w:t>
                  </w:r>
                </w:p>
              </w:tc>
            </w:tr>
            <w:tr w14:paraId="40FC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3" w:type="pct"/>
                  <w:tcBorders>
                    <w:tl2br w:val="nil"/>
                    <w:tr2bl w:val="nil"/>
                  </w:tcBorders>
                  <w:vAlign w:val="center"/>
                </w:tcPr>
                <w:p w14:paraId="5ADCF4F8">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架设及排列方式</w:t>
                  </w:r>
                </w:p>
              </w:tc>
              <w:tc>
                <w:tcPr>
                  <w:tcW w:w="1650" w:type="pct"/>
                  <w:tcBorders>
                    <w:tl2br w:val="nil"/>
                    <w:tr2bl w:val="nil"/>
                  </w:tcBorders>
                  <w:vAlign w:val="center"/>
                </w:tcPr>
                <w:p w14:paraId="14A2C060">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架空</w:t>
                  </w:r>
                </w:p>
              </w:tc>
              <w:tc>
                <w:tcPr>
                  <w:tcW w:w="1496" w:type="pct"/>
                  <w:tcBorders>
                    <w:tl2br w:val="nil"/>
                    <w:tr2bl w:val="nil"/>
                  </w:tcBorders>
                  <w:vAlign w:val="center"/>
                </w:tcPr>
                <w:p w14:paraId="38557E8E">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架空</w:t>
                  </w:r>
                </w:p>
              </w:tc>
              <w:tc>
                <w:tcPr>
                  <w:tcW w:w="879" w:type="pct"/>
                  <w:tcBorders>
                    <w:tl2br w:val="nil"/>
                    <w:tr2bl w:val="nil"/>
                  </w:tcBorders>
                  <w:vAlign w:val="center"/>
                </w:tcPr>
                <w:p w14:paraId="47E4352C">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一致</w:t>
                  </w:r>
                </w:p>
              </w:tc>
            </w:tr>
            <w:tr w14:paraId="438C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973" w:type="pct"/>
                  <w:tcBorders>
                    <w:tl2br w:val="nil"/>
                    <w:tr2bl w:val="nil"/>
                  </w:tcBorders>
                  <w:vAlign w:val="center"/>
                </w:tcPr>
                <w:p w14:paraId="73172864">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架设高度</w:t>
                  </w:r>
                </w:p>
              </w:tc>
              <w:tc>
                <w:tcPr>
                  <w:tcW w:w="1650" w:type="pct"/>
                  <w:tcBorders>
                    <w:tl2br w:val="nil"/>
                    <w:tr2bl w:val="nil"/>
                  </w:tcBorders>
                  <w:vAlign w:val="center"/>
                </w:tcPr>
                <w:p w14:paraId="160391A0">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left"/>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110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kV</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输电线路架线高度一般在15m左右</w:t>
                  </w:r>
                </w:p>
              </w:tc>
              <w:tc>
                <w:tcPr>
                  <w:tcW w:w="1496" w:type="pct"/>
                  <w:tcBorders>
                    <w:tl2br w:val="nil"/>
                    <w:tr2bl w:val="nil"/>
                  </w:tcBorders>
                  <w:vAlign w:val="center"/>
                </w:tcPr>
                <w:p w14:paraId="5702AFF3">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left"/>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110</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kV</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输电线路架线高度一般在15m左右</w:t>
                  </w:r>
                </w:p>
              </w:tc>
              <w:tc>
                <w:tcPr>
                  <w:tcW w:w="879" w:type="pct"/>
                  <w:tcBorders>
                    <w:tl2br w:val="nil"/>
                    <w:tr2bl w:val="nil"/>
                  </w:tcBorders>
                  <w:vAlign w:val="center"/>
                </w:tcPr>
                <w:p w14:paraId="6C7EE74A">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一致</w:t>
                  </w:r>
                </w:p>
              </w:tc>
            </w:tr>
            <w:tr w14:paraId="2D07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973" w:type="pct"/>
                  <w:tcBorders>
                    <w:tl2br w:val="nil"/>
                    <w:tr2bl w:val="nil"/>
                  </w:tcBorders>
                  <w:vAlign w:val="center"/>
                </w:tcPr>
                <w:p w14:paraId="021F0BA5">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运行工况</w:t>
                  </w:r>
                </w:p>
              </w:tc>
              <w:tc>
                <w:tcPr>
                  <w:tcW w:w="1650" w:type="pct"/>
                  <w:tcBorders>
                    <w:tl2br w:val="nil"/>
                    <w:tr2bl w:val="nil"/>
                  </w:tcBorders>
                  <w:vAlign w:val="center"/>
                </w:tcPr>
                <w:p w14:paraId="0A878C52">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left"/>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监测期间线路运行正常，运行电压115.26</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kV</w:t>
                  </w: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～115.37</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kV</w:t>
                  </w:r>
                </w:p>
              </w:tc>
              <w:tc>
                <w:tcPr>
                  <w:tcW w:w="1496" w:type="pct"/>
                  <w:tcBorders>
                    <w:tl2br w:val="nil"/>
                    <w:tr2bl w:val="nil"/>
                  </w:tcBorders>
                  <w:vAlign w:val="center"/>
                </w:tcPr>
                <w:p w14:paraId="7E0F5299">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879" w:type="pct"/>
                  <w:tcBorders>
                    <w:tl2br w:val="nil"/>
                    <w:tr2bl w:val="nil"/>
                  </w:tcBorders>
                  <w:vAlign w:val="center"/>
                </w:tcPr>
                <w:p w14:paraId="2128D5D8">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63" w:rightChars="-3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正常运行</w:t>
                  </w:r>
                </w:p>
              </w:tc>
            </w:tr>
          </w:tbl>
          <w:p w14:paraId="6B82AD7A">
            <w:pPr>
              <w:pStyle w:val="64"/>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leftChars="0" w:right="0" w:firstLine="480" w:firstLineChars="200"/>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由表4-7对比分析可知，本次环评将已运行的110kV海幸一线、110kV海幸二线作为线路类比对象是可行的。</w:t>
            </w:r>
          </w:p>
          <w:p w14:paraId="7B805261">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① 监测因子</w:t>
            </w:r>
          </w:p>
          <w:p w14:paraId="67CABB4B">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等效声级，Leq。</w:t>
            </w:r>
          </w:p>
          <w:p w14:paraId="7545AC62">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② 监测方法、监测布点</w:t>
            </w:r>
          </w:p>
          <w:p w14:paraId="6558C646">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监测方法：《声环境质量标准》（GB3096-2008）。</w:t>
            </w:r>
          </w:p>
          <w:p w14:paraId="2CEC01D2">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监测布点：输电线路线下声环境监测点选择在监测断面弧垂最低处</w:t>
            </w:r>
            <w:r>
              <w:rPr>
                <w:rFonts w:hint="eastAsia" w:cs="Times New Roman"/>
                <w:b w:val="0"/>
                <w:bCs w:val="0"/>
                <w:color w:val="000000" w:themeColor="text1"/>
                <w:sz w:val="24"/>
                <w:highlight w:val="none"/>
                <w:lang w:val="en-US" w:eastAsia="zh-CN"/>
                <w14:textFill>
                  <w14:solidFill>
                    <w14:schemeClr w14:val="tx1"/>
                  </w14:solidFill>
                </w14:textFill>
              </w:rPr>
              <w:t>，监</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测点距地面高度1.2m以上。</w:t>
            </w:r>
          </w:p>
          <w:p w14:paraId="331F3F9B">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沙幸线、110kV海幸一线、110kV海幸二线：单回路007#～008#塔中相导线弧垂最低处对地投影点布点；双回路031#～032#塔弧垂最低处对地投影点布点，距地面高度1.2米以上，线路沿线声环境保护目标建筑物外1m、距地面高度1.2m以上。</w:t>
            </w:r>
          </w:p>
          <w:p w14:paraId="66E24423">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③监测单位及监测时间</w:t>
            </w:r>
          </w:p>
          <w:p w14:paraId="70327799">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监测单位：新疆鼎耀工程咨询有限公司</w:t>
            </w:r>
          </w:p>
          <w:p w14:paraId="1DE2D46F">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监测时间：2024年10月20日</w:t>
            </w:r>
          </w:p>
          <w:p w14:paraId="154C36C6">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④监测仪器、监测条件</w:t>
            </w:r>
          </w:p>
          <w:p w14:paraId="63AAFDC0">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噪声监测仪器见表4-8。</w:t>
            </w:r>
          </w:p>
          <w:p w14:paraId="64486DCA">
            <w:pPr>
              <w:pStyle w:val="64"/>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000000" w:themeColor="text1"/>
                <w:sz w:val="22"/>
                <w:szCs w:val="22"/>
                <w:highlight w:val="none"/>
                <w:lang w:val="en-US" w:eastAsia="zh-CN"/>
                <w14:textFill>
                  <w14:solidFill>
                    <w14:schemeClr w14:val="tx1"/>
                  </w14:solidFill>
                </w14:textFill>
              </w:rPr>
            </w:pPr>
            <w:r>
              <w:rPr>
                <w:rFonts w:hint="eastAsia" w:ascii="Times New Roman" w:hAnsi="Times New Roman" w:cs="Times New Roman"/>
                <w:b/>
                <w:bCs/>
                <w:color w:val="000000" w:themeColor="text1"/>
                <w:sz w:val="22"/>
                <w:szCs w:val="22"/>
                <w:highlight w:val="none"/>
                <w:lang w:val="en-US" w:eastAsia="zh-CN"/>
                <w14:textFill>
                  <w14:solidFill>
                    <w14:schemeClr w14:val="tx1"/>
                  </w14:solidFill>
                </w14:textFill>
              </w:rPr>
              <w:t>表4-</w:t>
            </w:r>
            <w:r>
              <w:rPr>
                <w:rFonts w:hint="eastAsia" w:cs="Times New Roman"/>
                <w:b/>
                <w:bCs/>
                <w:color w:val="000000" w:themeColor="text1"/>
                <w:sz w:val="22"/>
                <w:szCs w:val="22"/>
                <w:highlight w:val="none"/>
                <w:lang w:val="en-US" w:eastAsia="zh-CN"/>
                <w14:textFill>
                  <w14:solidFill>
                    <w14:schemeClr w14:val="tx1"/>
                  </w14:solidFill>
                </w14:textFill>
              </w:rPr>
              <w:t>8</w:t>
            </w:r>
            <w:r>
              <w:rPr>
                <w:rFonts w:hint="eastAsia" w:ascii="Times New Roman" w:hAnsi="Times New Roman" w:cs="Times New Roman"/>
                <w:b/>
                <w:bCs/>
                <w:color w:val="000000" w:themeColor="text1"/>
                <w:sz w:val="22"/>
                <w:szCs w:val="22"/>
                <w:highlight w:val="none"/>
                <w:lang w:val="en-US" w:eastAsia="zh-CN"/>
                <w14:textFill>
                  <w14:solidFill>
                    <w14:schemeClr w14:val="tx1"/>
                  </w14:solidFill>
                </w14:textFill>
              </w:rPr>
              <w:t xml:space="preserve">  噪声监测仪器一览表</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777"/>
              <w:gridCol w:w="1478"/>
              <w:gridCol w:w="1374"/>
              <w:gridCol w:w="1763"/>
              <w:gridCol w:w="2150"/>
            </w:tblGrid>
            <w:tr w14:paraId="0918E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jc w:val="center"/>
              </w:trPr>
              <w:tc>
                <w:tcPr>
                  <w:tcW w:w="6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4886B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序号</w:t>
                  </w:r>
                </w:p>
              </w:tc>
              <w:tc>
                <w:tcPr>
                  <w:tcW w:w="7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69069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监测项目</w:t>
                  </w:r>
                </w:p>
              </w:tc>
              <w:tc>
                <w:tcPr>
                  <w:tcW w:w="14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90034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设备名称</w:t>
                  </w:r>
                </w:p>
              </w:tc>
              <w:tc>
                <w:tcPr>
                  <w:tcW w:w="13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41500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设备（检定证指编号</w:t>
                  </w:r>
                </w:p>
              </w:tc>
              <w:tc>
                <w:tcPr>
                  <w:tcW w:w="17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891A0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检定/校准机构</w:t>
                  </w:r>
                </w:p>
              </w:tc>
              <w:tc>
                <w:tcPr>
                  <w:tcW w:w="2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A758C8">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有效日期</w:t>
                  </w:r>
                </w:p>
              </w:tc>
            </w:tr>
            <w:tr w14:paraId="45DDD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6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DDFA0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777"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8F7B5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噪声</w:t>
                  </w:r>
                </w:p>
              </w:tc>
              <w:tc>
                <w:tcPr>
                  <w:tcW w:w="14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8D2571">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AWA5688多功能声级计</w:t>
                  </w:r>
                </w:p>
              </w:tc>
              <w:tc>
                <w:tcPr>
                  <w:tcW w:w="13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1223B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LSsx2024-11479</w:t>
                  </w:r>
                </w:p>
              </w:tc>
              <w:tc>
                <w:tcPr>
                  <w:tcW w:w="1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6482F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中国计量科学研究院</w:t>
                  </w:r>
                </w:p>
              </w:tc>
              <w:tc>
                <w:tcPr>
                  <w:tcW w:w="21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858AE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2024.8.13〜2025.8.12</w:t>
                  </w:r>
                </w:p>
              </w:tc>
            </w:tr>
            <w:tr w14:paraId="7DAC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6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65F37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77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023A2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4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C43AB6">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ND9A声校准器</w:t>
                  </w:r>
                </w:p>
              </w:tc>
              <w:tc>
                <w:tcPr>
                  <w:tcW w:w="13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CD49B4">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LSsx2024-05742</w:t>
                  </w:r>
                </w:p>
              </w:tc>
              <w:tc>
                <w:tcPr>
                  <w:tcW w:w="1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232CC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中国计</w:t>
                  </w:r>
                  <w:r>
                    <w:rPr>
                      <w:rFonts w:hint="eastAsia" w:cs="Times New Roman"/>
                      <w:i w:val="0"/>
                      <w:iCs w:val="0"/>
                      <w:color w:val="000000" w:themeColor="text1"/>
                      <w:kern w:val="0"/>
                      <w:sz w:val="21"/>
                      <w:szCs w:val="21"/>
                      <w:u w:val="none"/>
                      <w:lang w:val="en-US" w:eastAsia="zh-CN" w:bidi="ar"/>
                      <w14:textFill>
                        <w14:solidFill>
                          <w14:schemeClr w14:val="tx1"/>
                        </w14:solidFill>
                      </w14:textFill>
                    </w:rPr>
                    <w:t>量</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科学研究院</w:t>
                  </w:r>
                </w:p>
              </w:tc>
              <w:tc>
                <w:tcPr>
                  <w:tcW w:w="21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7632DF">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2024.5.22〜2025.5.21</w:t>
                  </w:r>
                </w:p>
              </w:tc>
            </w:tr>
            <w:tr w14:paraId="084E2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6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17F8D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7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28F19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湿度、温度</w:t>
                  </w:r>
                </w:p>
              </w:tc>
              <w:tc>
                <w:tcPr>
                  <w:tcW w:w="14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CAFA97">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TY-2060数字温湿度计</w:t>
                  </w:r>
                </w:p>
              </w:tc>
              <w:tc>
                <w:tcPr>
                  <w:tcW w:w="13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754589">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J202404281135-0005</w:t>
                  </w:r>
                </w:p>
              </w:tc>
              <w:tc>
                <w:tcPr>
                  <w:tcW w:w="1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AAB09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广电计量检测集团股份有限公司</w:t>
                  </w:r>
                </w:p>
              </w:tc>
              <w:tc>
                <w:tcPr>
                  <w:tcW w:w="21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19EB9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bottom"/>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2024.5.7〜2025.5.6</w:t>
                  </w:r>
                </w:p>
              </w:tc>
            </w:tr>
            <w:tr w14:paraId="6D2A5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6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E69679">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7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38A1F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风速</w:t>
                  </w:r>
                </w:p>
              </w:tc>
              <w:tc>
                <w:tcPr>
                  <w:tcW w:w="14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E4366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HT-91风速仪</w:t>
                  </w:r>
                </w:p>
              </w:tc>
              <w:tc>
                <w:tcPr>
                  <w:tcW w:w="13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F1EF8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J202404281135-0001</w:t>
                  </w:r>
                </w:p>
              </w:tc>
              <w:tc>
                <w:tcPr>
                  <w:tcW w:w="1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7D488">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广电计量检测集团股份有限公司</w:t>
                  </w:r>
                </w:p>
              </w:tc>
              <w:tc>
                <w:tcPr>
                  <w:tcW w:w="21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B9D7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2024.5.6〜2025.5.5</w:t>
                  </w:r>
                </w:p>
              </w:tc>
            </w:tr>
            <w:tr w14:paraId="3BB6E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8205"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4DE636">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注：AWA5688多功能声级计测量范围：28～133dB(A)</w:t>
                  </w:r>
                </w:p>
              </w:tc>
            </w:tr>
          </w:tbl>
          <w:p w14:paraId="56D552F1">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cs="Times New Roman"/>
                <w:b w:val="0"/>
                <w:bCs w:val="0"/>
                <w:color w:val="000000" w:themeColor="text1"/>
                <w:sz w:val="24"/>
                <w:highlight w:val="none"/>
                <w:lang w:val="en-US" w:eastAsia="zh-CN"/>
                <w14:textFill>
                  <w14:solidFill>
                    <w14:schemeClr w14:val="tx1"/>
                  </w14:solidFill>
                </w14:textFill>
              </w:rPr>
              <w:t>⑤监测结果</w:t>
            </w:r>
          </w:p>
          <w:p w14:paraId="77759747">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沙幸线、110kV海幸一线、110kV海幸二线</w:t>
            </w:r>
            <w:r>
              <w:rPr>
                <w:rFonts w:hint="eastAsia" w:cs="Times New Roman"/>
                <w:b w:val="0"/>
                <w:bCs w:val="0"/>
                <w:color w:val="000000" w:themeColor="text1"/>
                <w:sz w:val="24"/>
                <w:highlight w:val="none"/>
                <w:lang w:val="en-US" w:eastAsia="zh-CN"/>
                <w14:textFill>
                  <w14:solidFill>
                    <w14:schemeClr w14:val="tx1"/>
                  </w14:solidFill>
                </w14:textFill>
              </w:rPr>
              <w:t>噪声监测结果，见表4-9。</w:t>
            </w:r>
          </w:p>
          <w:p w14:paraId="2CA3CEBC">
            <w:pPr>
              <w:pStyle w:val="64"/>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leftChars="0" w:right="0" w:firstLine="0" w:firstLineChars="0"/>
              <w:jc w:val="center"/>
              <w:textAlignment w:val="auto"/>
              <w:rPr>
                <w:rFonts w:hint="default" w:cs="Times New Roman"/>
                <w:b/>
                <w:bCs/>
                <w:color w:val="000000" w:themeColor="text1"/>
                <w:sz w:val="22"/>
                <w:szCs w:val="22"/>
                <w:highlight w:val="none"/>
                <w:vertAlign w:val="baseline"/>
                <w:lang w:val="en-US" w:eastAsia="zh-CN"/>
                <w14:textFill>
                  <w14:solidFill>
                    <w14:schemeClr w14:val="tx1"/>
                  </w14:solidFill>
                </w14:textFill>
              </w:rPr>
            </w:pPr>
            <w:r>
              <w:rPr>
                <w:rFonts w:hint="eastAsia" w:cs="Times New Roman"/>
                <w:b/>
                <w:bCs/>
                <w:color w:val="000000" w:themeColor="text1"/>
                <w:sz w:val="22"/>
                <w:szCs w:val="22"/>
                <w:highlight w:val="none"/>
                <w:lang w:val="en-US" w:eastAsia="zh-CN"/>
                <w14:textFill>
                  <w14:solidFill>
                    <w14:schemeClr w14:val="tx1"/>
                  </w14:solidFill>
                </w14:textFill>
              </w:rPr>
              <w:t>表4-9  噪声监测结果</w:t>
            </w:r>
          </w:p>
          <w:tbl>
            <w:tblPr>
              <w:tblStyle w:val="32"/>
              <w:tblW w:w="81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2"/>
              <w:gridCol w:w="4541"/>
              <w:gridCol w:w="1288"/>
              <w:gridCol w:w="1657"/>
            </w:tblGrid>
            <w:tr w14:paraId="568D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42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7DCBC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序号</w:t>
                  </w:r>
                </w:p>
              </w:tc>
              <w:tc>
                <w:tcPr>
                  <w:tcW w:w="2776"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BB7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监测点位</w:t>
                  </w:r>
                </w:p>
              </w:tc>
              <w:tc>
                <w:tcPr>
                  <w:tcW w:w="1800"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67DE5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昼间、夜间等效</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声</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级：</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dB（A）</w:t>
                  </w:r>
                </w:p>
              </w:tc>
            </w:tr>
            <w:tr w14:paraId="21A4D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1D8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Arial" w:hAnsi="Arial" w:eastAsia="宋体" w:cs="Arial"/>
                      <w:i w:val="0"/>
                      <w:iCs w:val="0"/>
                      <w:color w:val="000000" w:themeColor="text1"/>
                      <w:sz w:val="21"/>
                      <w:szCs w:val="21"/>
                      <w:u w:val="none"/>
                      <w14:textFill>
                        <w14:solidFill>
                          <w14:schemeClr w14:val="tx1"/>
                        </w14:solidFill>
                      </w14:textFill>
                    </w:rPr>
                  </w:pPr>
                </w:p>
              </w:tc>
              <w:tc>
                <w:tcPr>
                  <w:tcW w:w="2776"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0AC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Arial" w:hAnsi="Arial" w:eastAsia="宋体" w:cs="Arial"/>
                      <w:i w:val="0"/>
                      <w:iCs w:val="0"/>
                      <w:color w:val="000000" w:themeColor="text1"/>
                      <w:sz w:val="21"/>
                      <w:szCs w:val="21"/>
                      <w:u w:val="none"/>
                      <w14:textFill>
                        <w14:solidFill>
                          <w14:schemeClr w14:val="tx1"/>
                        </w14:solidFill>
                      </w14:textFill>
                    </w:rPr>
                  </w:pP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1A8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昼间</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B93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夜间</w:t>
                  </w:r>
                </w:p>
              </w:tc>
            </w:tr>
            <w:tr w14:paraId="67CB8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BDDA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AC7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千伏变电站南偏西</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603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14F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07737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2A7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CA1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千伏变电站南偏东</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01D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AB2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53EE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88A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C84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千伏变电站东偏南</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4A5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7F8C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r>
            <w:tr w14:paraId="5B57F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5B0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0F0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千伏变电站东偏北</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AA56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81B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r>
            <w:tr w14:paraId="3B852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7E0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1A7F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千伏变电站北偏东</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780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127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1DEED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DB5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9B0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千伏变电站北偏前</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94A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56A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r>
            <w:tr w14:paraId="2595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50B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A87C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千伏变电站西偏北</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BF7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B55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r>
            <w:tr w14:paraId="1B64B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E35B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75A5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沙雅城北</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110r</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伏变电站西偏南</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1FB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EA4E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w:t>
                  </w:r>
                </w:p>
              </w:tc>
            </w:tr>
            <w:tr w14:paraId="47FB1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F236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D771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沙雅镇幸福社区</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BB5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85F1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5DECA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7F3A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74B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沙雁洲-城市驿站</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720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9F1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r>
            <w:tr w14:paraId="400BA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45B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BA1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沙雅镇幸福路居民区</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84E8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70B0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61FA3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D25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3F2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凤凰城小区</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319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26F3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63464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6EE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788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沙雅镇农机产业园沿街商铺</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573E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EEC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p>
              </w:tc>
            </w:tr>
            <w:tr w14:paraId="079B8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181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6BE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金城幸福雅居小区</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7AF3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3755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r>
            <w:tr w14:paraId="5FE88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785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E56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海楼镇喀什巴格村六组民房</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线</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17.0m）</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81FB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757B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2591E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889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3E84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海楼镇喀什巴格村六组民房</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线</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27.1m）</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B21E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B8D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r>
            <w:tr w14:paraId="38FA1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1D0D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872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海楼镇喀什巴格村六组民房</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线高</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16.6m）</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50AB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7900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r>
            <w:tr w14:paraId="67659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1F5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386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海楼镇喀什巴格村六组民房</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线</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27.0m）</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EE1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C50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w:t>
                  </w:r>
                </w:p>
              </w:tc>
            </w:tr>
            <w:tr w14:paraId="5847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17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D2F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海楼镇喀什巴格村六组民房</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线</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35.8m）</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7CB1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9C4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1EB61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FA9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996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海楼镇喀什巴格村六组民房</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线高</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27.8m）</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A8E0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A8F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r>
            <w:tr w14:paraId="0FFAE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250B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7500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海楼镇喀什巴格村七组民房</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B4D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389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r>
            <w:tr w14:paraId="599DF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9EE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B10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海楼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千伏变电站</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千伏侧向隔扩建端</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7E7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D1D0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4189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8405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BF4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单问路-中相导线弧垂最低处对地投影</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D199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7AB6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6577F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57C8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499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双回路一边导线对地投影点</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F77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B931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w:t>
                  </w:r>
                </w:p>
              </w:tc>
            </w:tr>
            <w:tr w14:paraId="6414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656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p>
              </w:tc>
              <w:tc>
                <w:tcPr>
                  <w:tcW w:w="277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C6F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千伏沙幸线、海幸一线，线下</w:t>
                  </w:r>
                </w:p>
              </w:tc>
              <w:tc>
                <w:tcPr>
                  <w:tcW w:w="78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618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w:t>
                  </w:r>
                </w:p>
              </w:tc>
              <w:tc>
                <w:tcPr>
                  <w:tcW w:w="10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711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Arial" w:hAnsi="Arial" w:eastAsia="宋体" w:cs="Arial"/>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p>
              </w:tc>
            </w:tr>
          </w:tbl>
          <w:p w14:paraId="5F884A1F">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由表4-4可知：</w:t>
            </w:r>
            <w:r>
              <w:rPr>
                <w:rFonts w:hint="eastAsia" w:ascii="Times New Roman" w:hAnsi="Times New Roman" w:cs="Times New Roman"/>
                <w:color w:val="000000" w:themeColor="text1"/>
                <w:kern w:val="0"/>
                <w:sz w:val="24"/>
                <w:szCs w:val="24"/>
                <w:lang w:val="en-US" w:eastAsia="zh-CN"/>
                <w14:textFill>
                  <w14:solidFill>
                    <w14:schemeClr w14:val="tx1"/>
                  </w14:solidFill>
                </w14:textFill>
              </w:rPr>
              <w:t>（1）沙雅城北110kV变电站厂界噪声昼间监测值为41dB(A)～50dB(A),夜间噪声监测最大值为38dB(A)～44dB(A)。满足《工业企业厂界环境噪声排放标准》(GB 12348-2008)中1类标准：昼间噪声≤55dB(A),夜间噪声≤45dB(A)。</w:t>
            </w:r>
          </w:p>
          <w:p w14:paraId="3FC909EA">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2）声环境保护目标昼间噪声监测值为42dB(A)～50dB(A),夜间噪声监测值为40dB(A)～44dB(A);输电线路007#～008#杆塔中心对地投影点噪声昼间噪声监测值为48dB(A),夜间噪声监测值为44dB(A);输电线路031#～032#杆塔中心对地投影点噪声昼间噪声监测值为50dB(A),夜间噪声监测值为44dB(A);110千伏沙幸线、海幸一线，线下昼间噪声监测值为47dB(A),夜间噪声监测值为43dB(A);满足《声环境质量标准》(GB3096-2008)中1类标准要求(昼间噪声≤55dB(A),夜间噪声≤45dB(A)),2类标准要求(昼间噪声≤60dB(A),夜间噪声≤50dB(A)),4a类标准限值要求(昼间噪声≤70dB(A),夜间噪声≤55dB(A))。</w:t>
            </w:r>
          </w:p>
          <w:p w14:paraId="55EAFA2B">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(3)海楼220kV变电站110kV侧间隔扩建端厂界噪声昼间监测值为48dB(A),夜间噪声监测值为44dB(A);满足《工业企业厂界环境噪声排放标准》(GB12348-2008)2类标准要求：昼间噪声≤60dB(A),夜间噪声≤50dB(A)。</w:t>
            </w:r>
          </w:p>
          <w:p w14:paraId="677B8FE6">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由类比线路产生的噪声影响可知，本项目输电线路运行时产生噪声不会对周边声环境造成明显影响，沿线声环境、声环境保护目标处可满足《声环境质量标准》（GB3096-2008）中相应的声环境功能区标准。</w:t>
            </w:r>
          </w:p>
          <w:p w14:paraId="50921604">
            <w:pPr>
              <w:pStyle w:val="64"/>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5、运营期水环境影响分析</w:t>
            </w:r>
          </w:p>
          <w:p w14:paraId="4F7E5F1F">
            <w:pPr>
              <w:pStyle w:val="78"/>
              <w:ind w:firstLine="480"/>
              <w:rPr>
                <w:color w:val="000000" w:themeColor="text1"/>
                <w:kern w:val="0"/>
                <w:highlight w:val="none"/>
                <w:lang w:bidi="ar"/>
                <w14:textFill>
                  <w14:solidFill>
                    <w14:schemeClr w14:val="tx1"/>
                  </w14:solidFill>
                </w14:textFill>
              </w:rPr>
            </w:pPr>
            <w:r>
              <w:rPr>
                <w:rFonts w:hint="eastAsia"/>
                <w:color w:val="000000" w:themeColor="text1"/>
                <w:highlight w:val="none"/>
                <w14:textFill>
                  <w14:solidFill>
                    <w14:schemeClr w14:val="tx1"/>
                  </w14:solidFill>
                </w14:textFill>
              </w:rPr>
              <w:t>（1）地表水环境影响分析</w:t>
            </w:r>
          </w:p>
          <w:p w14:paraId="3086C18D">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本项目升压站投入运行后劳动定员</w:t>
            </w:r>
            <w:r>
              <w:rPr>
                <w:rFonts w:hint="eastAsia"/>
                <w:color w:val="000000" w:themeColor="text1"/>
                <w:sz w:val="24"/>
                <w:highlight w:val="none"/>
                <w:lang w:val="en-US" w:eastAsia="zh-CN"/>
                <w14:textFill>
                  <w14:solidFill>
                    <w14:schemeClr w14:val="tx1"/>
                  </w14:solidFill>
                </w14:textFill>
              </w:rPr>
              <w:t>8</w:t>
            </w:r>
            <w:r>
              <w:rPr>
                <w:color w:val="000000" w:themeColor="text1"/>
                <w:sz w:val="24"/>
                <w:highlight w:val="none"/>
                <w14:textFill>
                  <w14:solidFill>
                    <w14:schemeClr w14:val="tx1"/>
                  </w14:solidFill>
                </w14:textFill>
              </w:rPr>
              <w:t>人，根据《新疆维吾尔自治区生活用水定额》可知，本项目生活用水量按每人60L/d，生活用水总量为</w:t>
            </w:r>
            <w:r>
              <w:rPr>
                <w:rFonts w:hint="eastAsia"/>
                <w:color w:val="000000" w:themeColor="text1"/>
                <w:sz w:val="24"/>
                <w:highlight w:val="none"/>
                <w:lang w:val="en-US" w:eastAsia="zh-CN"/>
                <w14:textFill>
                  <w14:solidFill>
                    <w14:schemeClr w14:val="tx1"/>
                  </w14:solidFill>
                </w14:textFill>
              </w:rPr>
              <w:t>0.48</w:t>
            </w:r>
            <w:r>
              <w:rPr>
                <w:color w:val="000000" w:themeColor="text1"/>
                <w:sz w:val="24"/>
                <w:highlight w:val="none"/>
                <w14:textFill>
                  <w14:solidFill>
                    <w14:schemeClr w14:val="tx1"/>
                  </w14:solidFill>
                </w14:textFill>
              </w:rPr>
              <w:t>m</w:t>
            </w:r>
            <w:r>
              <w:rPr>
                <w:color w:val="000000" w:themeColor="text1"/>
                <w:sz w:val="24"/>
                <w:highlight w:val="none"/>
                <w:vertAlign w:val="superscript"/>
                <w14:textFill>
                  <w14:solidFill>
                    <w14:schemeClr w14:val="tx1"/>
                  </w14:solidFill>
                </w14:textFill>
              </w:rPr>
              <w:t>3</w:t>
            </w:r>
            <w:r>
              <w:rPr>
                <w:color w:val="000000" w:themeColor="text1"/>
                <w:sz w:val="24"/>
                <w:highlight w:val="none"/>
                <w14:textFill>
                  <w14:solidFill>
                    <w14:schemeClr w14:val="tx1"/>
                  </w14:solidFill>
                </w14:textFill>
              </w:rPr>
              <w:t>/d（</w:t>
            </w:r>
            <w:r>
              <w:rPr>
                <w:rFonts w:hint="eastAsia"/>
                <w:color w:val="000000" w:themeColor="text1"/>
                <w:sz w:val="24"/>
                <w:highlight w:val="none"/>
                <w:lang w:val="en-US" w:eastAsia="zh-CN"/>
                <w14:textFill>
                  <w14:solidFill>
                    <w14:schemeClr w14:val="tx1"/>
                  </w14:solidFill>
                </w14:textFill>
              </w:rPr>
              <w:t>175.2</w:t>
            </w:r>
            <w:r>
              <w:rPr>
                <w:color w:val="000000" w:themeColor="text1"/>
                <w:sz w:val="24"/>
                <w:highlight w:val="none"/>
                <w14:textFill>
                  <w14:solidFill>
                    <w14:schemeClr w14:val="tx1"/>
                  </w14:solidFill>
                </w14:textFill>
              </w:rPr>
              <w:t>m</w:t>
            </w:r>
            <w:r>
              <w:rPr>
                <w:color w:val="000000" w:themeColor="text1"/>
                <w:sz w:val="24"/>
                <w:highlight w:val="none"/>
                <w:vertAlign w:val="superscript"/>
                <w14:textFill>
                  <w14:solidFill>
                    <w14:schemeClr w14:val="tx1"/>
                  </w14:solidFill>
                </w14:textFill>
              </w:rPr>
              <w:t>3</w:t>
            </w:r>
            <w:r>
              <w:rPr>
                <w:color w:val="000000" w:themeColor="text1"/>
                <w:sz w:val="24"/>
                <w:highlight w:val="none"/>
                <w14:textFill>
                  <w14:solidFill>
                    <w14:schemeClr w14:val="tx1"/>
                  </w14:solidFill>
                </w14:textFill>
              </w:rPr>
              <w:t>/a）</w:t>
            </w:r>
            <w:r>
              <w:rPr>
                <w:color w:val="000000" w:themeColor="text1"/>
                <w:kern w:val="0"/>
                <w:sz w:val="24"/>
                <w:highlight w:val="none"/>
                <w:lang w:bidi="ar"/>
                <w14:textFill>
                  <w14:solidFill>
                    <w14:schemeClr w14:val="tx1"/>
                  </w14:solidFill>
                </w14:textFill>
              </w:rPr>
              <w:t>。</w:t>
            </w:r>
          </w:p>
          <w:p w14:paraId="44A35534">
            <w:pPr>
              <w:pStyle w:val="15"/>
              <w:adjustRightInd w:val="0"/>
              <w:snapToGrid w:val="0"/>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kern w:val="0"/>
                <w:sz w:val="24"/>
                <w:highlight w:val="none"/>
                <w14:textFill>
                  <w14:solidFill>
                    <w14:schemeClr w14:val="tx1"/>
                  </w14:solidFill>
                </w14:textFill>
              </w:rPr>
              <w:t>生活污水量按</w:t>
            </w:r>
            <w:r>
              <w:rPr>
                <w:rFonts w:ascii="Times New Roman" w:hAnsi="Times New Roman" w:cs="Times New Roman"/>
                <w:color w:val="000000" w:themeColor="text1"/>
                <w:sz w:val="24"/>
                <w:szCs w:val="24"/>
                <w:highlight w:val="none"/>
                <w14:textFill>
                  <w14:solidFill>
                    <w14:schemeClr w14:val="tx1"/>
                  </w14:solidFill>
                </w14:textFill>
              </w:rPr>
              <w:t>生活用水总量</w:t>
            </w:r>
            <w:r>
              <w:rPr>
                <w:rFonts w:hint="eastAsia" w:ascii="Times New Roman" w:hAnsi="Times New Roman" w:cs="Times New Roman"/>
                <w:color w:val="000000" w:themeColor="text1"/>
                <w:sz w:val="24"/>
                <w:szCs w:val="24"/>
                <w:highlight w:val="none"/>
                <w14:textFill>
                  <w14:solidFill>
                    <w14:schemeClr w14:val="tx1"/>
                  </w14:solidFill>
                </w14:textFill>
              </w:rPr>
              <w:t>的</w:t>
            </w:r>
            <w:r>
              <w:rPr>
                <w:rFonts w:ascii="Times New Roman" w:hAnsi="Times New Roman" w:cs="Times New Roman"/>
                <w:bCs/>
                <w:color w:val="000000" w:themeColor="text1"/>
                <w:kern w:val="0"/>
                <w:sz w:val="24"/>
                <w:highlight w:val="none"/>
                <w14:textFill>
                  <w14:solidFill>
                    <w14:schemeClr w14:val="tx1"/>
                  </w14:solidFill>
                </w14:textFill>
              </w:rPr>
              <w:t>80%计，则</w:t>
            </w:r>
            <w:r>
              <w:rPr>
                <w:rFonts w:hint="eastAsia" w:ascii="Times New Roman" w:hAnsi="Times New Roman" w:cs="Times New Roman"/>
                <w:bCs/>
                <w:color w:val="000000" w:themeColor="text1"/>
                <w:kern w:val="0"/>
                <w:sz w:val="24"/>
                <w:highlight w:val="none"/>
                <w14:textFill>
                  <w14:solidFill>
                    <w14:schemeClr w14:val="tx1"/>
                  </w14:solidFill>
                </w14:textFill>
              </w:rPr>
              <w:t>升压站</w:t>
            </w:r>
            <w:r>
              <w:rPr>
                <w:rFonts w:ascii="Times New Roman" w:hAnsi="Times New Roman" w:cs="Times New Roman"/>
                <w:bCs/>
                <w:color w:val="000000" w:themeColor="text1"/>
                <w:kern w:val="0"/>
                <w:sz w:val="24"/>
                <w:highlight w:val="none"/>
                <w14:textFill>
                  <w14:solidFill>
                    <w14:schemeClr w14:val="tx1"/>
                  </w14:solidFill>
                </w14:textFill>
              </w:rPr>
              <w:t>生活污水产生量为</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0.384</w:t>
            </w:r>
            <w:r>
              <w:rPr>
                <w:rFonts w:ascii="Times New Roman" w:hAnsi="Times New Roman" w:cs="Times New Roman"/>
                <w:bCs/>
                <w:color w:val="000000" w:themeColor="text1"/>
                <w:kern w:val="0"/>
                <w:sz w:val="24"/>
                <w:highlight w:val="none"/>
                <w14:textFill>
                  <w14:solidFill>
                    <w14:schemeClr w14:val="tx1"/>
                  </w14:solidFill>
                </w14:textFill>
              </w:rPr>
              <w:t>m</w:t>
            </w:r>
            <w:r>
              <w:rPr>
                <w:rFonts w:ascii="Times New Roman" w:hAnsi="Times New Roman" w:cs="Times New Roman"/>
                <w:bCs/>
                <w:color w:val="000000" w:themeColor="text1"/>
                <w:kern w:val="0"/>
                <w:sz w:val="24"/>
                <w:highlight w:val="none"/>
                <w:vertAlign w:val="superscript"/>
                <w14:textFill>
                  <w14:solidFill>
                    <w14:schemeClr w14:val="tx1"/>
                  </w14:solidFill>
                </w14:textFill>
              </w:rPr>
              <w:t>3</w:t>
            </w:r>
            <w:r>
              <w:rPr>
                <w:rFonts w:ascii="Times New Roman" w:hAnsi="Times New Roman" w:cs="Times New Roman"/>
                <w:bCs/>
                <w:color w:val="000000" w:themeColor="text1"/>
                <w:kern w:val="0"/>
                <w:sz w:val="24"/>
                <w:highlight w:val="none"/>
                <w14:textFill>
                  <w14:solidFill>
                    <w14:schemeClr w14:val="tx1"/>
                  </w14:solidFill>
                </w14:textFill>
              </w:rPr>
              <w:t>/d（</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140.16</w:t>
            </w:r>
            <w:r>
              <w:rPr>
                <w:rFonts w:ascii="Times New Roman" w:hAnsi="Times New Roman" w:cs="Times New Roman"/>
                <w:bCs/>
                <w:color w:val="000000" w:themeColor="text1"/>
                <w:kern w:val="0"/>
                <w:sz w:val="24"/>
                <w:highlight w:val="none"/>
                <w14:textFill>
                  <w14:solidFill>
                    <w14:schemeClr w14:val="tx1"/>
                  </w14:solidFill>
                </w14:textFill>
              </w:rPr>
              <w:t>m</w:t>
            </w:r>
            <w:r>
              <w:rPr>
                <w:rFonts w:ascii="Times New Roman" w:hAnsi="Times New Roman" w:cs="Times New Roman"/>
                <w:bCs/>
                <w:color w:val="000000" w:themeColor="text1"/>
                <w:kern w:val="0"/>
                <w:sz w:val="24"/>
                <w:highlight w:val="none"/>
                <w:vertAlign w:val="superscript"/>
                <w14:textFill>
                  <w14:solidFill>
                    <w14:schemeClr w14:val="tx1"/>
                  </w14:solidFill>
                </w14:textFill>
              </w:rPr>
              <w:t>3</w:t>
            </w:r>
            <w:r>
              <w:rPr>
                <w:rFonts w:ascii="Times New Roman" w:hAnsi="Times New Roman" w:cs="Times New Roman"/>
                <w:bCs/>
                <w:color w:val="000000" w:themeColor="text1"/>
                <w:kern w:val="0"/>
                <w:sz w:val="24"/>
                <w:highlight w:val="none"/>
                <w14:textFill>
                  <w14:solidFill>
                    <w14:schemeClr w14:val="tx1"/>
                  </w14:solidFill>
                </w14:textFill>
              </w:rPr>
              <w:t>/a）</w:t>
            </w:r>
            <w:r>
              <w:rPr>
                <w:rFonts w:hint="eastAsia" w:ascii="Times New Roman" w:hAnsi="Times New Roman" w:cs="Times New Roman"/>
                <w:bCs/>
                <w:color w:val="000000" w:themeColor="text1"/>
                <w:kern w:val="0"/>
                <w:sz w:val="24"/>
                <w:highlight w:val="none"/>
                <w14:textFill>
                  <w14:solidFill>
                    <w14:schemeClr w14:val="tx1"/>
                  </w14:solidFill>
                </w14:textFill>
              </w:rPr>
              <w:t>，</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食堂废水经隔油池处理后与其他</w:t>
            </w:r>
            <w:r>
              <w:rPr>
                <w:rFonts w:hint="eastAsia" w:ascii="Times New Roman" w:hAnsi="Times New Roman" w:cs="Times New Roman"/>
                <w:bCs/>
                <w:color w:val="000000" w:themeColor="text1"/>
                <w:kern w:val="0"/>
                <w:sz w:val="24"/>
                <w:highlight w:val="none"/>
                <w14:textFill>
                  <w14:solidFill>
                    <w14:schemeClr w14:val="tx1"/>
                  </w14:solidFill>
                </w14:textFill>
              </w:rPr>
              <w:t>生活污水</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一起排入一体化污水处理设备处理，</w:t>
            </w:r>
            <w:r>
              <w:rPr>
                <w:rFonts w:hint="eastAsia" w:ascii="Times New Roman" w:hAnsi="Times New Roman" w:cs="Times New Roman"/>
                <w:color w:val="000000" w:themeColor="text1"/>
                <w:sz w:val="24"/>
                <w:szCs w:val="24"/>
                <w:highlight w:val="none"/>
                <w14:textFill>
                  <w14:solidFill>
                    <w14:schemeClr w14:val="tx1"/>
                  </w14:solidFill>
                </w14:textFill>
              </w:rPr>
              <w:t>处理后满足《农村生活污水处理排放标准》（DB654275-2019）表2中</w:t>
            </w:r>
            <w:r>
              <w:rPr>
                <w:rFonts w:hint="eastAsia" w:ascii="Times New Roman" w:hAnsi="Times New Roman" w:cs="Times New Roman"/>
                <w:color w:val="0000FF"/>
                <w:sz w:val="24"/>
                <w:szCs w:val="24"/>
                <w:highlight w:val="none"/>
                <w:lang w:val="en-US" w:eastAsia="zh-CN"/>
              </w:rPr>
              <w:t>A</w:t>
            </w:r>
            <w:r>
              <w:rPr>
                <w:rFonts w:hint="eastAsia" w:ascii="Times New Roman" w:hAnsi="Times New Roman" w:cs="Times New Roman"/>
                <w:color w:val="0000FF"/>
                <w:sz w:val="24"/>
                <w:szCs w:val="24"/>
                <w:highlight w:val="none"/>
              </w:rPr>
              <w:t>级标准后用于升压站绿化及生态恢复</w:t>
            </w:r>
            <w:r>
              <w:rPr>
                <w:rFonts w:hint="eastAsia" w:ascii="Times New Roman" w:hAnsi="Times New Roman" w:cs="Times New Roman"/>
                <w:color w:val="000000" w:themeColor="text1"/>
                <w:sz w:val="24"/>
                <w:szCs w:val="24"/>
                <w:highlight w:val="none"/>
                <w14:textFill>
                  <w14:solidFill>
                    <w14:schemeClr w14:val="tx1"/>
                  </w14:solidFill>
                </w14:textFill>
              </w:rPr>
              <w:t>。</w:t>
            </w:r>
          </w:p>
          <w:p w14:paraId="515F7A66">
            <w:pPr>
              <w:pStyle w:val="15"/>
              <w:adjustRightInd w:val="0"/>
              <w:snapToGrid w:val="0"/>
              <w:spacing w:line="360" w:lineRule="auto"/>
              <w:ind w:firstLine="480" w:firstLineChars="200"/>
              <w:rPr>
                <w:rFonts w:ascii="Times New Roman" w:hAnsi="Times New Roman" w:cs="Times New Roman"/>
                <w:bCs/>
                <w:color w:val="000000" w:themeColor="text1"/>
                <w:kern w:val="21"/>
                <w:sz w:val="24"/>
                <w:szCs w:val="24"/>
                <w:highlight w:val="none"/>
                <w14:textFill>
                  <w14:solidFill>
                    <w14:schemeClr w14:val="tx1"/>
                  </w14:solidFill>
                </w14:textFill>
              </w:rPr>
            </w:pPr>
            <w:r>
              <w:rPr>
                <w:rFonts w:hint="eastAsia" w:ascii="Times New Roman" w:hAnsi="Times New Roman" w:cs="Times New Roman"/>
                <w:bCs/>
                <w:color w:val="000000" w:themeColor="text1"/>
                <w:kern w:val="21"/>
                <w:sz w:val="24"/>
                <w:szCs w:val="24"/>
                <w:highlight w:val="none"/>
                <w14:textFill>
                  <w14:solidFill>
                    <w14:schemeClr w14:val="tx1"/>
                  </w14:solidFill>
                </w14:textFill>
              </w:rPr>
              <w:t>升压站</w:t>
            </w:r>
            <w:r>
              <w:rPr>
                <w:rFonts w:hint="eastAsia" w:ascii="Times New Roman" w:hAnsi="Times New Roman" w:cs="Times New Roman"/>
                <w:bCs/>
                <w:color w:val="000000" w:themeColor="text1"/>
                <w:kern w:val="21"/>
                <w:sz w:val="24"/>
                <w:szCs w:val="24"/>
                <w:highlight w:val="none"/>
                <w:lang w:val="en-US" w:eastAsia="zh-CN"/>
                <w14:textFill>
                  <w14:solidFill>
                    <w14:schemeClr w14:val="tx1"/>
                  </w14:solidFill>
                </w14:textFill>
              </w:rPr>
              <w:t>内建设</w:t>
            </w:r>
            <w:r>
              <w:rPr>
                <w:rFonts w:hint="eastAsia" w:ascii="Times New Roman" w:hAnsi="Times New Roman" w:cs="Times New Roman"/>
                <w:bCs/>
                <w:color w:val="000000" w:themeColor="text1"/>
                <w:kern w:val="21"/>
                <w:sz w:val="24"/>
                <w:szCs w:val="24"/>
                <w:highlight w:val="none"/>
                <w14:textFill>
                  <w14:solidFill>
                    <w14:schemeClr w14:val="tx1"/>
                  </w14:solidFill>
                </w14:textFill>
              </w:rPr>
              <w:t>一体化污水处理设备处理规模</w:t>
            </w:r>
            <w:r>
              <w:rPr>
                <w:rFonts w:hint="eastAsia" w:ascii="Times New Roman" w:hAnsi="Times New Roman" w:cs="Times New Roman"/>
                <w:bCs/>
                <w:color w:val="000000" w:themeColor="text1"/>
                <w:kern w:val="21"/>
                <w:sz w:val="24"/>
                <w:szCs w:val="24"/>
                <w:highlight w:val="none"/>
                <w:lang w:val="en-US" w:eastAsia="zh-CN"/>
                <w14:textFill>
                  <w14:solidFill>
                    <w14:schemeClr w14:val="tx1"/>
                  </w14:solidFill>
                </w14:textFill>
              </w:rPr>
              <w:t>0</w:t>
            </w:r>
            <w:r>
              <w:rPr>
                <w:rFonts w:hint="eastAsia" w:ascii="Times New Roman" w:hAnsi="Times New Roman" w:cs="Times New Roman"/>
                <w:bCs/>
                <w:color w:val="000000" w:themeColor="text1"/>
                <w:kern w:val="21"/>
                <w:sz w:val="24"/>
                <w:szCs w:val="24"/>
                <w:highlight w:val="none"/>
                <w14:textFill>
                  <w14:solidFill>
                    <w14:schemeClr w14:val="tx1"/>
                  </w14:solidFill>
                </w14:textFill>
              </w:rPr>
              <w:t>.</w:t>
            </w:r>
            <w:r>
              <w:rPr>
                <w:rFonts w:ascii="Times New Roman" w:hAnsi="Times New Roman" w:cs="Times New Roman"/>
                <w:bCs/>
                <w:color w:val="000000" w:themeColor="text1"/>
                <w:kern w:val="21"/>
                <w:sz w:val="24"/>
                <w:szCs w:val="24"/>
                <w:highlight w:val="none"/>
                <w14:textFill>
                  <w14:solidFill>
                    <w14:schemeClr w14:val="tx1"/>
                  </w14:solidFill>
                </w14:textFill>
              </w:rPr>
              <w:t>5m</w:t>
            </w:r>
            <w:r>
              <w:rPr>
                <w:rFonts w:ascii="Times New Roman" w:hAnsi="Times New Roman" w:cs="Times New Roman"/>
                <w:bCs/>
                <w:color w:val="000000" w:themeColor="text1"/>
                <w:kern w:val="21"/>
                <w:sz w:val="24"/>
                <w:szCs w:val="24"/>
                <w:highlight w:val="none"/>
                <w:vertAlign w:val="superscript"/>
                <w14:textFill>
                  <w14:solidFill>
                    <w14:schemeClr w14:val="tx1"/>
                  </w14:solidFill>
                </w14:textFill>
              </w:rPr>
              <w:t>3</w:t>
            </w:r>
            <w:r>
              <w:rPr>
                <w:rFonts w:hint="eastAsia" w:ascii="Times New Roman" w:hAnsi="Times New Roman" w:cs="Times New Roman"/>
                <w:bCs/>
                <w:color w:val="000000" w:themeColor="text1"/>
                <w:kern w:val="21"/>
                <w:sz w:val="24"/>
                <w:szCs w:val="24"/>
                <w:highlight w:val="none"/>
                <w14:textFill>
                  <w14:solidFill>
                    <w14:schemeClr w14:val="tx1"/>
                  </w14:solidFill>
                </w14:textFill>
              </w:rPr>
              <w:t>/h</w:t>
            </w:r>
            <w:r>
              <w:rPr>
                <w:rFonts w:ascii="Times New Roman" w:hAnsi="Times New Roman" w:cs="Times New Roman"/>
                <w:bCs/>
                <w:color w:val="000000" w:themeColor="text1"/>
                <w:kern w:val="21"/>
                <w:sz w:val="24"/>
                <w:szCs w:val="24"/>
                <w:highlight w:val="none"/>
                <w14:textFill>
                  <w14:solidFill>
                    <w14:schemeClr w14:val="tx1"/>
                  </w14:solidFill>
                </w14:textFill>
              </w:rPr>
              <w:t>，可满足</w:t>
            </w:r>
            <w:r>
              <w:rPr>
                <w:rFonts w:ascii="Times New Roman" w:hAnsi="Times New Roman" w:cs="Times New Roman"/>
                <w:color w:val="000000" w:themeColor="text1"/>
                <w:kern w:val="21"/>
                <w:sz w:val="24"/>
                <w:szCs w:val="24"/>
                <w:highlight w:val="none"/>
                <w14:textFill>
                  <w14:solidFill>
                    <w14:schemeClr w14:val="tx1"/>
                  </w14:solidFill>
                </w14:textFill>
              </w:rPr>
              <w:t>人员生活污水处理。地埋式一体化污水处理设备由格栅井、调节池、污水处理装置、沉淀池、出水池、消毒装置、污泥池、风机房、风机、潜水排污泵及水位计、控制电缆和系统控制柜等组成，经处理后的污水</w:t>
            </w:r>
            <w:r>
              <w:rPr>
                <w:rFonts w:hint="eastAsia" w:ascii="Times New Roman" w:hAnsi="Times New Roman" w:cs="Times New Roman"/>
                <w:color w:val="000000" w:themeColor="text1"/>
                <w:kern w:val="21"/>
                <w:sz w:val="24"/>
                <w:szCs w:val="24"/>
                <w:highlight w:val="none"/>
                <w14:textFill>
                  <w14:solidFill>
                    <w14:schemeClr w14:val="tx1"/>
                  </w14:solidFill>
                </w14:textFill>
              </w:rPr>
              <w:t>满足</w:t>
            </w:r>
            <w:r>
              <w:rPr>
                <w:rFonts w:ascii="Times New Roman" w:hAnsi="Times New Roman" w:cs="Times New Roman"/>
                <w:color w:val="000000" w:themeColor="text1"/>
                <w:kern w:val="21"/>
                <w:sz w:val="24"/>
                <w:szCs w:val="24"/>
                <w:highlight w:val="none"/>
                <w14:textFill>
                  <w14:solidFill>
                    <w14:schemeClr w14:val="tx1"/>
                  </w14:solidFill>
                </w14:textFill>
              </w:rPr>
              <w:t>《农村生活污水处理排放标准》（DB654275-2019）表2中</w:t>
            </w:r>
            <w:r>
              <w:rPr>
                <w:rFonts w:hint="eastAsia" w:ascii="Times New Roman" w:hAnsi="Times New Roman" w:cs="Times New Roman"/>
                <w:color w:val="000000" w:themeColor="text1"/>
                <w:kern w:val="21"/>
                <w:sz w:val="24"/>
                <w:szCs w:val="24"/>
                <w:highlight w:val="none"/>
                <w:lang w:val="en-US" w:eastAsia="zh-CN"/>
                <w14:textFill>
                  <w14:solidFill>
                    <w14:schemeClr w14:val="tx1"/>
                  </w14:solidFill>
                </w14:textFill>
              </w:rPr>
              <w:t>A</w:t>
            </w:r>
            <w:r>
              <w:rPr>
                <w:rFonts w:ascii="Times New Roman" w:hAnsi="Times New Roman" w:cs="Times New Roman"/>
                <w:color w:val="000000" w:themeColor="text1"/>
                <w:kern w:val="21"/>
                <w:sz w:val="24"/>
                <w:szCs w:val="24"/>
                <w:highlight w:val="none"/>
                <w14:textFill>
                  <w14:solidFill>
                    <w14:schemeClr w14:val="tx1"/>
                  </w14:solidFill>
                </w14:textFill>
              </w:rPr>
              <w:t>级标准</w:t>
            </w:r>
            <w:r>
              <w:rPr>
                <w:rFonts w:hint="eastAsia" w:ascii="Times New Roman" w:hAnsi="Times New Roman" w:cs="Times New Roman"/>
                <w:color w:val="000000" w:themeColor="text1"/>
                <w:kern w:val="21"/>
                <w:sz w:val="24"/>
                <w:szCs w:val="24"/>
                <w:highlight w:val="none"/>
                <w14:textFill>
                  <w14:solidFill>
                    <w14:schemeClr w14:val="tx1"/>
                  </w14:solidFill>
                </w14:textFill>
              </w:rPr>
              <w:t>后</w:t>
            </w:r>
            <w:r>
              <w:rPr>
                <w:rFonts w:hint="eastAsia" w:ascii="Times New Roman" w:hAnsi="Times New Roman" w:cs="Times New Roman"/>
                <w:color w:val="0000FF"/>
                <w:sz w:val="24"/>
                <w:szCs w:val="24"/>
                <w:highlight w:val="none"/>
              </w:rPr>
              <w:t>用于升压站绿化及生态恢复</w:t>
            </w:r>
            <w:r>
              <w:rPr>
                <w:rFonts w:hint="eastAsia" w:ascii="Times New Roman" w:hAnsi="Times New Roman" w:cs="Times New Roman"/>
                <w:bCs/>
                <w:color w:val="000000" w:themeColor="text1"/>
                <w:kern w:val="0"/>
                <w:sz w:val="24"/>
                <w:highlight w:val="none"/>
                <w14:textFill>
                  <w14:solidFill>
                    <w14:schemeClr w14:val="tx1"/>
                  </w14:solidFill>
                </w14:textFill>
              </w:rPr>
              <w:t>，不直接排入地表水体，对地表水环境影响较小。</w:t>
            </w:r>
          </w:p>
          <w:p w14:paraId="2E522E44">
            <w:pPr>
              <w:pStyle w:val="78"/>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（2）地下水环境影响分析</w:t>
            </w:r>
          </w:p>
          <w:p w14:paraId="1D18B5F9">
            <w:pPr>
              <w:pStyle w:val="78"/>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根据《环境影响评价技术导则 地下水环境》（HJ610-2016），本工程属于</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送（输）变电工程</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中的</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其他（不含100千伏以下）</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，为Ⅳ类建设项目，无需开展地下水环境影响评价。本次评价仅目对地下水环境影响进行简要分析。</w:t>
            </w:r>
          </w:p>
          <w:p w14:paraId="78109618">
            <w:pPr>
              <w:pStyle w:val="78"/>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根据《环境影响评价技术导则 地下水环境》（HJ610-2016）本项目新建事故油池、排油管、储油坑、危废舱为重点防渗区，按照“导则”要求，重点防渗区防渗技术应达到等效粘土防渗层Mb≥6m、渗透系数K≤1×10</w:t>
            </w:r>
            <w:r>
              <w:rPr>
                <w:rFonts w:hint="eastAsia"/>
                <w:color w:val="000000" w:themeColor="text1"/>
                <w:highlight w:val="none"/>
                <w:vertAlign w:val="superscript"/>
                <w14:textFill>
                  <w14:solidFill>
                    <w14:schemeClr w14:val="tx1"/>
                  </w14:solidFill>
                </w14:textFill>
              </w:rPr>
              <w:t>-7</w:t>
            </w:r>
            <w:r>
              <w:rPr>
                <w:rFonts w:hint="eastAsia"/>
                <w:color w:val="000000" w:themeColor="text1"/>
                <w:highlight w:val="none"/>
                <w14:textFill>
                  <w14:solidFill>
                    <w14:schemeClr w14:val="tx1"/>
                  </w14:solidFill>
                </w14:textFill>
              </w:rPr>
              <w:t>cm/s，生活污水处理设备一般防渗区，防渗层Mb≥1.5m，项目防渗情况见表4-</w:t>
            </w:r>
            <w:r>
              <w:rPr>
                <w:rFonts w:hint="eastAsia"/>
                <w:color w:val="000000" w:themeColor="text1"/>
                <w:highlight w:val="non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w:t>
            </w:r>
          </w:p>
          <w:p w14:paraId="15C4E9A5">
            <w:pPr>
              <w:pStyle w:val="10"/>
              <w:keepNext/>
              <w:spacing w:before="120" w:beforeLines="50"/>
              <w:rPr>
                <w:color w:val="000000" w:themeColor="text1"/>
                <w:sz w:val="24"/>
                <w:szCs w:val="22"/>
                <w:highlight w:val="none"/>
                <w14:textFill>
                  <w14:solidFill>
                    <w14:schemeClr w14:val="tx1"/>
                  </w14:solidFill>
                </w14:textFill>
              </w:rPr>
            </w:pPr>
            <w:r>
              <w:rPr>
                <w:rFonts w:hint="eastAsia"/>
                <w:color w:val="000000" w:themeColor="text1"/>
                <w:sz w:val="24"/>
                <w:szCs w:val="22"/>
                <w:highlight w:val="none"/>
                <w14:textFill>
                  <w14:solidFill>
                    <w14:schemeClr w14:val="tx1"/>
                  </w14:solidFill>
                </w14:textFill>
              </w:rPr>
              <w:t>表4-</w:t>
            </w:r>
            <w:r>
              <w:rPr>
                <w:rFonts w:hint="eastAsia"/>
                <w:color w:val="000000" w:themeColor="text1"/>
                <w:sz w:val="24"/>
                <w:szCs w:val="22"/>
                <w:highlight w:val="none"/>
                <w:lang w:val="en-US" w:eastAsia="zh-CN"/>
                <w14:textFill>
                  <w14:solidFill>
                    <w14:schemeClr w14:val="tx1"/>
                  </w14:solidFill>
                </w14:textFill>
              </w:rPr>
              <w:t>10</w:t>
            </w:r>
            <w:r>
              <w:rPr>
                <w:rFonts w:hint="eastAsia"/>
                <w:color w:val="000000" w:themeColor="text1"/>
                <w:sz w:val="24"/>
                <w:szCs w:val="22"/>
                <w:highlight w:val="none"/>
                <w14:textFill>
                  <w14:solidFill>
                    <w14:schemeClr w14:val="tx1"/>
                  </w14:solidFill>
                </w14:textFill>
              </w:rPr>
              <w:t xml:space="preserve">  项目分区防渗情况表</w:t>
            </w:r>
          </w:p>
          <w:tbl>
            <w:tblPr>
              <w:tblStyle w:val="33"/>
              <w:tblW w:w="8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095"/>
              <w:gridCol w:w="1095"/>
              <w:gridCol w:w="930"/>
              <w:gridCol w:w="1081"/>
              <w:gridCol w:w="1339"/>
              <w:gridCol w:w="1699"/>
            </w:tblGrid>
            <w:tr w14:paraId="2EBF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94" w:type="dxa"/>
                  <w:gridSpan w:val="2"/>
                  <w:vAlign w:val="center"/>
                </w:tcPr>
                <w:p w14:paraId="711C29BF">
                  <w:pPr>
                    <w:pStyle w:val="30"/>
                    <w:adjustRightInd w:val="0"/>
                    <w:spacing w:before="0" w:after="0" w:line="240" w:lineRule="auto"/>
                    <w:ind w:left="-105" w:leftChars="-50" w:right="-105" w:rightChars="-50"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防渗分区</w:t>
                  </w:r>
                </w:p>
              </w:tc>
              <w:tc>
                <w:tcPr>
                  <w:tcW w:w="1095" w:type="dxa"/>
                  <w:vAlign w:val="center"/>
                </w:tcPr>
                <w:p w14:paraId="76F57670">
                  <w:pPr>
                    <w:pStyle w:val="30"/>
                    <w:adjustRightInd w:val="0"/>
                    <w:spacing w:before="0" w:after="0" w:line="240" w:lineRule="auto"/>
                    <w:ind w:left="-105" w:leftChars="-50" w:right="-105" w:rightChars="-50"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天然包气带防污性能</w:t>
                  </w:r>
                </w:p>
              </w:tc>
              <w:tc>
                <w:tcPr>
                  <w:tcW w:w="930" w:type="dxa"/>
                  <w:vAlign w:val="center"/>
                </w:tcPr>
                <w:p w14:paraId="2FAEF08F">
                  <w:pPr>
                    <w:pStyle w:val="30"/>
                    <w:adjustRightInd w:val="0"/>
                    <w:spacing w:before="0" w:after="0" w:line="240" w:lineRule="auto"/>
                    <w:ind w:left="-105" w:leftChars="-50" w:right="-105" w:rightChars="-50"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污染控制难易程度</w:t>
                  </w:r>
                </w:p>
              </w:tc>
              <w:tc>
                <w:tcPr>
                  <w:tcW w:w="1081" w:type="dxa"/>
                  <w:vAlign w:val="center"/>
                </w:tcPr>
                <w:p w14:paraId="047CF3A8">
                  <w:pPr>
                    <w:pStyle w:val="30"/>
                    <w:adjustRightInd w:val="0"/>
                    <w:spacing w:before="0" w:after="0" w:line="240" w:lineRule="auto"/>
                    <w:ind w:left="-105" w:leftChars="-50" w:right="-105" w:rightChars="-50"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污染物类型</w:t>
                  </w:r>
                </w:p>
              </w:tc>
              <w:tc>
                <w:tcPr>
                  <w:tcW w:w="1339" w:type="dxa"/>
                  <w:vAlign w:val="center"/>
                </w:tcPr>
                <w:p w14:paraId="50FB3AA4">
                  <w:pPr>
                    <w:pStyle w:val="30"/>
                    <w:adjustRightInd w:val="0"/>
                    <w:spacing w:before="0" w:after="0" w:line="240" w:lineRule="auto"/>
                    <w:ind w:left="-105" w:leftChars="-50" w:right="-105" w:rightChars="-50"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防渗技术要求</w:t>
                  </w:r>
                </w:p>
              </w:tc>
              <w:tc>
                <w:tcPr>
                  <w:tcW w:w="1699" w:type="dxa"/>
                  <w:vAlign w:val="center"/>
                </w:tcPr>
                <w:p w14:paraId="33DD8FEC">
                  <w:pPr>
                    <w:pStyle w:val="30"/>
                    <w:adjustRightInd w:val="0"/>
                    <w:spacing w:before="0" w:after="0" w:line="240" w:lineRule="auto"/>
                    <w:ind w:left="-105" w:leftChars="-50" w:right="-105" w:rightChars="-50"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采取的防渗措施</w:t>
                  </w:r>
                </w:p>
              </w:tc>
            </w:tr>
            <w:tr w14:paraId="6122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99" w:type="dxa"/>
                  <w:vAlign w:val="center"/>
                </w:tcPr>
                <w:p w14:paraId="35163769">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重点防渗区</w:t>
                  </w:r>
                </w:p>
              </w:tc>
              <w:tc>
                <w:tcPr>
                  <w:tcW w:w="1095" w:type="dxa"/>
                  <w:vAlign w:val="center"/>
                </w:tcPr>
                <w:p w14:paraId="7B01A324">
                  <w:pPr>
                    <w:pStyle w:val="30"/>
                    <w:adjustRightInd w:val="0"/>
                    <w:spacing w:before="0" w:after="0" w:line="240" w:lineRule="auto"/>
                    <w:ind w:right="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事故油池、储油坑、排油管、危废舱</w:t>
                  </w:r>
                </w:p>
              </w:tc>
              <w:tc>
                <w:tcPr>
                  <w:tcW w:w="1095" w:type="dxa"/>
                  <w:vMerge w:val="restart"/>
                  <w:vAlign w:val="center"/>
                </w:tcPr>
                <w:p w14:paraId="58AFB9EF">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中</w:t>
                  </w:r>
                </w:p>
              </w:tc>
              <w:tc>
                <w:tcPr>
                  <w:tcW w:w="930" w:type="dxa"/>
                  <w:vMerge w:val="restart"/>
                  <w:vAlign w:val="center"/>
                </w:tcPr>
                <w:p w14:paraId="3D57D01E">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易</w:t>
                  </w:r>
                </w:p>
              </w:tc>
              <w:tc>
                <w:tcPr>
                  <w:tcW w:w="1081" w:type="dxa"/>
                  <w:vMerge w:val="restart"/>
                  <w:vAlign w:val="center"/>
                </w:tcPr>
                <w:p w14:paraId="2ADCEC65">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其他类型</w:t>
                  </w:r>
                </w:p>
              </w:tc>
              <w:tc>
                <w:tcPr>
                  <w:tcW w:w="1339" w:type="dxa"/>
                  <w:vAlign w:val="center"/>
                </w:tcPr>
                <w:p w14:paraId="474BBA40">
                  <w:pPr>
                    <w:pStyle w:val="30"/>
                    <w:adjustRightInd w:val="0"/>
                    <w:spacing w:before="0" w:after="0" w:line="240" w:lineRule="auto"/>
                    <w:ind w:right="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等效黏土防渗层Mb≥6.0m，K≤1.0×10</w:t>
                  </w:r>
                  <w:r>
                    <w:rPr>
                      <w:rFonts w:hint="eastAsia"/>
                      <w:color w:val="000000" w:themeColor="text1"/>
                      <w:sz w:val="21"/>
                      <w:szCs w:val="21"/>
                      <w:highlight w:val="none"/>
                      <w:vertAlign w:val="superscript"/>
                      <w14:textFill>
                        <w14:solidFill>
                          <w14:schemeClr w14:val="tx1"/>
                        </w14:solidFill>
                      </w14:textFill>
                    </w:rPr>
                    <w:t>-7</w:t>
                  </w:r>
                  <w:r>
                    <w:rPr>
                      <w:rFonts w:hint="eastAsia"/>
                      <w:color w:val="000000" w:themeColor="text1"/>
                      <w:sz w:val="21"/>
                      <w:szCs w:val="21"/>
                      <w:highlight w:val="none"/>
                      <w14:textFill>
                        <w14:solidFill>
                          <w14:schemeClr w14:val="tx1"/>
                        </w14:solidFill>
                      </w14:textFill>
                    </w:rPr>
                    <w:t>cm/s</w:t>
                  </w:r>
                </w:p>
              </w:tc>
              <w:tc>
                <w:tcPr>
                  <w:tcW w:w="1699" w:type="dxa"/>
                  <w:vAlign w:val="center"/>
                </w:tcPr>
                <w:p w14:paraId="4F62A5E3">
                  <w:pPr>
                    <w:pStyle w:val="30"/>
                    <w:adjustRightInd w:val="0"/>
                    <w:spacing w:before="0" w:after="0" w:line="240" w:lineRule="auto"/>
                    <w:ind w:right="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防渗混凝土抹平，涂刷水泥基渗透结晶型防水涂料</w:t>
                  </w:r>
                </w:p>
              </w:tc>
            </w:tr>
            <w:tr w14:paraId="6494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99" w:type="dxa"/>
                  <w:vAlign w:val="center"/>
                </w:tcPr>
                <w:p w14:paraId="549F8993">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一般防渗区</w:t>
                  </w:r>
                </w:p>
              </w:tc>
              <w:tc>
                <w:tcPr>
                  <w:tcW w:w="1095" w:type="dxa"/>
                  <w:vAlign w:val="center"/>
                </w:tcPr>
                <w:p w14:paraId="153CFF7C">
                  <w:pPr>
                    <w:pStyle w:val="30"/>
                    <w:adjustRightInd w:val="0"/>
                    <w:spacing w:before="0" w:after="0" w:line="240" w:lineRule="auto"/>
                    <w:ind w:right="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生活污水处理设备</w:t>
                  </w:r>
                </w:p>
              </w:tc>
              <w:tc>
                <w:tcPr>
                  <w:tcW w:w="1095" w:type="dxa"/>
                  <w:vMerge w:val="continue"/>
                  <w:vAlign w:val="center"/>
                </w:tcPr>
                <w:p w14:paraId="62F71A49">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p>
              </w:tc>
              <w:tc>
                <w:tcPr>
                  <w:tcW w:w="930" w:type="dxa"/>
                  <w:vMerge w:val="continue"/>
                  <w:vAlign w:val="center"/>
                </w:tcPr>
                <w:p w14:paraId="043BBC12">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p>
              </w:tc>
              <w:tc>
                <w:tcPr>
                  <w:tcW w:w="1081" w:type="dxa"/>
                  <w:vMerge w:val="continue"/>
                  <w:vAlign w:val="center"/>
                </w:tcPr>
                <w:p w14:paraId="3B03F514">
                  <w:pPr>
                    <w:pStyle w:val="30"/>
                    <w:adjustRightInd w:val="0"/>
                    <w:spacing w:before="0" w:after="0" w:line="240" w:lineRule="auto"/>
                    <w:ind w:left="-105" w:leftChars="-50" w:right="-105" w:rightChars="-50" w:firstLine="0" w:firstLineChars="0"/>
                    <w:jc w:val="center"/>
                    <w:rPr>
                      <w:color w:val="000000" w:themeColor="text1"/>
                      <w:sz w:val="21"/>
                      <w:szCs w:val="21"/>
                      <w:highlight w:val="none"/>
                      <w14:textFill>
                        <w14:solidFill>
                          <w14:schemeClr w14:val="tx1"/>
                        </w14:solidFill>
                      </w14:textFill>
                    </w:rPr>
                  </w:pPr>
                </w:p>
              </w:tc>
              <w:tc>
                <w:tcPr>
                  <w:tcW w:w="1339" w:type="dxa"/>
                  <w:vAlign w:val="center"/>
                </w:tcPr>
                <w:p w14:paraId="0112949A">
                  <w:pPr>
                    <w:pStyle w:val="30"/>
                    <w:adjustRightInd w:val="0"/>
                    <w:spacing w:before="0" w:after="0" w:line="240" w:lineRule="auto"/>
                    <w:ind w:right="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防渗层Mb≥1.5m</w:t>
                  </w:r>
                </w:p>
              </w:tc>
              <w:tc>
                <w:tcPr>
                  <w:tcW w:w="1699" w:type="dxa"/>
                  <w:vAlign w:val="center"/>
                </w:tcPr>
                <w:p w14:paraId="4F4C1ADF">
                  <w:pPr>
                    <w:pStyle w:val="30"/>
                    <w:adjustRightInd w:val="0"/>
                    <w:spacing w:before="0" w:after="0" w:line="240" w:lineRule="auto"/>
                    <w:ind w:right="0"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防渗混凝土抹平</w:t>
                  </w:r>
                </w:p>
              </w:tc>
            </w:tr>
          </w:tbl>
          <w:p w14:paraId="70B54D71">
            <w:pPr>
              <w:pStyle w:val="64"/>
              <w:spacing w:before="120" w:beforeLines="50"/>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6、运营期固体废物影响分析</w:t>
            </w:r>
          </w:p>
          <w:p w14:paraId="7710DF75">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本项目升压站运营期固废主要有生活垃圾和废蓄电池、废变压器油和废油桶、含油抹布</w:t>
            </w:r>
            <w:r>
              <w:rPr>
                <w:color w:val="000000" w:themeColor="text1"/>
                <w:sz w:val="24"/>
                <w:highlight w:val="none"/>
                <w14:textFill>
                  <w14:solidFill>
                    <w14:schemeClr w14:val="tx1"/>
                  </w14:solidFill>
                </w14:textFill>
              </w:rPr>
              <w:t>。</w:t>
            </w:r>
          </w:p>
          <w:p w14:paraId="34CEB958">
            <w:pPr>
              <w:pStyle w:val="82"/>
              <w:ind w:firstLine="480"/>
              <w:jc w:val="both"/>
              <w:rPr>
                <w:rFonts w:cs="Times New Roman"/>
                <w:color w:val="000000" w:themeColor="text1"/>
                <w:highlight w:val="none"/>
                <w14:textFill>
                  <w14:solidFill>
                    <w14:schemeClr w14:val="tx1"/>
                  </w14:solidFill>
                </w14:textFill>
              </w:rPr>
            </w:pPr>
            <w:r>
              <w:rPr>
                <w:rFonts w:hint="eastAsia" w:cs="Times New Roman"/>
                <w:color w:val="000000" w:themeColor="text1"/>
                <w:highlight w:val="none"/>
                <w14:textFill>
                  <w14:solidFill>
                    <w14:schemeClr w14:val="tx1"/>
                  </w14:solidFill>
                </w14:textFill>
              </w:rPr>
              <w:t>（1）生活垃圾</w:t>
            </w:r>
          </w:p>
          <w:p w14:paraId="266115F1">
            <w:pPr>
              <w:pStyle w:val="82"/>
              <w:ind w:firstLine="480"/>
              <w:jc w:val="both"/>
              <w:rPr>
                <w:rFonts w:cs="Times New Roman"/>
                <w:color w:val="000000" w:themeColor="text1"/>
                <w:highlight w:val="none"/>
                <w14:textFill>
                  <w14:solidFill>
                    <w14:schemeClr w14:val="tx1"/>
                  </w14:solidFill>
                </w14:textFill>
              </w:rPr>
            </w:pPr>
            <w:r>
              <w:rPr>
                <w:rFonts w:cs="Times New Roman"/>
                <w:color w:val="000000" w:themeColor="text1"/>
                <w:highlight w:val="none"/>
                <w:lang w:val="zh-CN"/>
                <w14:textFill>
                  <w14:solidFill>
                    <w14:schemeClr w14:val="tx1"/>
                  </w14:solidFill>
                </w14:textFill>
              </w:rPr>
              <w:t>升压站</w:t>
            </w:r>
            <w:r>
              <w:rPr>
                <w:rFonts w:cs="Times New Roman"/>
                <w:color w:val="000000" w:themeColor="text1"/>
                <w:highlight w:val="none"/>
                <w14:textFill>
                  <w14:solidFill>
                    <w14:schemeClr w14:val="tx1"/>
                  </w14:solidFill>
                </w14:textFill>
              </w:rPr>
              <w:t>运营期工作人员为</w:t>
            </w:r>
            <w:r>
              <w:rPr>
                <w:rFonts w:hint="eastAsia" w:cs="Times New Roman"/>
                <w:color w:val="000000" w:themeColor="text1"/>
                <w:highlight w:val="none"/>
                <w:lang w:val="en-US" w:eastAsia="zh-CN"/>
                <w14:textFill>
                  <w14:solidFill>
                    <w14:schemeClr w14:val="tx1"/>
                  </w14:solidFill>
                </w14:textFill>
              </w:rPr>
              <w:t>8</w:t>
            </w:r>
            <w:r>
              <w:rPr>
                <w:rFonts w:cs="Times New Roman"/>
                <w:color w:val="000000" w:themeColor="text1"/>
                <w:highlight w:val="none"/>
                <w14:textFill>
                  <w14:solidFill>
                    <w14:schemeClr w14:val="tx1"/>
                  </w14:solidFill>
                </w14:textFill>
              </w:rPr>
              <w:t>人，每人每天按0.5kg</w:t>
            </w:r>
            <w:r>
              <w:rPr>
                <w:rFonts w:hint="eastAsia" w:cs="Times New Roman"/>
                <w:color w:val="000000" w:themeColor="text1"/>
                <w:highlight w:val="none"/>
                <w:lang w:eastAsia="zh-CN"/>
                <w14:textFill>
                  <w14:solidFill>
                    <w14:schemeClr w14:val="tx1"/>
                  </w14:solidFill>
                </w14:textFill>
              </w:rPr>
              <w:t>计算</w:t>
            </w:r>
            <w:r>
              <w:rPr>
                <w:rFonts w:cs="Times New Roman"/>
                <w:color w:val="000000" w:themeColor="text1"/>
                <w:highlight w:val="none"/>
                <w14:textFill>
                  <w14:solidFill>
                    <w14:schemeClr w14:val="tx1"/>
                  </w14:solidFill>
                </w14:textFill>
              </w:rPr>
              <w:t>，产生的生活垃圾约为</w:t>
            </w:r>
            <w:r>
              <w:rPr>
                <w:rFonts w:hint="eastAsia" w:cs="Times New Roman"/>
                <w:color w:val="000000" w:themeColor="text1"/>
                <w:highlight w:val="none"/>
                <w:lang w:val="en-US" w:eastAsia="zh-CN"/>
                <w14:textFill>
                  <w14:solidFill>
                    <w14:schemeClr w14:val="tx1"/>
                  </w14:solidFill>
                </w14:textFill>
              </w:rPr>
              <w:t>1.46</w:t>
            </w:r>
            <w:r>
              <w:rPr>
                <w:rFonts w:hint="eastAsia" w:cs="Times New Roman"/>
                <w:color w:val="000000" w:themeColor="text1"/>
                <w:highlight w:val="none"/>
                <w14:textFill>
                  <w14:solidFill>
                    <w14:schemeClr w14:val="tx1"/>
                  </w14:solidFill>
                </w14:textFill>
              </w:rPr>
              <w:t>t</w:t>
            </w:r>
            <w:r>
              <w:rPr>
                <w:rFonts w:cs="Times New Roman"/>
                <w:color w:val="000000" w:themeColor="text1"/>
                <w:highlight w:val="none"/>
                <w14:textFill>
                  <w14:solidFill>
                    <w14:schemeClr w14:val="tx1"/>
                  </w14:solidFill>
                </w14:textFill>
              </w:rPr>
              <w:t>/a，由</w:t>
            </w:r>
            <w:r>
              <w:rPr>
                <w:rFonts w:hint="eastAsia" w:cs="Times New Roman"/>
                <w:color w:val="000000" w:themeColor="text1"/>
                <w:highlight w:val="none"/>
                <w14:textFill>
                  <w14:solidFill>
                    <w14:schemeClr w14:val="tx1"/>
                  </w14:solidFill>
                </w14:textFill>
              </w:rPr>
              <w:t>站</w:t>
            </w:r>
            <w:r>
              <w:rPr>
                <w:rFonts w:cs="Times New Roman"/>
                <w:color w:val="000000" w:themeColor="text1"/>
                <w:highlight w:val="none"/>
                <w14:textFill>
                  <w14:solidFill>
                    <w14:schemeClr w14:val="tx1"/>
                  </w14:solidFill>
                </w14:textFill>
              </w:rPr>
              <w:t>内</w:t>
            </w:r>
            <w:r>
              <w:rPr>
                <w:rFonts w:hint="eastAsia" w:cs="Times New Roman"/>
                <w:color w:val="000000" w:themeColor="text1"/>
                <w:highlight w:val="none"/>
                <w14:textFill>
                  <w14:solidFill>
                    <w14:schemeClr w14:val="tx1"/>
                  </w14:solidFill>
                </w14:textFill>
              </w:rPr>
              <w:t>垃圾桶</w:t>
            </w:r>
            <w:r>
              <w:rPr>
                <w:rFonts w:cs="Times New Roman"/>
                <w:color w:val="000000" w:themeColor="text1"/>
                <w:highlight w:val="none"/>
                <w14:textFill>
                  <w14:solidFill>
                    <w14:schemeClr w14:val="tx1"/>
                  </w14:solidFill>
                </w14:textFill>
              </w:rPr>
              <w:t>统一收集，</w:t>
            </w:r>
            <w:r>
              <w:rPr>
                <w:rFonts w:hint="eastAsia" w:cs="Times New Roman"/>
                <w:color w:val="000000" w:themeColor="text1"/>
                <w:highlight w:val="none"/>
                <w14:textFill>
                  <w14:solidFill>
                    <w14:schemeClr w14:val="tx1"/>
                  </w14:solidFill>
                </w14:textFill>
              </w:rPr>
              <w:t>委托当地环卫部门</w:t>
            </w:r>
            <w:r>
              <w:rPr>
                <w:rFonts w:cs="Times New Roman"/>
                <w:color w:val="000000" w:themeColor="text1"/>
                <w:highlight w:val="none"/>
                <w14:textFill>
                  <w14:solidFill>
                    <w14:schemeClr w14:val="tx1"/>
                  </w14:solidFill>
                </w14:textFill>
              </w:rPr>
              <w:t>处理。</w:t>
            </w:r>
          </w:p>
          <w:p w14:paraId="10DD2CB7">
            <w:pPr>
              <w:pStyle w:val="82"/>
              <w:ind w:firstLine="480"/>
              <w:jc w:val="both"/>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2</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一般固体废物</w:t>
            </w:r>
          </w:p>
          <w:p w14:paraId="4F3D7E51">
            <w:pPr>
              <w:pStyle w:val="82"/>
              <w:ind w:firstLine="480"/>
              <w:jc w:val="both"/>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①</w:t>
            </w:r>
            <w:r>
              <w:rPr>
                <w:rFonts w:hint="eastAsia" w:ascii="Times New Roman" w:hAnsi="Times New Roman" w:cs="Times New Roman"/>
                <w:color w:val="000000" w:themeColor="text1"/>
                <w:highlight w:val="none"/>
                <w:lang w:val="en-US" w:eastAsia="zh-CN"/>
                <w14:textFill>
                  <w14:solidFill>
                    <w14:schemeClr w14:val="tx1"/>
                  </w14:solidFill>
                </w14:textFill>
              </w:rPr>
              <w:t>废</w:t>
            </w:r>
            <w:r>
              <w:rPr>
                <w:rFonts w:hint="eastAsia"/>
                <w:color w:val="000000" w:themeColor="text1"/>
                <w:kern w:val="0"/>
                <w:sz w:val="24"/>
                <w:highlight w:val="none"/>
                <w:lang w:val="en-US" w:eastAsia="zh-CN"/>
                <w14:textFill>
                  <w14:solidFill>
                    <w14:schemeClr w14:val="tx1"/>
                  </w14:solidFill>
                </w14:textFill>
              </w:rPr>
              <w:t>磷酸铁锂电池</w:t>
            </w:r>
          </w:p>
          <w:p w14:paraId="24A83CCB">
            <w:pPr>
              <w:pStyle w:val="82"/>
              <w:ind w:firstLine="480"/>
              <w:jc w:val="both"/>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项目建设储能站为</w:t>
            </w:r>
            <w:r>
              <w:rPr>
                <w:rFonts w:hint="eastAsia"/>
                <w:color w:val="000000" w:themeColor="text1"/>
                <w:kern w:val="0"/>
                <w:sz w:val="24"/>
                <w:highlight w:val="none"/>
                <w:lang w:val="en-US" w:eastAsia="zh-CN"/>
                <w14:textFill>
                  <w14:solidFill>
                    <w14:schemeClr w14:val="tx1"/>
                  </w14:solidFill>
                </w14:textFill>
              </w:rPr>
              <w:t>磷酸铁锂形式的独立储能电站，一般磷酸铁锂电池寿命为8-12年，</w:t>
            </w:r>
            <w:r>
              <w:rPr>
                <w:rFonts w:hint="eastAsia" w:cs="Times New Roman"/>
                <w:color w:val="000000" w:themeColor="text1"/>
                <w:highlight w:val="none"/>
                <w14:textFill>
                  <w14:solidFill>
                    <w14:schemeClr w14:val="tx1"/>
                  </w14:solidFill>
                </w14:textFill>
              </w:rPr>
              <w:t>项目</w:t>
            </w:r>
            <w:r>
              <w:rPr>
                <w:rFonts w:hint="eastAsia"/>
                <w:color w:val="000000" w:themeColor="text1"/>
                <w:kern w:val="0"/>
                <w:sz w:val="24"/>
                <w:highlight w:val="none"/>
                <w:lang w:val="en-US" w:eastAsia="zh-CN"/>
                <w14:textFill>
                  <w14:solidFill>
                    <w14:schemeClr w14:val="tx1"/>
                  </w14:solidFill>
                </w14:textFill>
              </w:rPr>
              <w:t>磷酸铁锂电池</w:t>
            </w:r>
            <w:r>
              <w:rPr>
                <w:rFonts w:hint="eastAsia" w:cs="Times New Roman"/>
                <w:color w:val="000000" w:themeColor="text1"/>
                <w:highlight w:val="none"/>
                <w14:textFill>
                  <w14:solidFill>
                    <w14:schemeClr w14:val="tx1"/>
                  </w14:solidFill>
                </w14:textFill>
              </w:rPr>
              <w:t>的更换周</w:t>
            </w:r>
            <w:r>
              <w:rPr>
                <w:rFonts w:hint="eastAsia" w:cs="Times New Roman"/>
                <w:color w:val="000000" w:themeColor="text1"/>
                <w:highlight w:val="none"/>
                <w:lang w:eastAsia="zh-CN"/>
                <w14:textFill>
                  <w14:solidFill>
                    <w14:schemeClr w14:val="tx1"/>
                  </w14:solidFill>
                </w14:textFill>
              </w:rPr>
              <w:t>期为</w:t>
            </w:r>
            <w:r>
              <w:rPr>
                <w:rFonts w:hint="eastAsia" w:cs="Times New Roman"/>
                <w:color w:val="000000" w:themeColor="text1"/>
                <w:highlight w:val="none"/>
                <w:lang w:val="en-US" w:eastAsia="zh-CN"/>
                <w14:textFill>
                  <w14:solidFill>
                    <w14:schemeClr w14:val="tx1"/>
                  </w14:solidFill>
                </w14:textFill>
              </w:rPr>
              <w:t>10年</w:t>
            </w:r>
            <w:r>
              <w:rPr>
                <w:rFonts w:hint="eastAsia" w:cs="Times New Roman"/>
                <w:color w:val="000000" w:themeColor="text1"/>
                <w:highlight w:val="none"/>
                <w14:textFill>
                  <w14:solidFill>
                    <w14:schemeClr w14:val="tx1"/>
                  </w14:solidFill>
                </w14:textFill>
              </w:rPr>
              <w:t>一次</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一次更换</w:t>
            </w:r>
            <w:r>
              <w:rPr>
                <w:rFonts w:hint="eastAsia" w:cs="Times New Roman"/>
                <w:color w:val="000000" w:themeColor="text1"/>
                <w:highlight w:val="none"/>
                <w:lang w:eastAsia="zh-CN"/>
                <w14:textFill>
                  <w14:solidFill>
                    <w14:schemeClr w14:val="tx1"/>
                  </w14:solidFill>
                </w14:textFill>
              </w:rPr>
              <w:t>产生</w:t>
            </w:r>
            <w:r>
              <w:rPr>
                <w:rFonts w:hint="eastAsia" w:cs="Times New Roman"/>
                <w:color w:val="000000" w:themeColor="text1"/>
                <w:highlight w:val="none"/>
                <w:lang w:val="en-US" w:eastAsia="zh-CN"/>
                <w14:textFill>
                  <w14:solidFill>
                    <w14:schemeClr w14:val="tx1"/>
                  </w14:solidFill>
                </w14:textFill>
              </w:rPr>
              <w:t>废</w:t>
            </w:r>
            <w:r>
              <w:rPr>
                <w:rFonts w:hint="eastAsia"/>
                <w:color w:val="000000" w:themeColor="text1"/>
                <w:kern w:val="0"/>
                <w:sz w:val="24"/>
                <w:highlight w:val="none"/>
                <w:lang w:val="en-US" w:eastAsia="zh-CN"/>
                <w14:textFill>
                  <w14:solidFill>
                    <w14:schemeClr w14:val="tx1"/>
                  </w14:solidFill>
                </w14:textFill>
              </w:rPr>
              <w:t>磷酸铁锂电池</w:t>
            </w:r>
            <w:r>
              <w:rPr>
                <w:rFonts w:hint="eastAsia" w:cs="Times New Roman"/>
                <w:color w:val="000000" w:themeColor="text1"/>
                <w:highlight w:val="none"/>
                <w:lang w:eastAsia="zh-CN"/>
                <w14:textFill>
                  <w14:solidFill>
                    <w14:schemeClr w14:val="tx1"/>
                  </w14:solidFill>
                </w14:textFill>
              </w:rPr>
              <w:t>量约为</w:t>
            </w:r>
            <w:r>
              <w:rPr>
                <w:rFonts w:hint="eastAsia" w:cs="Times New Roman"/>
                <w:color w:val="000000" w:themeColor="text1"/>
                <w:highlight w:val="none"/>
                <w:lang w:val="en-US" w:eastAsia="zh-CN"/>
                <w14:textFill>
                  <w14:solidFill>
                    <w14:schemeClr w14:val="tx1"/>
                  </w14:solidFill>
                </w14:textFill>
              </w:rPr>
              <w:t>3000t</w:t>
            </w:r>
            <w:r>
              <w:rPr>
                <w:rFonts w:hint="eastAsia" w:cs="Times New Roman"/>
                <w:color w:val="000000" w:themeColor="text1"/>
                <w:highlight w:val="none"/>
                <w:lang w:eastAsia="zh-CN"/>
                <w14:textFill>
                  <w14:solidFill>
                    <w14:schemeClr w14:val="tx1"/>
                  </w14:solidFill>
                </w14:textFill>
              </w:rPr>
              <w:t>，</w:t>
            </w:r>
            <w:r>
              <w:rPr>
                <w:rFonts w:hint="eastAsia"/>
                <w:color w:val="000000" w:themeColor="text1"/>
                <w:kern w:val="0"/>
                <w:sz w:val="24"/>
                <w:highlight w:val="none"/>
                <w:lang w:val="en-US" w:eastAsia="zh-CN"/>
                <w14:textFill>
                  <w14:solidFill>
                    <w14:schemeClr w14:val="tx1"/>
                  </w14:solidFill>
                </w14:textFill>
              </w:rPr>
              <w:t>更换产生的废磷酸铁锂电池属于一般工业固体废物，归类为SW17可再生类废物，废物代码为900-012-S17，电池更换后外售资源回收公司。</w:t>
            </w:r>
          </w:p>
          <w:p w14:paraId="022CBD8E">
            <w:pPr>
              <w:pStyle w:val="82"/>
              <w:ind w:firstLine="480"/>
              <w:jc w:val="both"/>
              <w:rPr>
                <w:rFonts w:hint="default" w:ascii="Times New Roman" w:hAnsi="Times New Roman" w:cs="Times New Roman"/>
                <w:color w:val="0000FF"/>
                <w:highlight w:val="none"/>
                <w:lang w:val="en-US" w:eastAsia="zh-CN"/>
              </w:rPr>
            </w:pPr>
            <w:r>
              <w:rPr>
                <w:rFonts w:hint="default" w:ascii="Times New Roman" w:hAnsi="Times New Roman" w:cs="Times New Roman"/>
                <w:color w:val="0000FF"/>
                <w:highlight w:val="none"/>
                <w:lang w:val="en-US" w:eastAsia="zh-CN"/>
              </w:rPr>
              <w:t>②生活污水处理设施</w:t>
            </w:r>
            <w:r>
              <w:rPr>
                <w:rFonts w:hint="eastAsia" w:ascii="Times New Roman" w:hAnsi="Times New Roman" w:cs="Times New Roman"/>
                <w:color w:val="0000FF"/>
                <w:highlight w:val="none"/>
                <w:lang w:val="en-US" w:eastAsia="zh-CN"/>
              </w:rPr>
              <w:t>污泥</w:t>
            </w:r>
          </w:p>
          <w:p w14:paraId="064B93A2">
            <w:pPr>
              <w:pStyle w:val="82"/>
              <w:ind w:firstLine="480"/>
              <w:jc w:val="both"/>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项目建设一座一体化污水处理设施处理生活污水，生活污水处理设施污泥产生量1t/a，属于一般固废，</w:t>
            </w:r>
            <w:r>
              <w:rPr>
                <w:rFonts w:hint="eastAsia" w:cs="Times New Roman"/>
                <w:color w:val="0000FF"/>
                <w:highlight w:val="none"/>
                <w:lang w:val="en-US" w:eastAsia="zh-CN"/>
              </w:rPr>
              <w:t>满足</w:t>
            </w:r>
            <w:r>
              <w:rPr>
                <w:rFonts w:ascii="Segoe UI Emoji" w:hAnsi="Segoe UI Emoji" w:eastAsia="Segoe UI Emoji" w:cs="Segoe UI Emoji"/>
                <w:i w:val="0"/>
                <w:iCs w:val="0"/>
                <w:caps w:val="0"/>
                <w:color w:val="0000FF"/>
                <w:spacing w:val="0"/>
                <w:sz w:val="24"/>
                <w:szCs w:val="24"/>
              </w:rPr>
              <w:t>《生活垃圾填埋场污染控制标准》</w:t>
            </w:r>
            <w:r>
              <w:rPr>
                <w:rFonts w:hint="default" w:ascii="Times New Roman" w:hAnsi="Times New Roman" w:eastAsia="宋体" w:cs="Times New Roman"/>
                <w:i w:val="0"/>
                <w:iCs w:val="0"/>
                <w:caps w:val="0"/>
                <w:color w:val="0000FF"/>
                <w:spacing w:val="0"/>
                <w:sz w:val="24"/>
                <w:szCs w:val="24"/>
                <w:lang w:eastAsia="zh-CN"/>
              </w:rPr>
              <w:t>（GB 16889</w:t>
            </w:r>
            <w:r>
              <w:rPr>
                <w:rFonts w:hint="eastAsia" w:ascii="Times New Roman" w:hAnsi="Times New Roman" w:eastAsia="宋体" w:cs="Times New Roman"/>
                <w:i w:val="0"/>
                <w:iCs w:val="0"/>
                <w:caps w:val="0"/>
                <w:color w:val="0000FF"/>
                <w:spacing w:val="0"/>
                <w:sz w:val="24"/>
                <w:szCs w:val="24"/>
                <w:lang w:val="en-US" w:eastAsia="zh-CN"/>
              </w:rPr>
              <w:t>-</w:t>
            </w:r>
            <w:r>
              <w:rPr>
                <w:rFonts w:hint="default" w:ascii="Times New Roman" w:hAnsi="Times New Roman" w:eastAsia="宋体" w:cs="Times New Roman"/>
                <w:i w:val="0"/>
                <w:iCs w:val="0"/>
                <w:caps w:val="0"/>
                <w:color w:val="0000FF"/>
                <w:spacing w:val="0"/>
                <w:sz w:val="24"/>
                <w:szCs w:val="24"/>
                <w:lang w:eastAsia="zh-CN"/>
              </w:rPr>
              <w:t>2024）</w:t>
            </w:r>
            <w:r>
              <w:rPr>
                <w:rFonts w:hint="eastAsia" w:ascii="Times New Roman" w:hAnsi="Times New Roman" w:cs="Times New Roman"/>
                <w:color w:val="0000FF"/>
                <w:highlight w:val="none"/>
                <w:lang w:val="en-US" w:eastAsia="zh-CN"/>
              </w:rPr>
              <w:t>定期清运至托克逊县生活垃圾填埋场处置。</w:t>
            </w:r>
          </w:p>
          <w:p w14:paraId="214D615B">
            <w:pPr>
              <w:pStyle w:val="82"/>
              <w:ind w:firstLine="480"/>
              <w:jc w:val="both"/>
              <w:rPr>
                <w:rFonts w:cs="Times New Roman"/>
                <w:color w:val="000000" w:themeColor="text1"/>
                <w:highlight w:val="none"/>
                <w14:textFill>
                  <w14:solidFill>
                    <w14:schemeClr w14:val="tx1"/>
                  </w14:solidFill>
                </w14:textFill>
              </w:rPr>
            </w:pPr>
            <w:r>
              <w:rPr>
                <w:rFonts w:hint="eastAsia"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3</w:t>
            </w:r>
            <w:r>
              <w:rPr>
                <w:rFonts w:hint="eastAsia" w:cs="Times New Roman"/>
                <w:color w:val="000000" w:themeColor="text1"/>
                <w:highlight w:val="none"/>
                <w14:textFill>
                  <w14:solidFill>
                    <w14:schemeClr w14:val="tx1"/>
                  </w14:solidFill>
                </w14:textFill>
              </w:rPr>
              <w:t>）危险废物</w:t>
            </w:r>
          </w:p>
          <w:p w14:paraId="4DA7A7B0">
            <w:pPr>
              <w:pStyle w:val="82"/>
              <w:ind w:firstLine="480"/>
              <w:jc w:val="both"/>
              <w:rPr>
                <w:rFonts w:cs="Times New Roman"/>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①废</w:t>
            </w:r>
            <w:r>
              <w:rPr>
                <w:rFonts w:hint="eastAsia" w:cs="Times New Roman"/>
                <w:color w:val="000000" w:themeColor="text1"/>
                <w:highlight w:val="none"/>
                <w:lang w:val="en-US" w:eastAsia="zh-CN"/>
                <w14:textFill>
                  <w14:solidFill>
                    <w14:schemeClr w14:val="tx1"/>
                  </w14:solidFill>
                </w14:textFill>
              </w:rPr>
              <w:t>铅</w:t>
            </w:r>
            <w:r>
              <w:rPr>
                <w:rFonts w:cs="Times New Roman"/>
                <w:color w:val="000000" w:themeColor="text1"/>
                <w:highlight w:val="none"/>
                <w14:textFill>
                  <w14:solidFill>
                    <w14:schemeClr w14:val="tx1"/>
                  </w14:solidFill>
                </w14:textFill>
              </w:rPr>
              <w:t>蓄电池</w:t>
            </w:r>
          </w:p>
          <w:p w14:paraId="191854E4">
            <w:pPr>
              <w:pStyle w:val="82"/>
              <w:ind w:firstLine="480"/>
              <w:jc w:val="both"/>
              <w:rPr>
                <w:color w:val="000000" w:themeColor="text1"/>
                <w:highlight w:val="none"/>
                <w14:textFill>
                  <w14:solidFill>
                    <w14:schemeClr w14:val="tx1"/>
                  </w14:solidFill>
                </w14:textFill>
              </w:rPr>
            </w:pPr>
            <w:r>
              <w:rPr>
                <w:rFonts w:cs="Times New Roman"/>
                <w:color w:val="000000" w:themeColor="text1"/>
                <w:highlight w:val="none"/>
                <w14:textFill>
                  <w14:solidFill>
                    <w14:schemeClr w14:val="tx1"/>
                  </w14:solidFill>
                </w14:textFill>
              </w:rPr>
              <w:t>运营期</w:t>
            </w:r>
            <w:r>
              <w:rPr>
                <w:rFonts w:hint="eastAsia" w:cs="Times New Roman"/>
                <w:color w:val="000000" w:themeColor="text1"/>
                <w:highlight w:val="none"/>
                <w:lang w:val="en-US" w:eastAsia="zh-CN"/>
                <w14:textFill>
                  <w14:solidFill>
                    <w14:schemeClr w14:val="tx1"/>
                  </w14:solidFill>
                </w14:textFill>
              </w:rPr>
              <w:t>升压站</w:t>
            </w:r>
            <w:r>
              <w:rPr>
                <w:rFonts w:cs="Times New Roman"/>
                <w:color w:val="000000" w:themeColor="text1"/>
                <w:highlight w:val="none"/>
                <w14:textFill>
                  <w14:solidFill>
                    <w14:schemeClr w14:val="tx1"/>
                  </w14:solidFill>
                </w14:textFill>
              </w:rPr>
              <w:t>产生的废</w:t>
            </w:r>
            <w:r>
              <w:rPr>
                <w:rFonts w:hint="eastAsia" w:cs="Times New Roman"/>
                <w:color w:val="000000" w:themeColor="text1"/>
                <w:highlight w:val="none"/>
                <w:lang w:val="en-US" w:eastAsia="zh-CN"/>
                <w14:textFill>
                  <w14:solidFill>
                    <w14:schemeClr w14:val="tx1"/>
                  </w14:solidFill>
                </w14:textFill>
              </w:rPr>
              <w:t>铅</w:t>
            </w:r>
            <w:r>
              <w:rPr>
                <w:rFonts w:cs="Times New Roman"/>
                <w:color w:val="000000" w:themeColor="text1"/>
                <w:highlight w:val="none"/>
                <w14:textFill>
                  <w14:solidFill>
                    <w14:schemeClr w14:val="tx1"/>
                  </w14:solidFill>
                </w14:textFill>
              </w:rPr>
              <w:t>蓄电池，属于HW</w:t>
            </w:r>
            <w:r>
              <w:rPr>
                <w:rFonts w:hint="eastAsia" w:cs="Times New Roman"/>
                <w:color w:val="000000" w:themeColor="text1"/>
                <w:highlight w:val="none"/>
                <w14:textFill>
                  <w14:solidFill>
                    <w14:schemeClr w14:val="tx1"/>
                  </w14:solidFill>
                </w14:textFill>
              </w:rPr>
              <w:t>31</w:t>
            </w:r>
            <w:r>
              <w:rPr>
                <w:rFonts w:cs="Times New Roman"/>
                <w:color w:val="000000" w:themeColor="text1"/>
                <w:highlight w:val="none"/>
                <w14:textFill>
                  <w14:solidFill>
                    <w14:schemeClr w14:val="tx1"/>
                  </w14:solidFill>
                </w14:textFill>
              </w:rPr>
              <w:t>类危险废物，危废代码为900-0</w:t>
            </w:r>
            <w:r>
              <w:rPr>
                <w:rFonts w:hint="eastAsia" w:cs="Times New Roman"/>
                <w:color w:val="000000" w:themeColor="text1"/>
                <w:highlight w:val="none"/>
                <w14:textFill>
                  <w14:solidFill>
                    <w14:schemeClr w14:val="tx1"/>
                  </w14:solidFill>
                </w14:textFill>
              </w:rPr>
              <w:t>52</w:t>
            </w:r>
            <w:r>
              <w:rPr>
                <w:rFonts w:cs="Times New Roman"/>
                <w:color w:val="000000" w:themeColor="text1"/>
                <w:highlight w:val="none"/>
                <w14:textFill>
                  <w14:solidFill>
                    <w14:schemeClr w14:val="tx1"/>
                  </w14:solidFill>
                </w14:textFill>
              </w:rPr>
              <w:t>-</w:t>
            </w:r>
            <w:r>
              <w:rPr>
                <w:rFonts w:hint="eastAsia" w:cs="Times New Roman"/>
                <w:color w:val="000000" w:themeColor="text1"/>
                <w:highlight w:val="none"/>
                <w14:textFill>
                  <w14:solidFill>
                    <w14:schemeClr w14:val="tx1"/>
                  </w14:solidFill>
                </w14:textFill>
              </w:rPr>
              <w:t>31</w:t>
            </w:r>
            <w:r>
              <w:rPr>
                <w:rFonts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变升压站铅蓄电池的更换周期为3年一次，一次更换</w:t>
            </w:r>
            <w:r>
              <w:rPr>
                <w:rFonts w:hint="eastAsia" w:cs="Times New Roman"/>
                <w:color w:val="000000" w:themeColor="text1"/>
                <w:highlight w:val="none"/>
                <w14:textFill>
                  <w14:solidFill>
                    <w14:schemeClr w14:val="tx1"/>
                  </w14:solidFill>
                </w14:textFill>
              </w:rPr>
              <w:t>产生</w:t>
            </w:r>
            <w:r>
              <w:rPr>
                <w:rFonts w:hint="eastAsia" w:cs="Times New Roman"/>
                <w:color w:val="000000" w:themeColor="text1"/>
                <w:highlight w:val="none"/>
                <w:lang w:val="en-US" w:eastAsia="zh-CN"/>
                <w14:textFill>
                  <w14:solidFill>
                    <w14:schemeClr w14:val="tx1"/>
                  </w14:solidFill>
                </w14:textFill>
              </w:rPr>
              <w:t>废铅蓄电池</w:t>
            </w:r>
            <w:r>
              <w:rPr>
                <w:rFonts w:hint="eastAsia" w:cs="Times New Roman"/>
                <w:color w:val="000000" w:themeColor="text1"/>
                <w:highlight w:val="none"/>
                <w14:textFill>
                  <w14:solidFill>
                    <w14:schemeClr w14:val="tx1"/>
                  </w14:solidFill>
                </w14:textFill>
              </w:rPr>
              <w:t>量约为1t，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经专用容器单独</w:t>
            </w:r>
            <w:r>
              <w:rPr>
                <w:rFonts w:hint="eastAsia" w:ascii="Times New Roman" w:hAnsi="Times New Roman" w:eastAsia="宋体" w:cs="Times New Roman"/>
                <w:color w:val="000000" w:themeColor="text1"/>
                <w:sz w:val="24"/>
                <w:szCs w:val="24"/>
                <w:highlight w:val="none"/>
                <w14:textFill>
                  <w14:solidFill>
                    <w14:schemeClr w14:val="tx1"/>
                  </w14:solidFill>
                </w14:textFill>
              </w:rPr>
              <w:t>收集</w:t>
            </w:r>
            <w:r>
              <w:rPr>
                <w:rFonts w:hint="default" w:ascii="Times New Roman" w:hAnsi="Times New Roman" w:eastAsia="宋体" w:cs="Times New Roman"/>
                <w:color w:val="000000" w:themeColor="text1"/>
                <w:sz w:val="24"/>
                <w:szCs w:val="24"/>
                <w:highlight w:val="none"/>
                <w14:textFill>
                  <w14:solidFill>
                    <w14:schemeClr w14:val="tx1"/>
                  </w14:solidFill>
                </w14:textFill>
              </w:rPr>
              <w:t>暂存于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危废舱</w:t>
            </w:r>
            <w:r>
              <w:rPr>
                <w:rFonts w:hint="default" w:ascii="Times New Roman" w:hAnsi="Times New Roman" w:eastAsia="宋体" w:cs="Times New Roman"/>
                <w:color w:val="000000" w:themeColor="text1"/>
                <w:sz w:val="24"/>
                <w:szCs w:val="24"/>
                <w:highlight w:val="none"/>
                <w14:textFill>
                  <w14:solidFill>
                    <w14:schemeClr w14:val="tx1"/>
                  </w14:solidFill>
                </w14:textFill>
              </w:rPr>
              <w:t>内，及时</w:t>
            </w:r>
            <w:r>
              <w:rPr>
                <w:rFonts w:hint="eastAsia" w:cs="Times New Roman"/>
                <w:color w:val="000000" w:themeColor="text1"/>
                <w:sz w:val="24"/>
                <w:szCs w:val="24"/>
                <w:highlight w:val="none"/>
                <w:lang w:eastAsia="zh-CN"/>
                <w14:textFill>
                  <w14:solidFill>
                    <w14:schemeClr w14:val="tx1"/>
                  </w14:solidFill>
                </w14:textFill>
              </w:rPr>
              <w:t>交由</w:t>
            </w:r>
            <w:r>
              <w:rPr>
                <w:rFonts w:hint="eastAsia" w:cs="Times New Roman"/>
                <w:color w:val="000000" w:themeColor="text1"/>
                <w:sz w:val="24"/>
                <w:szCs w:val="24"/>
                <w:highlight w:val="none"/>
                <w:lang w:val="en-US" w:eastAsia="zh-CN"/>
                <w14:textFill>
                  <w14:solidFill>
                    <w14:schemeClr w14:val="tx1"/>
                  </w14:solidFill>
                </w14:textFill>
              </w:rPr>
              <w:t>有</w:t>
            </w:r>
            <w:r>
              <w:rPr>
                <w:rFonts w:hint="default" w:ascii="Times New Roman" w:hAnsi="Times New Roman" w:eastAsia="宋体" w:cs="Times New Roman"/>
                <w:color w:val="000000" w:themeColor="text1"/>
                <w:sz w:val="24"/>
                <w:szCs w:val="24"/>
                <w:highlight w:val="none"/>
                <w14:textFill>
                  <w14:solidFill>
                    <w14:schemeClr w14:val="tx1"/>
                  </w14:solidFill>
                </w14:textFill>
              </w:rPr>
              <w:t>资质单位处置</w:t>
            </w:r>
            <w:r>
              <w:rPr>
                <w:rFonts w:hint="eastAsia" w:cs="Times New Roman"/>
                <w:color w:val="000000" w:themeColor="text1"/>
                <w:highlight w:val="none"/>
                <w14:textFill>
                  <w14:solidFill>
                    <w14:schemeClr w14:val="tx1"/>
                  </w14:solidFill>
                </w14:textFill>
              </w:rPr>
              <w:t>。</w:t>
            </w:r>
          </w:p>
          <w:p w14:paraId="6E9D98FE">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②废变压器油</w:t>
            </w:r>
          </w:p>
          <w:p w14:paraId="27B4E443">
            <w:pPr>
              <w:pStyle w:val="15"/>
              <w:snapToGrid w:val="0"/>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本项目</w:t>
            </w:r>
            <w:r>
              <w:rPr>
                <w:rFonts w:hint="eastAsia" w:ascii="Times New Roman" w:hAnsi="Times New Roman" w:cs="Times New Roman"/>
                <w:color w:val="000000" w:themeColor="text1"/>
                <w:sz w:val="24"/>
                <w:szCs w:val="24"/>
                <w:highlight w:val="none"/>
                <w14:textFill>
                  <w14:solidFill>
                    <w14:schemeClr w14:val="tx1"/>
                  </w14:solidFill>
                </w14:textFill>
              </w:rPr>
              <w:t>建设规模</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14:textFill>
                  <w14:solidFill>
                    <w14:schemeClr w14:val="tx1"/>
                  </w14:solidFill>
                </w14:textFill>
              </w:rPr>
              <w:t>台变压器容量为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120</w:t>
            </w:r>
            <w:r>
              <w:rPr>
                <w:rFonts w:hint="eastAsia" w:ascii="Times New Roman" w:hAnsi="Times New Roman" w:cs="Times New Roman"/>
                <w:color w:val="000000" w:themeColor="text1"/>
                <w:sz w:val="24"/>
                <w:szCs w:val="24"/>
                <w:highlight w:val="none"/>
                <w14:textFill>
                  <w14:solidFill>
                    <w14:schemeClr w14:val="tx1"/>
                  </w14:solidFill>
                </w14:textFill>
              </w:rPr>
              <w:t>MVA，</w:t>
            </w:r>
            <w:r>
              <w:rPr>
                <w:rFonts w:ascii="Times New Roman" w:hAnsi="Times New Roman" w:cs="Times New Roman"/>
                <w:color w:val="000000" w:themeColor="text1"/>
                <w:sz w:val="24"/>
                <w:szCs w:val="24"/>
                <w:highlight w:val="none"/>
                <w14:textFill>
                  <w14:solidFill>
                    <w14:schemeClr w14:val="tx1"/>
                  </w14:solidFill>
                </w14:textFill>
              </w:rPr>
              <w:t>仅在检修时会产生</w:t>
            </w:r>
            <w:r>
              <w:rPr>
                <w:color w:val="000000" w:themeColor="text1"/>
                <w:sz w:val="24"/>
                <w:highlight w:val="none"/>
                <w14:textFill>
                  <w14:solidFill>
                    <w14:schemeClr w14:val="tx1"/>
                  </w14:solidFill>
                </w14:textFill>
              </w:rPr>
              <w:t>废变压器油</w:t>
            </w:r>
            <w:r>
              <w:rPr>
                <w:rFonts w:ascii="Times New Roman" w:hAnsi="Times New Roman" w:cs="Times New Roman"/>
                <w:color w:val="000000" w:themeColor="text1"/>
                <w:sz w:val="24"/>
                <w:szCs w:val="24"/>
                <w:highlight w:val="none"/>
                <w14:textFill>
                  <w14:solidFill>
                    <w14:schemeClr w14:val="tx1"/>
                  </w14:solidFill>
                </w14:textFill>
              </w:rPr>
              <w:t>，一般3</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5年检修一次，检修周期较长</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类比同类项目，</w:t>
            </w:r>
            <w:r>
              <w:rPr>
                <w:rFonts w:hint="eastAsia" w:ascii="Times New Roman" w:hAnsi="Times New Roman" w:cs="Times New Roman"/>
                <w:color w:val="000000" w:themeColor="text1"/>
                <w:sz w:val="24"/>
                <w:szCs w:val="24"/>
                <w:highlight w:val="none"/>
                <w14:textFill>
                  <w14:solidFill>
                    <w14:schemeClr w14:val="tx1"/>
                  </w14:solidFill>
                </w14:textFill>
              </w:rPr>
              <w:t>本项目按每3年</w:t>
            </w:r>
            <w:r>
              <w:rPr>
                <w:rFonts w:ascii="Times New Roman" w:hAnsi="Times New Roman" w:cs="Times New Roman"/>
                <w:color w:val="000000" w:themeColor="text1"/>
                <w:sz w:val="24"/>
                <w:szCs w:val="24"/>
                <w:highlight w:val="none"/>
                <w14:textFill>
                  <w14:solidFill>
                    <w14:schemeClr w14:val="tx1"/>
                  </w14:solidFill>
                </w14:textFill>
              </w:rPr>
              <w:t>检修一次</w:t>
            </w:r>
            <w:r>
              <w:rPr>
                <w:rFonts w:hint="eastAsia" w:ascii="Times New Roman" w:hAnsi="Times New Roman" w:cs="Times New Roman"/>
                <w:color w:val="000000" w:themeColor="text1"/>
                <w:sz w:val="24"/>
                <w:szCs w:val="24"/>
                <w:highlight w:val="none"/>
                <w14:textFill>
                  <w14:solidFill>
                    <w14:schemeClr w14:val="tx1"/>
                  </w14:solidFill>
                </w14:textFill>
              </w:rPr>
              <w:t>计算，</w:t>
            </w:r>
            <w:r>
              <w:rPr>
                <w:rFonts w:ascii="Times New Roman" w:hAnsi="Times New Roman" w:cs="Times New Roman"/>
                <w:color w:val="000000" w:themeColor="text1"/>
                <w:sz w:val="24"/>
                <w:szCs w:val="24"/>
                <w:highlight w:val="none"/>
                <w14:textFill>
                  <w14:solidFill>
                    <w14:schemeClr w14:val="tx1"/>
                  </w14:solidFill>
                </w14:textFill>
              </w:rPr>
              <w:t>变压器检修一</w:t>
            </w:r>
            <w:r>
              <w:rPr>
                <w:rFonts w:hint="eastAsia" w:ascii="Times New Roman" w:hAnsi="Times New Roman" w:cs="Times New Roman"/>
                <w:color w:val="000000" w:themeColor="text1"/>
                <w:sz w:val="24"/>
                <w:szCs w:val="24"/>
                <w:highlight w:val="none"/>
                <w14:textFill>
                  <w14:solidFill>
                    <w14:schemeClr w14:val="tx1"/>
                  </w14:solidFill>
                </w14:textFill>
              </w:rPr>
              <w:t>次废油</w:t>
            </w:r>
            <w:r>
              <w:rPr>
                <w:rFonts w:ascii="Times New Roman" w:hAnsi="Times New Roman" w:cs="Times New Roman"/>
                <w:color w:val="000000" w:themeColor="text1"/>
                <w:sz w:val="24"/>
                <w:szCs w:val="24"/>
                <w:highlight w:val="none"/>
                <w14:textFill>
                  <w14:solidFill>
                    <w14:schemeClr w14:val="tx1"/>
                  </w14:solidFill>
                </w14:textFill>
              </w:rPr>
              <w:t>产生量约为</w:t>
            </w:r>
            <w:r>
              <w:rPr>
                <w:rFonts w:hint="eastAsia" w:ascii="Times New Roman" w:hAnsi="Times New Roman" w:cs="Times New Roman"/>
                <w:color w:val="000000" w:themeColor="text1"/>
                <w:sz w:val="24"/>
                <w:szCs w:val="24"/>
                <w:highlight w:val="none"/>
                <w14:textFill>
                  <w14:solidFill>
                    <w14:schemeClr w14:val="tx1"/>
                  </w14:solidFill>
                </w14:textFill>
              </w:rPr>
              <w:t>0.3</w:t>
            </w:r>
            <w:r>
              <w:rPr>
                <w:rFonts w:ascii="Times New Roman" w:hAnsi="Times New Roman" w:cs="Times New Roman"/>
                <w:color w:val="000000" w:themeColor="text1"/>
                <w:sz w:val="24"/>
                <w:szCs w:val="24"/>
                <w:highlight w:val="none"/>
                <w14:textFill>
                  <w14:solidFill>
                    <w14:schemeClr w14:val="tx1"/>
                  </w14:solidFill>
                </w14:textFill>
              </w:rPr>
              <w:t>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废变压器油</w:t>
            </w:r>
            <w:r>
              <w:rPr>
                <w:rFonts w:hint="eastAsia" w:ascii="Times New Roman" w:hAnsi="Times New Roman" w:cs="Times New Roman"/>
                <w:color w:val="000000" w:themeColor="text1"/>
                <w:sz w:val="24"/>
                <w:szCs w:val="24"/>
                <w:highlight w:val="none"/>
                <w14:textFill>
                  <w14:solidFill>
                    <w14:schemeClr w14:val="tx1"/>
                  </w14:solidFill>
                </w14:textFill>
              </w:rPr>
              <w:t>平均</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每</w:t>
            </w:r>
            <w:r>
              <w:rPr>
                <w:rFonts w:hint="eastAsia" w:ascii="Times New Roman" w:hAnsi="Times New Roman" w:cs="Times New Roman"/>
                <w:color w:val="000000" w:themeColor="text1"/>
                <w:sz w:val="24"/>
                <w:szCs w:val="24"/>
                <w:highlight w:val="none"/>
                <w14:textFill>
                  <w14:solidFill>
                    <w14:schemeClr w14:val="tx1"/>
                  </w14:solidFill>
                </w14:textFill>
              </w:rPr>
              <w:t>年产生量为0.1</w:t>
            </w:r>
            <w:r>
              <w:rPr>
                <w:rFonts w:ascii="Times New Roman" w:hAnsi="Times New Roman" w:cs="Times New Roman"/>
                <w:color w:val="000000" w:themeColor="text1"/>
                <w:sz w:val="24"/>
                <w:szCs w:val="24"/>
                <w:highlight w:val="none"/>
                <w14:textFill>
                  <w14:solidFill>
                    <w14:schemeClr w14:val="tx1"/>
                  </w14:solidFill>
                </w14:textFill>
              </w:rPr>
              <w:t>t</w:t>
            </w:r>
            <w:r>
              <w:rPr>
                <w:rFonts w:hint="eastAsia" w:ascii="Times New Roman" w:hAnsi="Times New Roman" w:cs="Times New Roman"/>
                <w:color w:val="000000" w:themeColor="text1"/>
                <w:sz w:val="24"/>
                <w:szCs w:val="24"/>
                <w:highlight w:val="none"/>
                <w14:textFill>
                  <w14:solidFill>
                    <w14:schemeClr w14:val="tx1"/>
                  </w14:solidFill>
                </w14:textFill>
              </w:rPr>
              <w:t>/a，则本项目变压器检修废油产生量为0.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14:textFill>
                  <w14:solidFill>
                    <w14:schemeClr w14:val="tx1"/>
                  </w14:solidFill>
                </w14:textFill>
              </w:rPr>
              <w:t>t/a。</w:t>
            </w:r>
            <w:r>
              <w:rPr>
                <w:rFonts w:ascii="Times New Roman" w:hAnsi="Times New Roman" w:cs="Times New Roman"/>
                <w:color w:val="000000" w:themeColor="text1"/>
                <w:sz w:val="24"/>
                <w:szCs w:val="24"/>
                <w:highlight w:val="none"/>
                <w14:textFill>
                  <w14:solidFill>
                    <w14:schemeClr w14:val="tx1"/>
                  </w14:solidFill>
                </w14:textFill>
              </w:rPr>
              <w:t>根据《国家危险废物名录》（202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5</w:t>
            </w:r>
            <w:r>
              <w:rPr>
                <w:rFonts w:ascii="Times New Roman" w:hAnsi="Times New Roman" w:cs="Times New Roman"/>
                <w:color w:val="000000" w:themeColor="text1"/>
                <w:sz w:val="24"/>
                <w:szCs w:val="24"/>
                <w:highlight w:val="none"/>
                <w14:textFill>
                  <w14:solidFill>
                    <w14:schemeClr w14:val="tx1"/>
                  </w14:solidFill>
                </w14:textFill>
              </w:rPr>
              <w:t>年版），</w:t>
            </w:r>
            <w:r>
              <w:rPr>
                <w:rFonts w:hint="eastAsia" w:ascii="Times New Roman" w:hAnsi="Times New Roman" w:cs="Times New Roman"/>
                <w:color w:val="000000" w:themeColor="text1"/>
                <w:sz w:val="24"/>
                <w:szCs w:val="24"/>
                <w:highlight w:val="none"/>
                <w14:textFill>
                  <w14:solidFill>
                    <w14:schemeClr w14:val="tx1"/>
                  </w14:solidFill>
                </w14:textFill>
              </w:rPr>
              <w:t>检修废</w:t>
            </w:r>
            <w:r>
              <w:rPr>
                <w:rFonts w:ascii="Times New Roman" w:hAnsi="Times New Roman" w:cs="Times New Roman"/>
                <w:color w:val="000000" w:themeColor="text1"/>
                <w:sz w:val="24"/>
                <w:szCs w:val="24"/>
                <w:highlight w:val="none"/>
                <w14:textFill>
                  <w14:solidFill>
                    <w14:schemeClr w14:val="tx1"/>
                  </w14:solidFill>
                </w14:textFill>
              </w:rPr>
              <w:t>油属危险废物（HW08</w:t>
            </w:r>
            <w:r>
              <w:rPr>
                <w:rFonts w:hint="eastAsia" w:ascii="Times New Roman" w:hAnsi="Times New Roman" w:cs="Times New Roman"/>
                <w:color w:val="000000" w:themeColor="text1"/>
                <w:sz w:val="24"/>
                <w:szCs w:val="24"/>
                <w:highlight w:val="none"/>
                <w14:textFill>
                  <w14:solidFill>
                    <w14:schemeClr w14:val="tx1"/>
                  </w14:solidFill>
                </w14:textFill>
              </w:rPr>
              <w:t>类、代码</w:t>
            </w:r>
            <w:r>
              <w:rPr>
                <w:rFonts w:ascii="Times New Roman" w:hAnsi="Times New Roman" w:cs="Times New Roman"/>
                <w:color w:val="000000" w:themeColor="text1"/>
                <w:sz w:val="24"/>
                <w:szCs w:val="24"/>
                <w:highlight w:val="none"/>
                <w14:textFill>
                  <w14:solidFill>
                    <w14:schemeClr w14:val="tx1"/>
                  </w14:solidFill>
                </w14:textFill>
              </w:rPr>
              <w:t>900-220-08），</w:t>
            </w:r>
            <w:r>
              <w:rPr>
                <w:rFonts w:hint="eastAsia" w:ascii="Times New Roman" w:hAnsi="Times New Roman" w:cs="Times New Roman"/>
                <w:color w:val="000000" w:themeColor="text1"/>
                <w:sz w:val="24"/>
                <w:szCs w:val="24"/>
                <w:highlight w:val="none"/>
                <w14:textFill>
                  <w14:solidFill>
                    <w14:schemeClr w14:val="tx1"/>
                  </w14:solidFill>
                </w14:textFill>
              </w:rPr>
              <w:t>检修时</w:t>
            </w:r>
            <w:r>
              <w:rPr>
                <w:rFonts w:ascii="Times New Roman" w:hAnsi="Times New Roman" w:cs="Times New Roman"/>
                <w:color w:val="000000" w:themeColor="text1"/>
                <w:sz w:val="24"/>
                <w:szCs w:val="24"/>
                <w:highlight w:val="none"/>
                <w14:textFill>
                  <w14:solidFill>
                    <w14:schemeClr w14:val="tx1"/>
                  </w14:solidFill>
                </w14:textFill>
              </w:rPr>
              <w:t>废油</w:t>
            </w:r>
            <w:r>
              <w:rPr>
                <w:rFonts w:hint="eastAsia" w:ascii="Times New Roman" w:hAnsi="Times New Roman" w:cs="Times New Roman"/>
                <w:color w:val="000000" w:themeColor="text1"/>
                <w:sz w:val="24"/>
                <w:szCs w:val="24"/>
                <w:highlight w:val="none"/>
                <w14:textFill>
                  <w14:solidFill>
                    <w14:schemeClr w14:val="tx1"/>
                  </w14:solidFill>
                </w14:textFill>
              </w:rPr>
              <w:t>经收集</w:t>
            </w:r>
            <w:r>
              <w:rPr>
                <w:rFonts w:ascii="Times New Roman" w:hAnsi="Times New Roman" w:cs="Times New Roman"/>
                <w:color w:val="000000" w:themeColor="text1"/>
                <w:sz w:val="24"/>
                <w:szCs w:val="24"/>
                <w:highlight w:val="none"/>
                <w14:textFill>
                  <w14:solidFill>
                    <w14:schemeClr w14:val="tx1"/>
                  </w14:solidFill>
                </w14:textFill>
              </w:rPr>
              <w:t>暂存于</w:t>
            </w:r>
            <w:r>
              <w:rPr>
                <w:rFonts w:hint="eastAsia" w:ascii="Times New Roman" w:hAnsi="Times New Roman" w:cs="Times New Roman"/>
                <w:color w:val="000000" w:themeColor="text1"/>
                <w:sz w:val="24"/>
                <w:szCs w:val="24"/>
                <w:highlight w:val="none"/>
                <w14:textFill>
                  <w14:solidFill>
                    <w14:schemeClr w14:val="tx1"/>
                  </w14:solidFill>
                </w14:textFill>
              </w:rPr>
              <w:t>危废舱</w:t>
            </w:r>
            <w:r>
              <w:rPr>
                <w:rFonts w:ascii="Times New Roman" w:hAnsi="Times New Roman" w:cs="Times New Roman"/>
                <w:color w:val="000000" w:themeColor="text1"/>
                <w:sz w:val="24"/>
                <w:szCs w:val="24"/>
                <w:highlight w:val="none"/>
                <w14:textFill>
                  <w14:solidFill>
                    <w14:schemeClr w14:val="tx1"/>
                  </w14:solidFill>
                </w14:textFill>
              </w:rPr>
              <w:t>内，及时交有资质单位处置。</w:t>
            </w:r>
          </w:p>
          <w:p w14:paraId="60E848C0">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③废油桶、含油抹布</w:t>
            </w:r>
          </w:p>
          <w:p w14:paraId="29E3FC53">
            <w:pPr>
              <w:wordWrap w:val="0"/>
              <w:spacing w:line="360" w:lineRule="auto"/>
              <w:ind w:firstLine="482"/>
              <w:jc w:val="left"/>
              <w:rPr>
                <w:color w:val="000000" w:themeColor="text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本项目在设备故障及检修时，会产生少量含油抹布及废油桶，预计产生量为0.2</w:t>
            </w:r>
            <w:r>
              <w:rPr>
                <w:color w:val="000000" w:themeColor="text1"/>
                <w:sz w:val="24"/>
                <w:highlight w:val="none"/>
                <w14:textFill>
                  <w14:solidFill>
                    <w14:schemeClr w14:val="tx1"/>
                  </w14:solidFill>
                </w14:textFill>
              </w:rPr>
              <w:t>t/a</w:t>
            </w:r>
            <w:r>
              <w:rPr>
                <w:rFonts w:hint="eastAsia"/>
                <w:color w:val="000000" w:themeColor="text1"/>
                <w:sz w:val="24"/>
                <w:highlight w:val="none"/>
                <w14:textFill>
                  <w14:solidFill>
                    <w14:schemeClr w14:val="tx1"/>
                  </w14:solidFill>
                </w14:textFill>
              </w:rPr>
              <w:t>。根据《国家危险废物名录》（2025</w:t>
            </w:r>
            <w:r>
              <w:rPr>
                <w:rFonts w:ascii="Times New Roman" w:hAnsi="Times New Roman" w:cs="Times New Roman"/>
                <w:color w:val="000000" w:themeColor="text1"/>
                <w:sz w:val="24"/>
                <w:szCs w:val="24"/>
                <w:highlight w:val="none"/>
                <w14:textFill>
                  <w14:solidFill>
                    <w14:schemeClr w14:val="tx1"/>
                  </w14:solidFill>
                </w14:textFill>
              </w:rPr>
              <w:t>年</w:t>
            </w:r>
            <w:r>
              <w:rPr>
                <w:rFonts w:hint="eastAsia"/>
                <w:color w:val="000000" w:themeColor="text1"/>
                <w:sz w:val="24"/>
                <w:highlight w:val="none"/>
                <w14:textFill>
                  <w14:solidFill>
                    <w14:schemeClr w14:val="tx1"/>
                  </w14:solidFill>
                </w14:textFill>
              </w:rPr>
              <w:t>版），本项目含油抹布和废油桶</w:t>
            </w:r>
            <w:r>
              <w:rPr>
                <w:color w:val="000000" w:themeColor="text1"/>
                <w:sz w:val="24"/>
                <w:highlight w:val="none"/>
                <w14:textFill>
                  <w14:solidFill>
                    <w14:schemeClr w14:val="tx1"/>
                  </w14:solidFill>
                </w14:textFill>
              </w:rPr>
              <w:t>属危险废物（HW</w:t>
            </w:r>
            <w:r>
              <w:rPr>
                <w:rFonts w:hint="eastAsia"/>
                <w:color w:val="000000" w:themeColor="text1"/>
                <w:sz w:val="24"/>
                <w:highlight w:val="none"/>
                <w14:textFill>
                  <w14:solidFill>
                    <w14:schemeClr w14:val="tx1"/>
                  </w14:solidFill>
                </w14:textFill>
              </w:rPr>
              <w:t>49</w:t>
            </w:r>
            <w:r>
              <w:rPr>
                <w:color w:val="000000" w:themeColor="text1"/>
                <w:sz w:val="24"/>
                <w:highlight w:val="none"/>
                <w14:textFill>
                  <w14:solidFill>
                    <w14:schemeClr w14:val="tx1"/>
                  </w14:solidFill>
                </w14:textFill>
              </w:rPr>
              <w:t xml:space="preserve"> 900-</w:t>
            </w:r>
            <w:r>
              <w:rPr>
                <w:rFonts w:hint="eastAsia"/>
                <w:color w:val="000000" w:themeColor="text1"/>
                <w:sz w:val="24"/>
                <w:highlight w:val="none"/>
                <w14:textFill>
                  <w14:solidFill>
                    <w14:schemeClr w14:val="tx1"/>
                  </w14:solidFill>
                </w14:textFill>
              </w:rPr>
              <w:t>041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49</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（含有或沾染毒性、感染性危险废物的废弃包装物、容器、过滤吸附介质），含油抹布部分环节已豁免，豁免条件为未分类收集，本项目含油抹布将进</w:t>
            </w:r>
            <w:r>
              <w:rPr>
                <w:color w:val="000000" w:themeColor="text1"/>
                <w:sz w:val="24"/>
                <w:highlight w:val="none"/>
                <w14:textFill>
                  <w14:solidFill>
                    <w14:schemeClr w14:val="tx1"/>
                  </w14:solidFill>
                </w14:textFill>
              </w:rPr>
              <w:t>行分类收集，因此不属于豁免环节，应</w:t>
            </w:r>
            <w:r>
              <w:rPr>
                <w:rFonts w:hint="eastAsia"/>
                <w:color w:val="000000" w:themeColor="text1"/>
                <w:sz w:val="24"/>
                <w:highlight w:val="none"/>
                <w:lang w:eastAsia="zh-CN"/>
                <w14:textFill>
                  <w14:solidFill>
                    <w14:schemeClr w14:val="tx1"/>
                  </w14:solidFill>
                </w14:textFill>
              </w:rPr>
              <w:t>做</w:t>
            </w:r>
            <w:r>
              <w:rPr>
                <w:color w:val="000000" w:themeColor="text1"/>
                <w:sz w:val="24"/>
                <w:highlight w:val="none"/>
                <w14:textFill>
                  <w14:solidFill>
                    <w14:schemeClr w14:val="tx1"/>
                  </w14:solidFill>
                </w14:textFill>
              </w:rPr>
              <w:t>危废处置。项目运营期产生的废油桶、含油抹布分类收集至</w:t>
            </w:r>
            <w:r>
              <w:rPr>
                <w:rFonts w:hint="eastAsia"/>
                <w:color w:val="000000" w:themeColor="text1"/>
                <w:sz w:val="24"/>
                <w:highlight w:val="none"/>
                <w14:textFill>
                  <w14:solidFill>
                    <w14:schemeClr w14:val="tx1"/>
                  </w14:solidFill>
                </w14:textFill>
              </w:rPr>
              <w:t>升压站危废舱内</w:t>
            </w:r>
            <w:r>
              <w:rPr>
                <w:color w:val="000000" w:themeColor="text1"/>
                <w:sz w:val="24"/>
                <w:highlight w:val="none"/>
                <w14:textFill>
                  <w14:solidFill>
                    <w14:schemeClr w14:val="tx1"/>
                  </w14:solidFill>
                </w14:textFill>
              </w:rPr>
              <w:t>，委托有资质单位处置</w:t>
            </w:r>
            <w:r>
              <w:rPr>
                <w:rFonts w:hint="eastAsia"/>
                <w:color w:val="000000" w:themeColor="text1"/>
                <w:sz w:val="24"/>
                <w:highlight w:val="none"/>
                <w14:textFill>
                  <w14:solidFill>
                    <w14:schemeClr w14:val="tx1"/>
                  </w14:solidFill>
                </w14:textFill>
              </w:rPr>
              <w:t>。</w:t>
            </w:r>
          </w:p>
          <w:p w14:paraId="7CE217EC">
            <w:pPr>
              <w:pStyle w:val="15"/>
              <w:snapToGrid w:val="0"/>
              <w:spacing w:line="360" w:lineRule="auto"/>
              <w:ind w:firstLine="480" w:firstLineChars="200"/>
              <w:rPr>
                <w:rFonts w:ascii="Times New Roman" w:hAnsi="Times New Roman" w:cs="Times New Roman"/>
                <w:color w:val="000000" w:themeColor="text1"/>
                <w:kern w:val="0"/>
                <w:sz w:val="24"/>
                <w:highlight w:val="none"/>
                <w:lang w:bidi="ar"/>
                <w14:textFill>
                  <w14:solidFill>
                    <w14:schemeClr w14:val="tx1"/>
                  </w14:solidFill>
                </w14:textFill>
              </w:rPr>
            </w:pPr>
            <w:r>
              <w:rPr>
                <w:rFonts w:hint="eastAsia" w:ascii="Times New Roman" w:hAnsi="Times New Roman" w:cs="Times New Roman"/>
                <w:color w:val="000000" w:themeColor="text1"/>
                <w:kern w:val="0"/>
                <w:sz w:val="24"/>
                <w:highlight w:val="none"/>
                <w:lang w:bidi="ar"/>
                <w14:textFill>
                  <w14:solidFill>
                    <w14:schemeClr w14:val="tx1"/>
                  </w14:solidFill>
                </w14:textFill>
              </w:rPr>
              <w:t>项目</w:t>
            </w:r>
            <w:r>
              <w:rPr>
                <w:rFonts w:ascii="Times New Roman" w:hAnsi="Times New Roman" w:cs="Times New Roman"/>
                <w:color w:val="000000" w:themeColor="text1"/>
                <w:kern w:val="0"/>
                <w:sz w:val="24"/>
                <w:highlight w:val="none"/>
                <w:lang w:bidi="ar"/>
                <w14:textFill>
                  <w14:solidFill>
                    <w14:schemeClr w14:val="tx1"/>
                  </w14:solidFill>
                </w14:textFill>
              </w:rPr>
              <w:t>建设1座危废舱，结构形式为成品预制舱结构，危废品舱长</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7</w:t>
            </w:r>
            <w:r>
              <w:rPr>
                <w:rFonts w:ascii="Times New Roman" w:hAnsi="Times New Roman" w:cs="Times New Roman"/>
                <w:color w:val="000000" w:themeColor="text1"/>
                <w:kern w:val="0"/>
                <w:sz w:val="24"/>
                <w:highlight w:val="none"/>
                <w:lang w:bidi="ar"/>
                <w14:textFill>
                  <w14:solidFill>
                    <w14:schemeClr w14:val="tx1"/>
                  </w14:solidFill>
                </w14:textFill>
              </w:rPr>
              <w:t>m，宽</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4</w:t>
            </w:r>
            <w:r>
              <w:rPr>
                <w:rFonts w:ascii="Times New Roman" w:hAnsi="Times New Roman" w:cs="Times New Roman"/>
                <w:color w:val="000000" w:themeColor="text1"/>
                <w:kern w:val="0"/>
                <w:sz w:val="24"/>
                <w:highlight w:val="none"/>
                <w:lang w:bidi="ar"/>
                <w14:textFill>
                  <w14:solidFill>
                    <w14:schemeClr w14:val="tx1"/>
                  </w14:solidFill>
                </w14:textFill>
              </w:rPr>
              <w:t>m，建筑面积约为</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28</w:t>
            </w:r>
            <w:r>
              <w:rPr>
                <w:rFonts w:ascii="Times New Roman" w:hAnsi="Times New Roman" w:cs="Times New Roman"/>
                <w:color w:val="000000" w:themeColor="text1"/>
                <w:kern w:val="0"/>
                <w:sz w:val="24"/>
                <w:highlight w:val="none"/>
                <w:lang w:bidi="ar"/>
                <w14:textFill>
                  <w14:solidFill>
                    <w14:schemeClr w14:val="tx1"/>
                  </w14:solidFill>
                </w14:textFill>
              </w:rPr>
              <w:t>m</w:t>
            </w:r>
            <w:r>
              <w:rPr>
                <w:rFonts w:ascii="Times New Roman" w:hAnsi="Times New Roman" w:cs="Times New Roman"/>
                <w:color w:val="000000" w:themeColor="text1"/>
                <w:kern w:val="0"/>
                <w:sz w:val="24"/>
                <w:highlight w:val="none"/>
                <w:vertAlign w:val="superscript"/>
                <w:lang w:bidi="ar"/>
                <w14:textFill>
                  <w14:solidFill>
                    <w14:schemeClr w14:val="tx1"/>
                  </w14:solidFill>
                </w14:textFill>
              </w:rPr>
              <w:t>2</w:t>
            </w:r>
            <w:r>
              <w:rPr>
                <w:rFonts w:ascii="Times New Roman" w:hAnsi="Times New Roman" w:cs="Times New Roman"/>
                <w:color w:val="000000" w:themeColor="text1"/>
                <w:kern w:val="0"/>
                <w:sz w:val="24"/>
                <w:highlight w:val="none"/>
                <w:lang w:bidi="ar"/>
                <w14:textFill>
                  <w14:solidFill>
                    <w14:schemeClr w14:val="tx1"/>
                  </w14:solidFill>
                </w14:textFill>
              </w:rPr>
              <w:t>，层高3.0m，共一层。</w:t>
            </w:r>
          </w:p>
          <w:p w14:paraId="32E7BC2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综上所述，拟建项目建成运行后，</w:t>
            </w:r>
            <w:r>
              <w:rPr>
                <w:rFonts w:hint="eastAsia"/>
                <w:color w:val="000000" w:themeColor="text1"/>
                <w:sz w:val="24"/>
                <w:highlight w:val="none"/>
                <w14:textFill>
                  <w14:solidFill>
                    <w14:schemeClr w14:val="tx1"/>
                  </w14:solidFill>
                </w14:textFill>
              </w:rPr>
              <w:t>固体废物</w:t>
            </w:r>
            <w:r>
              <w:rPr>
                <w:color w:val="000000" w:themeColor="text1"/>
                <w:sz w:val="24"/>
                <w:highlight w:val="none"/>
                <w14:textFill>
                  <w14:solidFill>
                    <w14:schemeClr w14:val="tx1"/>
                  </w14:solidFill>
                </w14:textFill>
              </w:rPr>
              <w:t>均得到妥善处理处置，不外排，对周边外环境的不利影响较小。</w:t>
            </w:r>
            <w:r>
              <w:rPr>
                <w:rFonts w:hint="eastAsia"/>
                <w:color w:val="000000" w:themeColor="text1"/>
                <w:sz w:val="24"/>
                <w:highlight w:val="none"/>
                <w14:textFill>
                  <w14:solidFill>
                    <w14:schemeClr w14:val="tx1"/>
                  </w14:solidFill>
                </w14:textFill>
              </w:rPr>
              <w:t>项目固废产生情况详见表4-</w:t>
            </w:r>
            <w:r>
              <w:rPr>
                <w:rFonts w:hint="eastAsia"/>
                <w:color w:val="000000" w:themeColor="text1"/>
                <w:sz w:val="24"/>
                <w:highlight w:val="none"/>
                <w:lang w:val="en-US" w:eastAsia="zh-CN"/>
                <w14:textFill>
                  <w14:solidFill>
                    <w14:schemeClr w14:val="tx1"/>
                  </w14:solidFill>
                </w14:textFill>
              </w:rPr>
              <w:t>11</w:t>
            </w:r>
            <w:r>
              <w:rPr>
                <w:rFonts w:hint="eastAsia"/>
                <w:color w:val="000000" w:themeColor="text1"/>
                <w:sz w:val="24"/>
                <w:highlight w:val="none"/>
                <w14:textFill>
                  <w14:solidFill>
                    <w14:schemeClr w14:val="tx1"/>
                  </w14:solidFill>
                </w14:textFill>
              </w:rPr>
              <w:t>。</w:t>
            </w:r>
          </w:p>
          <w:p w14:paraId="3012C573">
            <w:pPr>
              <w:pStyle w:val="2"/>
              <w:spacing w:before="120" w:beforeLines="50" w:after="0" w:line="240" w:lineRule="auto"/>
              <w:ind w:right="0"/>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表4-</w:t>
            </w:r>
            <w:r>
              <w:rPr>
                <w:rFonts w:hint="eastAsia"/>
                <w:b/>
                <w:bCs/>
                <w:color w:val="000000" w:themeColor="text1"/>
                <w:sz w:val="24"/>
                <w:szCs w:val="24"/>
                <w:highlight w:val="none"/>
                <w:lang w:val="en-US" w:eastAsia="zh-CN"/>
                <w14:textFill>
                  <w14:solidFill>
                    <w14:schemeClr w14:val="tx1"/>
                  </w14:solidFill>
                </w14:textFill>
              </w:rPr>
              <w:t>11</w:t>
            </w:r>
            <w:r>
              <w:rPr>
                <w:rFonts w:hint="eastAsia"/>
                <w:b/>
                <w:bCs/>
                <w:color w:val="000000" w:themeColor="text1"/>
                <w:sz w:val="24"/>
                <w:szCs w:val="24"/>
                <w:highlight w:val="none"/>
                <w14:textFill>
                  <w14:solidFill>
                    <w14:schemeClr w14:val="tx1"/>
                  </w14:solidFill>
                </w14:textFill>
              </w:rPr>
              <w:t xml:space="preserve">  </w:t>
            </w:r>
            <w:r>
              <w:rPr>
                <w:b/>
                <w:bCs/>
                <w:color w:val="000000" w:themeColor="text1"/>
                <w:sz w:val="24"/>
                <w:szCs w:val="24"/>
                <w:highlight w:val="none"/>
                <w14:textFill>
                  <w14:solidFill>
                    <w14:schemeClr w14:val="tx1"/>
                  </w14:solidFill>
                </w14:textFill>
              </w:rPr>
              <w:t>本项目固废采取的处理措施及预期治理效果</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1015"/>
              <w:gridCol w:w="510"/>
              <w:gridCol w:w="632"/>
              <w:gridCol w:w="749"/>
              <w:gridCol w:w="754"/>
              <w:gridCol w:w="1234"/>
              <w:gridCol w:w="866"/>
              <w:gridCol w:w="918"/>
              <w:gridCol w:w="521"/>
            </w:tblGrid>
            <w:tr w14:paraId="7AD9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14:paraId="6348DE19">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名称</w:t>
                  </w:r>
                </w:p>
              </w:tc>
              <w:tc>
                <w:tcPr>
                  <w:tcW w:w="623" w:type="pct"/>
                  <w:vAlign w:val="center"/>
                </w:tcPr>
                <w:p w14:paraId="005AB214">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来源</w:t>
                  </w:r>
                </w:p>
              </w:tc>
              <w:tc>
                <w:tcPr>
                  <w:tcW w:w="313" w:type="pct"/>
                  <w:vAlign w:val="center"/>
                </w:tcPr>
                <w:p w14:paraId="7A07A7B8">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形态</w:t>
                  </w:r>
                </w:p>
              </w:tc>
              <w:tc>
                <w:tcPr>
                  <w:tcW w:w="388" w:type="pct"/>
                  <w:vAlign w:val="center"/>
                </w:tcPr>
                <w:p w14:paraId="5A20CEE7">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主要</w:t>
                  </w:r>
                </w:p>
                <w:p w14:paraId="3372C1F2">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成分</w:t>
                  </w:r>
                </w:p>
              </w:tc>
              <w:tc>
                <w:tcPr>
                  <w:tcW w:w="460" w:type="pct"/>
                  <w:vAlign w:val="center"/>
                </w:tcPr>
                <w:p w14:paraId="105A0EDA">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属性</w:t>
                  </w:r>
                </w:p>
              </w:tc>
              <w:tc>
                <w:tcPr>
                  <w:tcW w:w="463" w:type="pct"/>
                  <w:vAlign w:val="center"/>
                </w:tcPr>
                <w:p w14:paraId="144BC19D">
                  <w:pPr>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废物</w:t>
                  </w:r>
                </w:p>
                <w:p w14:paraId="33126F38">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类别</w:t>
                  </w:r>
                </w:p>
              </w:tc>
              <w:tc>
                <w:tcPr>
                  <w:tcW w:w="758" w:type="pct"/>
                  <w:vAlign w:val="center"/>
                </w:tcPr>
                <w:p w14:paraId="32F79FDB">
                  <w:pPr>
                    <w:tabs>
                      <w:tab w:val="left" w:pos="720"/>
                    </w:tabs>
                    <w:ind w:left="-63" w:leftChars="-30" w:right="-63" w:rightChars="-30"/>
                    <w:jc w:val="center"/>
                    <w:rPr>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废物</w:t>
                  </w:r>
                  <w:r>
                    <w:rPr>
                      <w:b/>
                      <w:bCs/>
                      <w:color w:val="000000" w:themeColor="text1"/>
                      <w:highlight w:val="none"/>
                      <w14:textFill>
                        <w14:solidFill>
                          <w14:schemeClr w14:val="tx1"/>
                        </w14:solidFill>
                      </w14:textFill>
                    </w:rPr>
                    <w:t>代码</w:t>
                  </w:r>
                </w:p>
              </w:tc>
              <w:tc>
                <w:tcPr>
                  <w:tcW w:w="532" w:type="pct"/>
                  <w:vAlign w:val="center"/>
                </w:tcPr>
                <w:p w14:paraId="0EC6F62C">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产生量</w:t>
                  </w:r>
                </w:p>
              </w:tc>
              <w:tc>
                <w:tcPr>
                  <w:tcW w:w="564" w:type="pct"/>
                  <w:vAlign w:val="center"/>
                </w:tcPr>
                <w:p w14:paraId="2BE588DA">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处理措施</w:t>
                  </w:r>
                </w:p>
              </w:tc>
              <w:tc>
                <w:tcPr>
                  <w:tcW w:w="320" w:type="pct"/>
                  <w:vAlign w:val="center"/>
                </w:tcPr>
                <w:p w14:paraId="0F721CAC">
                  <w:pPr>
                    <w:tabs>
                      <w:tab w:val="left" w:pos="720"/>
                    </w:tabs>
                    <w:ind w:left="-63" w:leftChars="-30" w:right="-63" w:rightChars="-3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治理效果</w:t>
                  </w:r>
                </w:p>
              </w:tc>
            </w:tr>
            <w:tr w14:paraId="710B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14:paraId="25829F2C">
                  <w:pPr>
                    <w:tabs>
                      <w:tab w:val="left" w:pos="720"/>
                    </w:tabs>
                    <w:ind w:left="-63" w:leftChars="-30" w:right="-63" w:rightChars="-3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废磷酸铁锂电池</w:t>
                  </w:r>
                </w:p>
              </w:tc>
              <w:tc>
                <w:tcPr>
                  <w:tcW w:w="623" w:type="pct"/>
                  <w:vAlign w:val="center"/>
                </w:tcPr>
                <w:p w14:paraId="44D56205">
                  <w:pPr>
                    <w:tabs>
                      <w:tab w:val="left" w:pos="720"/>
                    </w:tabs>
                    <w:ind w:left="-63" w:leftChars="-30" w:right="-63" w:rightChars="-3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储能站电池</w:t>
                  </w:r>
                </w:p>
              </w:tc>
              <w:tc>
                <w:tcPr>
                  <w:tcW w:w="313" w:type="pct"/>
                  <w:vAlign w:val="center"/>
                </w:tcPr>
                <w:p w14:paraId="305FE3B7">
                  <w:pPr>
                    <w:tabs>
                      <w:tab w:val="left" w:pos="720"/>
                    </w:tabs>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固体</w:t>
                  </w:r>
                </w:p>
              </w:tc>
              <w:tc>
                <w:tcPr>
                  <w:tcW w:w="388" w:type="pct"/>
                  <w:vAlign w:val="center"/>
                </w:tcPr>
                <w:p w14:paraId="3D64B5BC">
                  <w:pPr>
                    <w:tabs>
                      <w:tab w:val="left" w:pos="720"/>
                    </w:tabs>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磷酸铁锂</w:t>
                  </w:r>
                </w:p>
              </w:tc>
              <w:tc>
                <w:tcPr>
                  <w:tcW w:w="460" w:type="pct"/>
                  <w:vAlign w:val="center"/>
                </w:tcPr>
                <w:p w14:paraId="4BCA196E">
                  <w:pPr>
                    <w:tabs>
                      <w:tab w:val="left" w:pos="255"/>
                      <w:tab w:val="left" w:pos="720"/>
                    </w:tabs>
                    <w:ind w:left="-63" w:leftChars="-30" w:right="-63" w:rightChars="-3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一般固废</w:t>
                  </w:r>
                </w:p>
              </w:tc>
              <w:tc>
                <w:tcPr>
                  <w:tcW w:w="463" w:type="pct"/>
                  <w:vAlign w:val="center"/>
                </w:tcPr>
                <w:p w14:paraId="0ACDEA8B">
                  <w:pPr>
                    <w:autoSpaceDE w:val="0"/>
                    <w:autoSpaceDN w:val="0"/>
                    <w:adjustRightInd w:val="0"/>
                    <w:ind w:left="-63" w:leftChars="-30" w:right="-63" w:rightChars="-3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SW17</w:t>
                  </w:r>
                </w:p>
              </w:tc>
              <w:tc>
                <w:tcPr>
                  <w:tcW w:w="758" w:type="pct"/>
                  <w:vAlign w:val="center"/>
                </w:tcPr>
                <w:p w14:paraId="6EC3A01E">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900-012-S17</w:t>
                  </w:r>
                </w:p>
              </w:tc>
              <w:tc>
                <w:tcPr>
                  <w:tcW w:w="532" w:type="pct"/>
                  <w:vAlign w:val="center"/>
                </w:tcPr>
                <w:p w14:paraId="61A66733">
                  <w:pPr>
                    <w:tabs>
                      <w:tab w:val="left" w:pos="720"/>
                    </w:tabs>
                    <w:ind w:left="-63" w:leftChars="-30" w:right="-63" w:rightChars="-3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3000t/</w:t>
                  </w:r>
                  <w:r>
                    <w:rPr>
                      <w:rFonts w:hint="eastAsia"/>
                      <w:color w:val="000000" w:themeColor="text1"/>
                      <w:highlight w:val="none"/>
                      <w14:textFill>
                        <w14:solidFill>
                          <w14:schemeClr w14:val="tx1"/>
                        </w14:solidFill>
                      </w14:textFill>
                    </w:rPr>
                    <w:t>一次更换</w:t>
                  </w:r>
                </w:p>
              </w:tc>
              <w:tc>
                <w:tcPr>
                  <w:tcW w:w="564" w:type="pct"/>
                  <w:vAlign w:val="center"/>
                </w:tcPr>
                <w:p w14:paraId="23A9306A">
                  <w:pPr>
                    <w:tabs>
                      <w:tab w:val="left" w:pos="720"/>
                    </w:tabs>
                    <w:ind w:left="-63" w:leftChars="-30" w:right="-63" w:rightChars="-3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外售回收公司</w:t>
                  </w:r>
                </w:p>
              </w:tc>
              <w:tc>
                <w:tcPr>
                  <w:tcW w:w="320" w:type="pct"/>
                  <w:vMerge w:val="restart"/>
                  <w:vAlign w:val="center"/>
                </w:tcPr>
                <w:p w14:paraId="6FF11F17">
                  <w:pPr>
                    <w:tabs>
                      <w:tab w:val="left" w:pos="720"/>
                    </w:tabs>
                    <w:ind w:left="-63" w:leftChars="-30" w:right="-63" w:rightChars="-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减量化</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资源化</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无害化</w:t>
                  </w:r>
                </w:p>
              </w:tc>
            </w:tr>
            <w:tr w14:paraId="6B47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14:paraId="19DB5FCC">
                  <w:pPr>
                    <w:tabs>
                      <w:tab w:val="left" w:pos="720"/>
                    </w:tabs>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废</w:t>
                  </w:r>
                  <w:r>
                    <w:rPr>
                      <w:rFonts w:hint="eastAsia"/>
                      <w:color w:val="000000" w:themeColor="text1"/>
                      <w:highlight w:val="none"/>
                      <w:lang w:val="en-US" w:eastAsia="zh-CN"/>
                      <w14:textFill>
                        <w14:solidFill>
                          <w14:schemeClr w14:val="tx1"/>
                        </w14:solidFill>
                      </w14:textFill>
                    </w:rPr>
                    <w:t>铅</w:t>
                  </w:r>
                  <w:r>
                    <w:rPr>
                      <w:color w:val="000000" w:themeColor="text1"/>
                      <w:highlight w:val="none"/>
                      <w14:textFill>
                        <w14:solidFill>
                          <w14:schemeClr w14:val="tx1"/>
                        </w14:solidFill>
                      </w14:textFill>
                    </w:rPr>
                    <w:t>蓄电池</w:t>
                  </w:r>
                </w:p>
              </w:tc>
              <w:tc>
                <w:tcPr>
                  <w:tcW w:w="623" w:type="pct"/>
                  <w:vAlign w:val="center"/>
                </w:tcPr>
                <w:p w14:paraId="62955A75">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升压站铅</w:t>
                  </w:r>
                  <w:r>
                    <w:rPr>
                      <w:color w:val="000000" w:themeColor="text1"/>
                      <w:highlight w:val="none"/>
                      <w14:textFill>
                        <w14:solidFill>
                          <w14:schemeClr w14:val="tx1"/>
                        </w14:solidFill>
                      </w14:textFill>
                    </w:rPr>
                    <w:t>蓄电池</w:t>
                  </w:r>
                </w:p>
                <w:p w14:paraId="0A6AC46B">
                  <w:pPr>
                    <w:tabs>
                      <w:tab w:val="left" w:pos="720"/>
                    </w:tabs>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使用</w:t>
                  </w:r>
                </w:p>
              </w:tc>
              <w:tc>
                <w:tcPr>
                  <w:tcW w:w="313" w:type="pct"/>
                  <w:vAlign w:val="center"/>
                </w:tcPr>
                <w:p w14:paraId="45782E96">
                  <w:pPr>
                    <w:tabs>
                      <w:tab w:val="left" w:pos="720"/>
                    </w:tabs>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固体</w:t>
                  </w:r>
                </w:p>
              </w:tc>
              <w:tc>
                <w:tcPr>
                  <w:tcW w:w="388" w:type="pct"/>
                  <w:vAlign w:val="center"/>
                </w:tcPr>
                <w:p w14:paraId="3ACCC8CA">
                  <w:pPr>
                    <w:tabs>
                      <w:tab w:val="left" w:pos="720"/>
                    </w:tabs>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酸液</w:t>
                  </w:r>
                </w:p>
              </w:tc>
              <w:tc>
                <w:tcPr>
                  <w:tcW w:w="460" w:type="pct"/>
                  <w:vAlign w:val="center"/>
                </w:tcPr>
                <w:p w14:paraId="21778A13">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危险</w:t>
                  </w:r>
                </w:p>
                <w:p w14:paraId="00455871">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废物</w:t>
                  </w:r>
                </w:p>
              </w:tc>
              <w:tc>
                <w:tcPr>
                  <w:tcW w:w="463" w:type="pct"/>
                  <w:vAlign w:val="center"/>
                </w:tcPr>
                <w:p w14:paraId="0ABE9160">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HW</w:t>
                  </w:r>
                  <w:r>
                    <w:rPr>
                      <w:rFonts w:hint="eastAsia"/>
                      <w:color w:val="000000" w:themeColor="text1"/>
                      <w:highlight w:val="none"/>
                      <w14:textFill>
                        <w14:solidFill>
                          <w14:schemeClr w14:val="tx1"/>
                        </w14:solidFill>
                      </w14:textFill>
                    </w:rPr>
                    <w:t>31</w:t>
                  </w:r>
                </w:p>
              </w:tc>
              <w:tc>
                <w:tcPr>
                  <w:tcW w:w="758" w:type="pct"/>
                  <w:vAlign w:val="center"/>
                </w:tcPr>
                <w:p w14:paraId="23343938">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900-0</w:t>
                  </w:r>
                  <w:r>
                    <w:rPr>
                      <w:rFonts w:hint="eastAsia"/>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31</w:t>
                  </w:r>
                </w:p>
              </w:tc>
              <w:tc>
                <w:tcPr>
                  <w:tcW w:w="532" w:type="pct"/>
                  <w:vAlign w:val="center"/>
                </w:tcPr>
                <w:p w14:paraId="49FAE04A">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1t/一次更换</w:t>
                  </w:r>
                </w:p>
              </w:tc>
              <w:tc>
                <w:tcPr>
                  <w:tcW w:w="564" w:type="pct"/>
                  <w:vMerge w:val="restart"/>
                  <w:vAlign w:val="center"/>
                </w:tcPr>
                <w:p w14:paraId="0E875540">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危废舱暂存，委托由资质单位处理</w:t>
                  </w:r>
                </w:p>
              </w:tc>
              <w:tc>
                <w:tcPr>
                  <w:tcW w:w="320" w:type="pct"/>
                  <w:vMerge w:val="continue"/>
                  <w:vAlign w:val="center"/>
                </w:tcPr>
                <w:p w14:paraId="152E4616">
                  <w:pPr>
                    <w:tabs>
                      <w:tab w:val="left" w:pos="720"/>
                    </w:tabs>
                    <w:ind w:left="-63" w:leftChars="-30" w:right="-63" w:rightChars="-30"/>
                    <w:jc w:val="left"/>
                    <w:rPr>
                      <w:color w:val="000000" w:themeColor="text1"/>
                      <w:highlight w:val="none"/>
                      <w14:textFill>
                        <w14:solidFill>
                          <w14:schemeClr w14:val="tx1"/>
                        </w14:solidFill>
                      </w14:textFill>
                    </w:rPr>
                  </w:pPr>
                </w:p>
              </w:tc>
            </w:tr>
            <w:tr w14:paraId="0FBF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14:paraId="7400F6A4">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废变压器油</w:t>
                  </w:r>
                </w:p>
              </w:tc>
              <w:tc>
                <w:tcPr>
                  <w:tcW w:w="623" w:type="pct"/>
                  <w:vAlign w:val="center"/>
                </w:tcPr>
                <w:p w14:paraId="06FB7352">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台</w:t>
                  </w:r>
                </w:p>
                <w:p w14:paraId="56465248">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主变压器</w:t>
                  </w:r>
                </w:p>
              </w:tc>
              <w:tc>
                <w:tcPr>
                  <w:tcW w:w="313" w:type="pct"/>
                  <w:vAlign w:val="center"/>
                </w:tcPr>
                <w:p w14:paraId="1B1AE4B5">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液态</w:t>
                  </w:r>
                </w:p>
              </w:tc>
              <w:tc>
                <w:tcPr>
                  <w:tcW w:w="388" w:type="pct"/>
                  <w:vAlign w:val="center"/>
                </w:tcPr>
                <w:p w14:paraId="4749BD0E">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油类</w:t>
                  </w:r>
                </w:p>
              </w:tc>
              <w:tc>
                <w:tcPr>
                  <w:tcW w:w="460" w:type="pct"/>
                  <w:vAlign w:val="center"/>
                </w:tcPr>
                <w:p w14:paraId="2E153C08">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危险</w:t>
                  </w:r>
                </w:p>
                <w:p w14:paraId="7E988F20">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废物</w:t>
                  </w:r>
                </w:p>
              </w:tc>
              <w:tc>
                <w:tcPr>
                  <w:tcW w:w="463" w:type="pct"/>
                  <w:vAlign w:val="center"/>
                </w:tcPr>
                <w:p w14:paraId="30027DE4">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HW</w:t>
                  </w:r>
                  <w:r>
                    <w:rPr>
                      <w:rFonts w:hint="eastAsia"/>
                      <w:color w:val="000000" w:themeColor="text1"/>
                      <w:highlight w:val="none"/>
                      <w14:textFill>
                        <w14:solidFill>
                          <w14:schemeClr w14:val="tx1"/>
                        </w14:solidFill>
                      </w14:textFill>
                    </w:rPr>
                    <w:t>08</w:t>
                  </w:r>
                </w:p>
              </w:tc>
              <w:tc>
                <w:tcPr>
                  <w:tcW w:w="758" w:type="pct"/>
                  <w:vAlign w:val="center"/>
                </w:tcPr>
                <w:p w14:paraId="7F765E98">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900-2</w:t>
                  </w:r>
                  <w:r>
                    <w:rPr>
                      <w:rFonts w:hint="eastAsia"/>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t>-08</w:t>
                  </w:r>
                </w:p>
              </w:tc>
              <w:tc>
                <w:tcPr>
                  <w:tcW w:w="532" w:type="pct"/>
                  <w:vAlign w:val="center"/>
                </w:tcPr>
                <w:p w14:paraId="2C4FBA76">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0.</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t/a</w:t>
                  </w:r>
                </w:p>
              </w:tc>
              <w:tc>
                <w:tcPr>
                  <w:tcW w:w="564" w:type="pct"/>
                  <w:vMerge w:val="continue"/>
                  <w:vAlign w:val="center"/>
                </w:tcPr>
                <w:p w14:paraId="2BE04DEE">
                  <w:pPr>
                    <w:tabs>
                      <w:tab w:val="left" w:pos="720"/>
                    </w:tabs>
                    <w:ind w:left="-63" w:leftChars="-30" w:right="-63" w:rightChars="-30"/>
                    <w:jc w:val="center"/>
                    <w:rPr>
                      <w:color w:val="000000" w:themeColor="text1"/>
                      <w:highlight w:val="none"/>
                      <w14:textFill>
                        <w14:solidFill>
                          <w14:schemeClr w14:val="tx1"/>
                        </w14:solidFill>
                      </w14:textFill>
                    </w:rPr>
                  </w:pPr>
                </w:p>
              </w:tc>
              <w:tc>
                <w:tcPr>
                  <w:tcW w:w="320" w:type="pct"/>
                  <w:vMerge w:val="continue"/>
                  <w:vAlign w:val="center"/>
                </w:tcPr>
                <w:p w14:paraId="5257CA5D">
                  <w:pPr>
                    <w:tabs>
                      <w:tab w:val="left" w:pos="720"/>
                    </w:tabs>
                    <w:ind w:left="-63" w:leftChars="-30" w:right="-63" w:rightChars="-30"/>
                    <w:jc w:val="center"/>
                    <w:rPr>
                      <w:color w:val="000000" w:themeColor="text1"/>
                      <w:highlight w:val="none"/>
                      <w14:textFill>
                        <w14:solidFill>
                          <w14:schemeClr w14:val="tx1"/>
                        </w14:solidFill>
                      </w14:textFill>
                    </w:rPr>
                  </w:pPr>
                </w:p>
              </w:tc>
            </w:tr>
            <w:tr w14:paraId="613C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14:paraId="2E2490C4">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废油桶、含油抹布</w:t>
                  </w:r>
                </w:p>
              </w:tc>
              <w:tc>
                <w:tcPr>
                  <w:tcW w:w="623" w:type="pct"/>
                  <w:vAlign w:val="center"/>
                </w:tcPr>
                <w:p w14:paraId="226EDC95">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设备检修</w:t>
                  </w:r>
                </w:p>
              </w:tc>
              <w:tc>
                <w:tcPr>
                  <w:tcW w:w="313" w:type="pct"/>
                  <w:vAlign w:val="center"/>
                </w:tcPr>
                <w:p w14:paraId="634CEB28">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液态</w:t>
                  </w:r>
                </w:p>
              </w:tc>
              <w:tc>
                <w:tcPr>
                  <w:tcW w:w="388" w:type="pct"/>
                  <w:vAlign w:val="center"/>
                </w:tcPr>
                <w:p w14:paraId="374FC35A">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油类</w:t>
                  </w:r>
                </w:p>
              </w:tc>
              <w:tc>
                <w:tcPr>
                  <w:tcW w:w="460" w:type="pct"/>
                  <w:vAlign w:val="center"/>
                </w:tcPr>
                <w:p w14:paraId="0A621DBA">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危险</w:t>
                  </w:r>
                </w:p>
                <w:p w14:paraId="3FB20DF2">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废物</w:t>
                  </w:r>
                </w:p>
              </w:tc>
              <w:tc>
                <w:tcPr>
                  <w:tcW w:w="463" w:type="pct"/>
                  <w:vAlign w:val="center"/>
                </w:tcPr>
                <w:p w14:paraId="7944B929">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HW</w:t>
                  </w:r>
                  <w:r>
                    <w:rPr>
                      <w:rFonts w:hint="eastAsia"/>
                      <w:color w:val="000000" w:themeColor="text1"/>
                      <w:highlight w:val="none"/>
                      <w14:textFill>
                        <w14:solidFill>
                          <w14:schemeClr w14:val="tx1"/>
                        </w14:solidFill>
                      </w14:textFill>
                    </w:rPr>
                    <w:t>49</w:t>
                  </w:r>
                </w:p>
              </w:tc>
              <w:tc>
                <w:tcPr>
                  <w:tcW w:w="758" w:type="pct"/>
                  <w:vAlign w:val="center"/>
                </w:tcPr>
                <w:p w14:paraId="4D47FCE9">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color w:val="000000" w:themeColor="text1"/>
                      <w:kern w:val="0"/>
                      <w:szCs w:val="21"/>
                      <w:highlight w:val="none"/>
                      <w:lang w:bidi="ar"/>
                      <w14:textFill>
                        <w14:solidFill>
                          <w14:schemeClr w14:val="tx1"/>
                        </w14:solidFill>
                      </w14:textFill>
                    </w:rPr>
                    <w:t>900-</w:t>
                  </w:r>
                  <w:r>
                    <w:rPr>
                      <w:rFonts w:hint="eastAsia"/>
                      <w:color w:val="000000" w:themeColor="text1"/>
                      <w:kern w:val="0"/>
                      <w:szCs w:val="21"/>
                      <w:highlight w:val="none"/>
                      <w:lang w:bidi="ar"/>
                      <w14:textFill>
                        <w14:solidFill>
                          <w14:schemeClr w14:val="tx1"/>
                        </w14:solidFill>
                      </w14:textFill>
                    </w:rPr>
                    <w:t>041</w:t>
                  </w:r>
                  <w:r>
                    <w:rPr>
                      <w:color w:val="000000" w:themeColor="text1"/>
                      <w:kern w:val="0"/>
                      <w:szCs w:val="21"/>
                      <w:highlight w:val="none"/>
                      <w:lang w:bidi="ar"/>
                      <w14:textFill>
                        <w14:solidFill>
                          <w14:schemeClr w14:val="tx1"/>
                        </w14:solidFill>
                      </w14:textFill>
                    </w:rPr>
                    <w:t>-</w:t>
                  </w:r>
                  <w:r>
                    <w:rPr>
                      <w:rFonts w:hint="eastAsia"/>
                      <w:color w:val="000000" w:themeColor="text1"/>
                      <w:kern w:val="0"/>
                      <w:szCs w:val="21"/>
                      <w:highlight w:val="none"/>
                      <w:lang w:bidi="ar"/>
                      <w14:textFill>
                        <w14:solidFill>
                          <w14:schemeClr w14:val="tx1"/>
                        </w14:solidFill>
                      </w14:textFill>
                    </w:rPr>
                    <w:t>49</w:t>
                  </w:r>
                </w:p>
              </w:tc>
              <w:tc>
                <w:tcPr>
                  <w:tcW w:w="532" w:type="pct"/>
                  <w:vAlign w:val="center"/>
                </w:tcPr>
                <w:p w14:paraId="0BECF629">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0.2t/a</w:t>
                  </w:r>
                </w:p>
              </w:tc>
              <w:tc>
                <w:tcPr>
                  <w:tcW w:w="564" w:type="pct"/>
                  <w:vMerge w:val="continue"/>
                  <w:vAlign w:val="center"/>
                </w:tcPr>
                <w:p w14:paraId="55A72E40">
                  <w:pPr>
                    <w:tabs>
                      <w:tab w:val="left" w:pos="720"/>
                    </w:tabs>
                    <w:ind w:left="-63" w:leftChars="-30" w:right="-63" w:rightChars="-30"/>
                    <w:jc w:val="center"/>
                    <w:rPr>
                      <w:color w:val="000000" w:themeColor="text1"/>
                      <w:highlight w:val="none"/>
                      <w14:textFill>
                        <w14:solidFill>
                          <w14:schemeClr w14:val="tx1"/>
                        </w14:solidFill>
                      </w14:textFill>
                    </w:rPr>
                  </w:pPr>
                </w:p>
              </w:tc>
              <w:tc>
                <w:tcPr>
                  <w:tcW w:w="320" w:type="pct"/>
                  <w:vMerge w:val="continue"/>
                  <w:vAlign w:val="center"/>
                </w:tcPr>
                <w:p w14:paraId="4F801EF5">
                  <w:pPr>
                    <w:tabs>
                      <w:tab w:val="left" w:pos="720"/>
                    </w:tabs>
                    <w:ind w:left="-63" w:leftChars="-30" w:right="-63" w:rightChars="-30"/>
                    <w:jc w:val="center"/>
                    <w:rPr>
                      <w:color w:val="000000" w:themeColor="text1"/>
                      <w:highlight w:val="none"/>
                      <w14:textFill>
                        <w14:solidFill>
                          <w14:schemeClr w14:val="tx1"/>
                        </w14:solidFill>
                      </w14:textFill>
                    </w:rPr>
                  </w:pPr>
                </w:p>
              </w:tc>
            </w:tr>
            <w:tr w14:paraId="6FF5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14:paraId="21CCA819">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生活垃圾</w:t>
                  </w:r>
                </w:p>
              </w:tc>
              <w:tc>
                <w:tcPr>
                  <w:tcW w:w="623" w:type="pct"/>
                  <w:vAlign w:val="center"/>
                </w:tcPr>
                <w:p w14:paraId="06F54A06">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员工</w:t>
                  </w:r>
                </w:p>
              </w:tc>
              <w:tc>
                <w:tcPr>
                  <w:tcW w:w="313" w:type="pct"/>
                  <w:vAlign w:val="center"/>
                </w:tcPr>
                <w:p w14:paraId="5696DAF2">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固态</w:t>
                  </w:r>
                </w:p>
              </w:tc>
              <w:tc>
                <w:tcPr>
                  <w:tcW w:w="388" w:type="pct"/>
                  <w:vAlign w:val="center"/>
                </w:tcPr>
                <w:p w14:paraId="3F1753E6">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460" w:type="pct"/>
                  <w:vAlign w:val="center"/>
                </w:tcPr>
                <w:p w14:paraId="1C306F81">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463" w:type="pct"/>
                  <w:vAlign w:val="center"/>
                </w:tcPr>
                <w:p w14:paraId="601032DD">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758" w:type="pct"/>
                  <w:vAlign w:val="center"/>
                </w:tcPr>
                <w:p w14:paraId="3816F72F">
                  <w:pPr>
                    <w:autoSpaceDE w:val="0"/>
                    <w:autoSpaceDN w:val="0"/>
                    <w:adjustRightInd w:val="0"/>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532" w:type="pct"/>
                  <w:vAlign w:val="center"/>
                </w:tcPr>
                <w:p w14:paraId="7B2EDD0E">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1.46</w:t>
                  </w:r>
                  <w:r>
                    <w:rPr>
                      <w:rFonts w:hint="eastAsia"/>
                      <w:color w:val="000000" w:themeColor="text1"/>
                      <w:highlight w:val="none"/>
                      <w14:textFill>
                        <w14:solidFill>
                          <w14:schemeClr w14:val="tx1"/>
                        </w14:solidFill>
                      </w14:textFill>
                    </w:rPr>
                    <w:t>t/a</w:t>
                  </w:r>
                </w:p>
              </w:tc>
              <w:tc>
                <w:tcPr>
                  <w:tcW w:w="564" w:type="pct"/>
                  <w:vAlign w:val="center"/>
                </w:tcPr>
                <w:p w14:paraId="562BBDA9">
                  <w:pPr>
                    <w:tabs>
                      <w:tab w:val="left" w:pos="720"/>
                    </w:tabs>
                    <w:ind w:left="-63" w:leftChars="-30" w:right="-63" w:rightChars="-3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委托环卫部门定期清运</w:t>
                  </w:r>
                </w:p>
              </w:tc>
              <w:tc>
                <w:tcPr>
                  <w:tcW w:w="320" w:type="pct"/>
                  <w:vMerge w:val="continue"/>
                  <w:vAlign w:val="center"/>
                </w:tcPr>
                <w:p w14:paraId="33A628C7">
                  <w:pPr>
                    <w:tabs>
                      <w:tab w:val="left" w:pos="720"/>
                    </w:tabs>
                    <w:ind w:left="-63" w:leftChars="-30" w:right="-63" w:rightChars="-30"/>
                    <w:jc w:val="center"/>
                    <w:rPr>
                      <w:color w:val="000000" w:themeColor="text1"/>
                      <w:highlight w:val="none"/>
                      <w14:textFill>
                        <w14:solidFill>
                          <w14:schemeClr w14:val="tx1"/>
                        </w14:solidFill>
                      </w14:textFill>
                    </w:rPr>
                  </w:pPr>
                </w:p>
              </w:tc>
            </w:tr>
            <w:tr w14:paraId="0721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pct"/>
                  <w:vAlign w:val="center"/>
                </w:tcPr>
                <w:p w14:paraId="53E61C84">
                  <w:pPr>
                    <w:tabs>
                      <w:tab w:val="left" w:pos="720"/>
                    </w:tabs>
                    <w:ind w:left="-63" w:leftChars="-30" w:right="-63" w:rightChars="-30"/>
                    <w:jc w:val="center"/>
                    <w:rPr>
                      <w:rFonts w:hint="eastAsia" w:eastAsia="宋体"/>
                      <w:color w:val="0000FF"/>
                      <w:highlight w:val="none"/>
                      <w:lang w:val="en-US" w:eastAsia="zh-CN"/>
                    </w:rPr>
                  </w:pPr>
                  <w:r>
                    <w:rPr>
                      <w:rFonts w:hint="eastAsia"/>
                      <w:color w:val="0000FF"/>
                      <w:highlight w:val="none"/>
                      <w:lang w:val="en-US" w:eastAsia="zh-CN"/>
                    </w:rPr>
                    <w:t>污泥</w:t>
                  </w:r>
                </w:p>
              </w:tc>
              <w:tc>
                <w:tcPr>
                  <w:tcW w:w="623" w:type="pct"/>
                  <w:vAlign w:val="center"/>
                </w:tcPr>
                <w:p w14:paraId="102CDAD4">
                  <w:pPr>
                    <w:tabs>
                      <w:tab w:val="left" w:pos="720"/>
                    </w:tabs>
                    <w:ind w:left="-63" w:leftChars="-30" w:right="-63" w:rightChars="-30"/>
                    <w:jc w:val="center"/>
                    <w:rPr>
                      <w:rFonts w:hint="default" w:eastAsia="宋体"/>
                      <w:color w:val="0000FF"/>
                      <w:highlight w:val="none"/>
                      <w:lang w:val="en-US" w:eastAsia="zh-CN"/>
                    </w:rPr>
                  </w:pPr>
                  <w:r>
                    <w:rPr>
                      <w:rFonts w:hint="eastAsia"/>
                      <w:color w:val="0000FF"/>
                      <w:highlight w:val="none"/>
                      <w:lang w:val="en-US" w:eastAsia="zh-CN"/>
                    </w:rPr>
                    <w:t>一体化污水处理</w:t>
                  </w:r>
                </w:p>
              </w:tc>
              <w:tc>
                <w:tcPr>
                  <w:tcW w:w="313" w:type="pct"/>
                  <w:vAlign w:val="center"/>
                </w:tcPr>
                <w:p w14:paraId="1AF9394E">
                  <w:pPr>
                    <w:tabs>
                      <w:tab w:val="left" w:pos="720"/>
                    </w:tabs>
                    <w:ind w:left="-63" w:leftChars="-30" w:right="-63" w:rightChars="-30"/>
                    <w:jc w:val="center"/>
                    <w:rPr>
                      <w:rFonts w:hint="eastAsia"/>
                      <w:color w:val="0000FF"/>
                      <w:highlight w:val="none"/>
                    </w:rPr>
                  </w:pPr>
                  <w:r>
                    <w:rPr>
                      <w:rFonts w:hint="eastAsia"/>
                      <w:color w:val="0000FF"/>
                      <w:highlight w:val="none"/>
                    </w:rPr>
                    <w:t>固态</w:t>
                  </w:r>
                </w:p>
              </w:tc>
              <w:tc>
                <w:tcPr>
                  <w:tcW w:w="388" w:type="pct"/>
                  <w:vAlign w:val="center"/>
                </w:tcPr>
                <w:p w14:paraId="1CC2EC03">
                  <w:pPr>
                    <w:tabs>
                      <w:tab w:val="left" w:pos="720"/>
                    </w:tabs>
                    <w:ind w:left="-63" w:leftChars="-30" w:right="-63" w:rightChars="-30"/>
                    <w:jc w:val="center"/>
                    <w:rPr>
                      <w:rFonts w:hint="eastAsia" w:eastAsia="宋体"/>
                      <w:color w:val="0000FF"/>
                      <w:highlight w:val="none"/>
                      <w:lang w:val="en-US" w:eastAsia="zh-CN"/>
                    </w:rPr>
                  </w:pPr>
                  <w:r>
                    <w:rPr>
                      <w:rFonts w:hint="eastAsia"/>
                      <w:color w:val="0000FF"/>
                      <w:highlight w:val="none"/>
                      <w:lang w:val="en-US" w:eastAsia="zh-CN"/>
                    </w:rPr>
                    <w:t>-</w:t>
                  </w:r>
                </w:p>
              </w:tc>
              <w:tc>
                <w:tcPr>
                  <w:tcW w:w="460" w:type="pct"/>
                  <w:vAlign w:val="center"/>
                </w:tcPr>
                <w:p w14:paraId="527F1E1D">
                  <w:pPr>
                    <w:tabs>
                      <w:tab w:val="left" w:pos="720"/>
                    </w:tabs>
                    <w:ind w:left="-63" w:leftChars="-30" w:right="-63" w:rightChars="-30"/>
                    <w:jc w:val="center"/>
                    <w:rPr>
                      <w:rFonts w:hint="eastAsia"/>
                      <w:color w:val="0000FF"/>
                      <w:highlight w:val="none"/>
                    </w:rPr>
                  </w:pPr>
                  <w:r>
                    <w:rPr>
                      <w:rFonts w:hint="eastAsia"/>
                      <w:color w:val="0000FF"/>
                      <w:highlight w:val="none"/>
                      <w:lang w:val="en-US" w:eastAsia="zh-CN"/>
                    </w:rPr>
                    <w:t>一般固废</w:t>
                  </w:r>
                </w:p>
              </w:tc>
              <w:tc>
                <w:tcPr>
                  <w:tcW w:w="463" w:type="pct"/>
                  <w:vAlign w:val="center"/>
                </w:tcPr>
                <w:p w14:paraId="35BEBC37">
                  <w:pPr>
                    <w:autoSpaceDE w:val="0"/>
                    <w:autoSpaceDN w:val="0"/>
                    <w:adjustRightInd w:val="0"/>
                    <w:ind w:left="-63" w:leftChars="-30" w:right="-63" w:rightChars="-30"/>
                    <w:jc w:val="center"/>
                    <w:rPr>
                      <w:rFonts w:hint="eastAsia"/>
                      <w:color w:val="0000FF"/>
                      <w:highlight w:val="none"/>
                    </w:rPr>
                  </w:pPr>
                  <w:r>
                    <w:rPr>
                      <w:rFonts w:hint="eastAsia"/>
                      <w:color w:val="0000FF"/>
                      <w:highlight w:val="none"/>
                    </w:rPr>
                    <w:t>/</w:t>
                  </w:r>
                </w:p>
              </w:tc>
              <w:tc>
                <w:tcPr>
                  <w:tcW w:w="758" w:type="pct"/>
                  <w:vAlign w:val="center"/>
                </w:tcPr>
                <w:p w14:paraId="4C96720B">
                  <w:pPr>
                    <w:autoSpaceDE w:val="0"/>
                    <w:autoSpaceDN w:val="0"/>
                    <w:adjustRightInd w:val="0"/>
                    <w:ind w:left="-63" w:leftChars="-30" w:right="-63" w:rightChars="-30"/>
                    <w:jc w:val="center"/>
                    <w:rPr>
                      <w:rFonts w:hint="eastAsia"/>
                      <w:color w:val="0000FF"/>
                      <w:highlight w:val="none"/>
                    </w:rPr>
                  </w:pPr>
                  <w:r>
                    <w:rPr>
                      <w:rFonts w:hint="eastAsia"/>
                      <w:color w:val="0000FF"/>
                      <w:highlight w:val="none"/>
                    </w:rPr>
                    <w:t>/</w:t>
                  </w:r>
                </w:p>
              </w:tc>
              <w:tc>
                <w:tcPr>
                  <w:tcW w:w="532" w:type="pct"/>
                  <w:vAlign w:val="center"/>
                </w:tcPr>
                <w:p w14:paraId="44117696">
                  <w:pPr>
                    <w:tabs>
                      <w:tab w:val="left" w:pos="720"/>
                    </w:tabs>
                    <w:ind w:left="-63" w:leftChars="-30" w:right="-63" w:rightChars="-30"/>
                    <w:jc w:val="center"/>
                    <w:rPr>
                      <w:rFonts w:hint="default"/>
                      <w:color w:val="0000FF"/>
                      <w:highlight w:val="none"/>
                      <w:lang w:val="en-US" w:eastAsia="zh-CN"/>
                    </w:rPr>
                  </w:pPr>
                  <w:r>
                    <w:rPr>
                      <w:rFonts w:hint="eastAsia"/>
                      <w:color w:val="0000FF"/>
                      <w:highlight w:val="none"/>
                      <w:lang w:val="en-US" w:eastAsia="zh-CN"/>
                    </w:rPr>
                    <w:t>1t/a</w:t>
                  </w:r>
                </w:p>
              </w:tc>
              <w:tc>
                <w:tcPr>
                  <w:tcW w:w="564" w:type="pct"/>
                  <w:vAlign w:val="center"/>
                </w:tcPr>
                <w:p w14:paraId="0899E16E">
                  <w:pPr>
                    <w:tabs>
                      <w:tab w:val="left" w:pos="720"/>
                    </w:tabs>
                    <w:ind w:left="-63" w:leftChars="-30" w:right="-63" w:rightChars="-30"/>
                    <w:jc w:val="center"/>
                    <w:rPr>
                      <w:rFonts w:hint="eastAsia"/>
                      <w:color w:val="0000FF"/>
                      <w:highlight w:val="none"/>
                    </w:rPr>
                  </w:pPr>
                  <w:r>
                    <w:rPr>
                      <w:rFonts w:hint="eastAsia"/>
                      <w:color w:val="0000FF"/>
                      <w:highlight w:val="none"/>
                      <w:lang w:val="en-US" w:eastAsia="zh-CN"/>
                    </w:rPr>
                    <w:t>生活垃圾填埋场处置</w:t>
                  </w:r>
                </w:p>
              </w:tc>
              <w:tc>
                <w:tcPr>
                  <w:tcW w:w="320" w:type="pct"/>
                  <w:vMerge w:val="continue"/>
                  <w:vAlign w:val="center"/>
                </w:tcPr>
                <w:p w14:paraId="54E2196E">
                  <w:pPr>
                    <w:tabs>
                      <w:tab w:val="left" w:pos="720"/>
                    </w:tabs>
                    <w:ind w:left="-63" w:leftChars="-30" w:right="-63" w:rightChars="-30"/>
                    <w:jc w:val="center"/>
                    <w:rPr>
                      <w:color w:val="000000" w:themeColor="text1"/>
                      <w:highlight w:val="none"/>
                      <w14:textFill>
                        <w14:solidFill>
                          <w14:schemeClr w14:val="tx1"/>
                        </w14:solidFill>
                      </w14:textFill>
                    </w:rPr>
                  </w:pPr>
                </w:p>
              </w:tc>
            </w:tr>
          </w:tbl>
          <w:p w14:paraId="12239781">
            <w:pPr>
              <w:pStyle w:val="64"/>
              <w:spacing w:before="120" w:beforeLines="50"/>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7、运营期环境风险分析</w:t>
            </w:r>
          </w:p>
          <w:p w14:paraId="613A62FB">
            <w:pPr>
              <w:pStyle w:val="30"/>
              <w:adjustRightInd w:val="0"/>
              <w:spacing w:before="0" w:after="0" w:line="360" w:lineRule="auto"/>
              <w:ind w:right="0"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（1）环境风险分析</w:t>
            </w:r>
          </w:p>
          <w:p w14:paraId="5B8B247D">
            <w:pPr>
              <w:pStyle w:val="30"/>
              <w:adjustRightInd w:val="0"/>
              <w:spacing w:before="0" w:after="0" w:line="360" w:lineRule="auto"/>
              <w:ind w:right="0"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本项目为输变电工程，根据</w:t>
            </w:r>
            <w:r>
              <w:rPr>
                <w:color w:val="000000" w:themeColor="text1"/>
                <w:sz w:val="24"/>
                <w:highlight w:val="none"/>
                <w14:textFill>
                  <w14:solidFill>
                    <w14:schemeClr w14:val="tx1"/>
                  </w14:solidFill>
                </w14:textFill>
              </w:rPr>
              <w:t>《建设项目环境风险评价技术导则》（HJ169-2018）不适用于</w:t>
            </w:r>
            <w:r>
              <w:rPr>
                <w:rFonts w:hint="eastAsia"/>
                <w:color w:val="000000" w:themeColor="text1"/>
                <w:sz w:val="24"/>
                <w:highlight w:val="none"/>
                <w14:textFill>
                  <w14:solidFill>
                    <w14:schemeClr w14:val="tx1"/>
                  </w14:solidFill>
                </w14:textFill>
              </w:rPr>
              <w:t>本</w:t>
            </w:r>
            <w:r>
              <w:rPr>
                <w:color w:val="000000" w:themeColor="text1"/>
                <w:sz w:val="24"/>
                <w:highlight w:val="none"/>
                <w14:textFill>
                  <w14:solidFill>
                    <w14:schemeClr w14:val="tx1"/>
                  </w14:solidFill>
                </w14:textFill>
              </w:rPr>
              <w:t>项目，</w:t>
            </w:r>
            <w:r>
              <w:rPr>
                <w:rFonts w:hint="eastAsia"/>
                <w:color w:val="000000" w:themeColor="text1"/>
                <w:sz w:val="24"/>
                <w:highlight w:val="none"/>
                <w14:textFill>
                  <w14:solidFill>
                    <w14:schemeClr w14:val="tx1"/>
                  </w14:solidFill>
                </w14:textFill>
              </w:rPr>
              <w:t>本次针对环境风险进行简单分析如下：</w:t>
            </w:r>
          </w:p>
          <w:p w14:paraId="74EE44C9">
            <w:pPr>
              <w:pStyle w:val="30"/>
              <w:adjustRightInd w:val="0"/>
              <w:spacing w:before="0" w:after="0" w:line="360" w:lineRule="auto"/>
              <w:ind w:right="0"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本项目在生产过程中使用的主要风险源为</w:t>
            </w:r>
            <w:r>
              <w:rPr>
                <w:rFonts w:hint="eastAsia"/>
                <w:color w:val="000000" w:themeColor="text1"/>
                <w:sz w:val="24"/>
                <w:highlight w:val="none"/>
                <w:lang w:val="en-US" w:eastAsia="zh-CN"/>
                <w14:textFill>
                  <w14:solidFill>
                    <w14:schemeClr w14:val="tx1"/>
                  </w14:solidFill>
                </w14:textFill>
              </w:rPr>
              <w:t>110kV升压站</w:t>
            </w:r>
            <w:r>
              <w:rPr>
                <w:color w:val="000000" w:themeColor="text1"/>
                <w:sz w:val="24"/>
                <w:highlight w:val="none"/>
                <w14:textFill>
                  <w14:solidFill>
                    <w14:schemeClr w14:val="tx1"/>
                  </w14:solidFill>
                </w14:textFill>
              </w:rPr>
              <w:t>变压器</w:t>
            </w:r>
            <w:r>
              <w:rPr>
                <w:rFonts w:hint="eastAsia"/>
                <w:color w:val="000000" w:themeColor="text1"/>
                <w:sz w:val="24"/>
                <w:highlight w:val="none"/>
                <w:lang w:val="en-US" w:eastAsia="zh-CN"/>
                <w14:textFill>
                  <w14:solidFill>
                    <w14:schemeClr w14:val="tx1"/>
                  </w14:solidFill>
                </w14:textFill>
              </w:rPr>
              <w:t>及储能站的磷酸铁锂电池</w:t>
            </w:r>
            <w:r>
              <w:rPr>
                <w:color w:val="000000" w:themeColor="text1"/>
                <w:sz w:val="24"/>
                <w:highlight w:val="none"/>
                <w14:textFill>
                  <w14:solidFill>
                    <w14:schemeClr w14:val="tx1"/>
                  </w14:solidFill>
                </w14:textFill>
              </w:rPr>
              <w:t>，风险物质为</w:t>
            </w:r>
            <w:r>
              <w:rPr>
                <w:rFonts w:hint="eastAsia"/>
                <w:color w:val="000000" w:themeColor="text1"/>
                <w:sz w:val="24"/>
                <w:highlight w:val="none"/>
                <w14:textFill>
                  <w14:solidFill>
                    <w14:schemeClr w14:val="tx1"/>
                  </w14:solidFill>
                </w14:textFill>
              </w:rPr>
              <w:t>事故废油</w:t>
            </w:r>
            <w:r>
              <w:rPr>
                <w:rFonts w:hint="eastAsia"/>
                <w:color w:val="000000" w:themeColor="text1"/>
                <w:sz w:val="24"/>
                <w:highlight w:val="none"/>
                <w:lang w:val="en-US" w:eastAsia="zh-CN"/>
                <w14:textFill>
                  <w14:solidFill>
                    <w14:schemeClr w14:val="tx1"/>
                  </w14:solidFill>
                </w14:textFill>
              </w:rPr>
              <w:t>及电解液</w:t>
            </w:r>
            <w:r>
              <w:rPr>
                <w:color w:val="000000" w:themeColor="text1"/>
                <w:sz w:val="24"/>
                <w:highlight w:val="none"/>
                <w14:textFill>
                  <w14:solidFill>
                    <w14:schemeClr w14:val="tx1"/>
                  </w14:solidFill>
                </w14:textFill>
              </w:rPr>
              <w:t>，风险传播途径为直接</w:t>
            </w:r>
            <w:r>
              <w:rPr>
                <w:rFonts w:hint="eastAsia" w:cs="Times New Roman"/>
                <w:color w:val="000000" w:themeColor="text1"/>
                <w:sz w:val="24"/>
                <w:lang w:eastAsia="zh-CN"/>
                <w14:textFill>
                  <w14:solidFill>
                    <w14:schemeClr w14:val="tx1"/>
                  </w14:solidFill>
                </w14:textFill>
              </w:rPr>
              <w:t>泄漏</w:t>
            </w:r>
            <w:r>
              <w:rPr>
                <w:color w:val="000000" w:themeColor="text1"/>
                <w:sz w:val="24"/>
                <w:highlight w:val="none"/>
                <w14:textFill>
                  <w14:solidFill>
                    <w14:schemeClr w14:val="tx1"/>
                  </w14:solidFill>
                </w14:textFill>
              </w:rPr>
              <w:t>及爆炸引发的火灾事故。</w:t>
            </w:r>
          </w:p>
          <w:p w14:paraId="221AB2F9">
            <w:pPr>
              <w:pStyle w:val="30"/>
              <w:adjustRightInd w:val="0"/>
              <w:spacing w:before="0" w:after="0" w:line="360" w:lineRule="auto"/>
              <w:ind w:right="0" w:firstLine="480" w:firstLineChars="200"/>
              <w:rPr>
                <w:rFonts w:hint="default" w:ascii="Times New Roman" w:hAnsi="Times New Roman" w:cs="Times New Roman"/>
                <w:color w:val="000000" w:themeColor="text1"/>
                <w:sz w:val="24"/>
                <w:highlight w:val="none"/>
                <w:lang w:val="en-US" w:eastAsia="zh-CN" w:bidi="ar"/>
                <w14:textFill>
                  <w14:solidFill>
                    <w14:schemeClr w14:val="tx1"/>
                  </w14:solidFill>
                </w14:textFill>
              </w:rPr>
            </w:pPr>
            <w:r>
              <w:rPr>
                <w:rFonts w:hint="default" w:ascii="Times New Roman" w:hAnsi="Times New Roman" w:cs="Times New Roman"/>
                <w:color w:val="000000" w:themeColor="text1"/>
                <w:sz w:val="24"/>
                <w:highlight w:val="none"/>
                <w:lang w:eastAsia="zh-CN" w:bidi="ar"/>
                <w14:textFill>
                  <w14:solidFill>
                    <w14:schemeClr w14:val="tx1"/>
                  </w14:solidFill>
                </w14:textFill>
              </w:rPr>
              <w:t>①</w:t>
            </w:r>
            <w:r>
              <w:rPr>
                <w:rFonts w:hint="eastAsia" w:ascii="Times New Roman" w:hAnsi="Times New Roman" w:cs="Times New Roman"/>
                <w:color w:val="000000" w:themeColor="text1"/>
                <w:sz w:val="24"/>
                <w:highlight w:val="none"/>
                <w:lang w:val="en-US" w:eastAsia="zh-CN" w:bidi="ar"/>
                <w14:textFill>
                  <w14:solidFill>
                    <w14:schemeClr w14:val="tx1"/>
                  </w14:solidFill>
                </w14:textFill>
              </w:rPr>
              <w:t>升压站环境风险分析</w:t>
            </w:r>
          </w:p>
          <w:p w14:paraId="46D0A33F">
            <w:pPr>
              <w:pStyle w:val="30"/>
              <w:adjustRightInd w:val="0"/>
              <w:spacing w:before="0" w:after="0" w:line="360" w:lineRule="auto"/>
              <w:ind w:right="0" w:firstLine="480" w:firstLineChars="200"/>
              <w:rPr>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本工程升压站建设规模</w:t>
            </w:r>
            <w:r>
              <w:rPr>
                <w:rFonts w:hint="eastAsia"/>
                <w:color w:val="000000" w:themeColor="text1"/>
                <w:sz w:val="24"/>
                <w:highlight w:val="none"/>
                <w:lang w:val="en-US" w:eastAsia="zh-CN" w:bidi="ar"/>
                <w14:textFill>
                  <w14:solidFill>
                    <w14:schemeClr w14:val="tx1"/>
                  </w14:solidFill>
                </w14:textFill>
              </w:rPr>
              <w:t>1</w:t>
            </w:r>
            <w:r>
              <w:rPr>
                <w:rFonts w:hint="eastAsia"/>
                <w:color w:val="000000" w:themeColor="text1"/>
                <w:sz w:val="24"/>
                <w:highlight w:val="none"/>
                <w:lang w:bidi="ar"/>
                <w14:textFill>
                  <w14:solidFill>
                    <w14:schemeClr w14:val="tx1"/>
                  </w14:solidFill>
                </w14:textFill>
              </w:rPr>
              <w:t>×</w:t>
            </w:r>
            <w:r>
              <w:rPr>
                <w:rFonts w:hint="eastAsia"/>
                <w:color w:val="000000" w:themeColor="text1"/>
                <w:sz w:val="24"/>
                <w:highlight w:val="none"/>
                <w:lang w:val="en-US" w:eastAsia="zh-CN" w:bidi="ar"/>
                <w14:textFill>
                  <w14:solidFill>
                    <w14:schemeClr w14:val="tx1"/>
                  </w14:solidFill>
                </w14:textFill>
              </w:rPr>
              <w:t>12</w:t>
            </w:r>
            <w:r>
              <w:rPr>
                <w:rFonts w:hint="eastAsia"/>
                <w:color w:val="000000" w:themeColor="text1"/>
                <w:sz w:val="24"/>
                <w:highlight w:val="none"/>
                <w:lang w:bidi="ar"/>
                <w14:textFill>
                  <w14:solidFill>
                    <w14:schemeClr w14:val="tx1"/>
                  </w14:solidFill>
                </w14:textFill>
              </w:rPr>
              <w:t>0MVA主变压器，变压器</w:t>
            </w:r>
            <w:r>
              <w:rPr>
                <w:color w:val="000000" w:themeColor="text1"/>
                <w:sz w:val="24"/>
                <w:highlight w:val="none"/>
                <w:lang w:bidi="ar"/>
                <w14:textFill>
                  <w14:solidFill>
                    <w14:schemeClr w14:val="tx1"/>
                  </w14:solidFill>
                </w14:textFill>
              </w:rPr>
              <w:t>充油量</w:t>
            </w:r>
            <w:r>
              <w:rPr>
                <w:rFonts w:hint="eastAsia"/>
                <w:color w:val="000000" w:themeColor="text1"/>
                <w:sz w:val="24"/>
                <w:highlight w:val="none"/>
                <w:lang w:val="en-US" w:eastAsia="zh-CN" w:bidi="ar"/>
                <w14:textFill>
                  <w14:solidFill>
                    <w14:schemeClr w14:val="tx1"/>
                  </w14:solidFill>
                </w14:textFill>
              </w:rPr>
              <w:t>35</w:t>
            </w:r>
            <w:r>
              <w:rPr>
                <w:color w:val="000000" w:themeColor="text1"/>
                <w:sz w:val="24"/>
                <w:highlight w:val="none"/>
                <w:lang w:bidi="ar"/>
                <w14:textFill>
                  <w14:solidFill>
                    <w14:schemeClr w14:val="tx1"/>
                  </w14:solidFill>
                </w14:textFill>
              </w:rPr>
              <w:t>t，按照变压器油密度895kg/m</w:t>
            </w:r>
            <w:r>
              <w:rPr>
                <w:color w:val="000000" w:themeColor="text1"/>
                <w:sz w:val="24"/>
                <w:highlight w:val="none"/>
                <w:vertAlign w:val="superscript"/>
                <w:lang w:bidi="ar"/>
                <w14:textFill>
                  <w14:solidFill>
                    <w14:schemeClr w14:val="tx1"/>
                  </w14:solidFill>
                </w14:textFill>
              </w:rPr>
              <w:t>3</w:t>
            </w:r>
            <w:r>
              <w:rPr>
                <w:color w:val="000000" w:themeColor="text1"/>
                <w:sz w:val="24"/>
                <w:highlight w:val="none"/>
                <w:lang w:bidi="ar"/>
                <w14:textFill>
                  <w14:solidFill>
                    <w14:schemeClr w14:val="tx1"/>
                  </w14:solidFill>
                </w14:textFill>
              </w:rPr>
              <w:t>进行估算，约</w:t>
            </w:r>
            <w:r>
              <w:rPr>
                <w:rFonts w:hint="eastAsia"/>
                <w:color w:val="000000" w:themeColor="text1"/>
                <w:sz w:val="24"/>
                <w:highlight w:val="none"/>
                <w:lang w:val="en-US" w:eastAsia="zh-CN" w:bidi="ar"/>
                <w14:textFill>
                  <w14:solidFill>
                    <w14:schemeClr w14:val="tx1"/>
                  </w14:solidFill>
                </w14:textFill>
              </w:rPr>
              <w:t>39.11</w:t>
            </w:r>
            <w:r>
              <w:rPr>
                <w:color w:val="000000" w:themeColor="text1"/>
                <w:sz w:val="24"/>
                <w:highlight w:val="none"/>
                <w:lang w:bidi="ar"/>
                <w14:textFill>
                  <w14:solidFill>
                    <w14:schemeClr w14:val="tx1"/>
                  </w14:solidFill>
                </w14:textFill>
              </w:rPr>
              <w:t>m</w:t>
            </w:r>
            <w:r>
              <w:rPr>
                <w:color w:val="000000" w:themeColor="text1"/>
                <w:sz w:val="24"/>
                <w:highlight w:val="none"/>
                <w:vertAlign w:val="superscript"/>
                <w:lang w:bidi="ar"/>
                <w14:textFill>
                  <w14:solidFill>
                    <w14:schemeClr w14:val="tx1"/>
                  </w14:solidFill>
                </w14:textFill>
              </w:rPr>
              <w:t>3</w:t>
            </w:r>
            <w:r>
              <w:rPr>
                <w:color w:val="000000" w:themeColor="text1"/>
                <w:sz w:val="24"/>
                <w:highlight w:val="none"/>
                <w:lang w:bidi="ar"/>
                <w14:textFill>
                  <w14:solidFill>
                    <w14:schemeClr w14:val="tx1"/>
                  </w14:solidFill>
                </w14:textFill>
              </w:rPr>
              <w:t>。根据《火力发电厂与变电所设计防火标准》（GB 50229-2019）中“屋外单台油量为1000kg以上的电气设备，应设置贮油或挡油设施，其容积宜按设备油量的20%设计，并能将事故油排至总事故贮油池。总事故贮油池的容量应按其接入的油量最大的一台设备确定，并设置油水分离装置。”</w:t>
            </w:r>
          </w:p>
          <w:p w14:paraId="76CD24DA">
            <w:pPr>
              <w:pStyle w:val="78"/>
              <w:ind w:firstLine="480"/>
              <w:rPr>
                <w:color w:val="000000" w:themeColor="text1"/>
                <w:kern w:val="0"/>
                <w:highlight w:val="none"/>
                <w:lang w:bidi="ar"/>
                <w14:textFill>
                  <w14:solidFill>
                    <w14:schemeClr w14:val="tx1"/>
                  </w14:solidFill>
                </w14:textFill>
              </w:rPr>
            </w:pPr>
            <w:r>
              <w:rPr>
                <w:color w:val="000000" w:themeColor="text1"/>
                <w:kern w:val="0"/>
                <w:highlight w:val="none"/>
                <w:lang w:bidi="ar"/>
                <w14:textFill>
                  <w14:solidFill>
                    <w14:schemeClr w14:val="tx1"/>
                  </w14:solidFill>
                </w14:textFill>
              </w:rPr>
              <w:t>本工程</w:t>
            </w:r>
            <w:r>
              <w:rPr>
                <w:rFonts w:hint="eastAsia"/>
                <w:color w:val="000000" w:themeColor="text1"/>
                <w:kern w:val="0"/>
                <w:highlight w:val="none"/>
                <w:lang w:val="en-US" w:eastAsia="zh-CN" w:bidi="ar"/>
                <w14:textFill>
                  <w14:solidFill>
                    <w14:schemeClr w14:val="tx1"/>
                  </w14:solidFill>
                </w14:textFill>
              </w:rPr>
              <w:t>110</w:t>
            </w:r>
            <w:r>
              <w:rPr>
                <w:rFonts w:hint="eastAsia"/>
                <w:color w:val="000000" w:themeColor="text1"/>
                <w:kern w:val="0"/>
                <w:highlight w:val="none"/>
                <w:lang w:bidi="ar"/>
                <w14:textFill>
                  <w14:solidFill>
                    <w14:schemeClr w14:val="tx1"/>
                  </w14:solidFill>
                </w14:textFill>
              </w:rPr>
              <w:t>kV</w:t>
            </w:r>
            <w:r>
              <w:rPr>
                <w:color w:val="000000" w:themeColor="text1"/>
                <w:highlight w:val="none"/>
                <w:lang w:val="zh-CN"/>
                <w14:textFill>
                  <w14:solidFill>
                    <w14:schemeClr w14:val="tx1"/>
                  </w14:solidFill>
                </w14:textFill>
              </w:rPr>
              <w:t>升压站</w:t>
            </w:r>
            <w:r>
              <w:rPr>
                <w:color w:val="000000" w:themeColor="text1"/>
                <w:kern w:val="0"/>
                <w:highlight w:val="none"/>
                <w:lang w:bidi="ar"/>
                <w14:textFill>
                  <w14:solidFill>
                    <w14:schemeClr w14:val="tx1"/>
                  </w14:solidFill>
                </w14:textFill>
              </w:rPr>
              <w:t>内设有1座</w:t>
            </w:r>
            <w:r>
              <w:rPr>
                <w:rFonts w:hint="eastAsia"/>
                <w:color w:val="000000" w:themeColor="text1"/>
                <w:kern w:val="0"/>
                <w:highlight w:val="none"/>
                <w:lang w:val="en-US" w:eastAsia="zh-CN" w:bidi="ar"/>
                <w14:textFill>
                  <w14:solidFill>
                    <w14:schemeClr w14:val="tx1"/>
                  </w14:solidFill>
                </w14:textFill>
              </w:rPr>
              <w:t>有效</w:t>
            </w:r>
            <w:r>
              <w:rPr>
                <w:color w:val="000000" w:themeColor="text1"/>
                <w:kern w:val="0"/>
                <w:highlight w:val="none"/>
                <w:lang w:bidi="ar"/>
                <w14:textFill>
                  <w14:solidFill>
                    <w14:schemeClr w14:val="tx1"/>
                  </w14:solidFill>
                </w14:textFill>
              </w:rPr>
              <w:t>容积为</w:t>
            </w:r>
            <w:r>
              <w:rPr>
                <w:rFonts w:hint="eastAsia"/>
                <w:color w:val="000000" w:themeColor="text1"/>
                <w:kern w:val="0"/>
                <w:highlight w:val="none"/>
                <w:lang w:val="en-US" w:eastAsia="zh-CN" w:bidi="ar"/>
                <w14:textFill>
                  <w14:solidFill>
                    <w14:schemeClr w14:val="tx1"/>
                  </w14:solidFill>
                </w14:textFill>
              </w:rPr>
              <w:t>40</w:t>
            </w:r>
            <w:r>
              <w:rPr>
                <w:color w:val="000000" w:themeColor="text1"/>
                <w:kern w:val="0"/>
                <w:highlight w:val="none"/>
                <w:lang w:bidi="ar"/>
                <w14:textFill>
                  <w14:solidFill>
                    <w14:schemeClr w14:val="tx1"/>
                  </w14:solidFill>
                </w14:textFill>
              </w:rPr>
              <w:t>m</w:t>
            </w:r>
            <w:r>
              <w:rPr>
                <w:color w:val="000000" w:themeColor="text1"/>
                <w:kern w:val="0"/>
                <w:highlight w:val="none"/>
                <w:vertAlign w:val="superscript"/>
                <w:lang w:bidi="ar"/>
                <w14:textFill>
                  <w14:solidFill>
                    <w14:schemeClr w14:val="tx1"/>
                  </w14:solidFill>
                </w14:textFill>
              </w:rPr>
              <w:t>3</w:t>
            </w:r>
            <w:r>
              <w:rPr>
                <w:color w:val="000000" w:themeColor="text1"/>
                <w:szCs w:val="22"/>
                <w:highlight w:val="none"/>
                <w14:textFill>
                  <w14:solidFill>
                    <w14:schemeClr w14:val="tx1"/>
                  </w14:solidFill>
                </w14:textFill>
              </w:rPr>
              <w:t>事故油池，可容纳</w:t>
            </w:r>
            <w:r>
              <w:rPr>
                <w:rFonts w:hint="eastAsia"/>
                <w:color w:val="000000" w:themeColor="text1"/>
                <w:szCs w:val="22"/>
                <w:highlight w:val="none"/>
                <w14:textFill>
                  <w14:solidFill>
                    <w14:schemeClr w14:val="tx1"/>
                  </w14:solidFill>
                </w14:textFill>
              </w:rPr>
              <w:t>单台变压器</w:t>
            </w:r>
            <w:r>
              <w:rPr>
                <w:color w:val="000000" w:themeColor="text1"/>
                <w:szCs w:val="22"/>
                <w:highlight w:val="none"/>
                <w14:textFill>
                  <w14:solidFill>
                    <w14:schemeClr w14:val="tx1"/>
                  </w14:solidFill>
                </w14:textFill>
              </w:rPr>
              <w:t>全部事故排油量，且</w:t>
            </w:r>
            <w:r>
              <w:rPr>
                <w:color w:val="000000" w:themeColor="text1"/>
                <w:highlight w:val="none"/>
                <w14:textFill>
                  <w14:solidFill>
                    <w14:schemeClr w14:val="tx1"/>
                  </w14:solidFill>
                </w14:textFill>
              </w:rPr>
              <w:t>变压器基础下部设储油</w:t>
            </w:r>
            <w:r>
              <w:rPr>
                <w:rFonts w:hint="eastAsia"/>
                <w:color w:val="000000" w:themeColor="text1"/>
                <w:highlight w:val="none"/>
                <w14:textFill>
                  <w14:solidFill>
                    <w14:schemeClr w14:val="tx1"/>
                  </w14:solidFill>
                </w14:textFill>
              </w:rPr>
              <w:t>坑</w:t>
            </w:r>
            <w:r>
              <w:rPr>
                <w:color w:val="000000" w:themeColor="text1"/>
                <w:highlight w:val="none"/>
                <w14:textFill>
                  <w14:solidFill>
                    <w14:schemeClr w14:val="tx1"/>
                  </w14:solidFill>
                </w14:textFill>
              </w:rPr>
              <w:t>（容积为</w:t>
            </w:r>
            <w:r>
              <w:rPr>
                <w:rFonts w:hint="eastAsia"/>
                <w:color w:val="000000" w:themeColor="text1"/>
                <w:highlight w:val="non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主变压器油量的20%）</w:t>
            </w:r>
            <w:r>
              <w:rPr>
                <w:color w:val="000000" w:themeColor="text1"/>
                <w:kern w:val="0"/>
                <w:highlight w:val="none"/>
                <w:lang w:bidi="ar"/>
                <w14:textFill>
                  <w14:solidFill>
                    <w14:schemeClr w14:val="tx1"/>
                  </w14:solidFill>
                </w14:textFill>
              </w:rPr>
              <w:t>，</w:t>
            </w:r>
            <w:r>
              <w:rPr>
                <w:color w:val="000000" w:themeColor="text1"/>
                <w:highlight w:val="none"/>
                <w14:textFill>
                  <w14:solidFill>
                    <w14:schemeClr w14:val="tx1"/>
                  </w14:solidFill>
                </w14:textFill>
              </w:rPr>
              <w:t>储油</w:t>
            </w:r>
            <w:r>
              <w:rPr>
                <w:rFonts w:hint="eastAsia"/>
                <w:color w:val="000000" w:themeColor="text1"/>
                <w:highlight w:val="none"/>
                <w14:textFill>
                  <w14:solidFill>
                    <w14:schemeClr w14:val="tx1"/>
                  </w14:solidFill>
                </w14:textFill>
              </w:rPr>
              <w:t>坑</w:t>
            </w:r>
            <w:r>
              <w:rPr>
                <w:color w:val="000000" w:themeColor="text1"/>
                <w:kern w:val="0"/>
                <w:highlight w:val="none"/>
                <w:lang w:bidi="ar"/>
                <w14:textFill>
                  <w14:solidFill>
                    <w14:schemeClr w14:val="tx1"/>
                  </w14:solidFill>
                </w14:textFill>
              </w:rPr>
              <w:t>的四周设挡油坎，高出地面100mm。坑内铺设厚度为250mm～300mm的卵石，卵石粒径为50mm～80mm，坑底设有排油管，能将事故油排至事故油池中。</w:t>
            </w:r>
            <w:r>
              <w:rPr>
                <w:rFonts w:hint="eastAsia"/>
                <w:color w:val="000000" w:themeColor="text1"/>
                <w:highlight w:val="none"/>
                <w14:textFill>
                  <w14:solidFill>
                    <w14:schemeClr w14:val="tx1"/>
                  </w14:solidFill>
                </w14:textFill>
              </w:rPr>
              <w:t>满足《火力发电厂与变电站设计防火标准》（GB50229-2019）中的相关要求。</w:t>
            </w:r>
          </w:p>
          <w:p w14:paraId="7793D0AD">
            <w:pPr>
              <w:pStyle w:val="30"/>
              <w:adjustRightInd w:val="0"/>
              <w:spacing w:before="0" w:after="0" w:line="360" w:lineRule="auto"/>
              <w:ind w:right="0" w:firstLine="480" w:firstLineChars="200"/>
              <w:rPr>
                <w:color w:val="000000" w:themeColor="text1"/>
                <w:sz w:val="24"/>
                <w:highlight w:val="none"/>
                <w:lang w:val="zh-CN"/>
                <w14:textFill>
                  <w14:solidFill>
                    <w14:schemeClr w14:val="tx1"/>
                  </w14:solidFill>
                </w14:textFill>
              </w:rPr>
            </w:pPr>
            <w:r>
              <w:rPr>
                <w:rFonts w:hint="eastAsia"/>
                <w:color w:val="000000" w:themeColor="text1"/>
                <w:sz w:val="24"/>
                <w:highlight w:val="none"/>
                <w14:textFill>
                  <w14:solidFill>
                    <w14:schemeClr w14:val="tx1"/>
                  </w14:solidFill>
                </w14:textFill>
              </w:rPr>
              <w:t>升压站</w:t>
            </w:r>
            <w:r>
              <w:rPr>
                <w:color w:val="000000" w:themeColor="text1"/>
                <w:sz w:val="24"/>
                <w:highlight w:val="none"/>
                <w:lang w:val="zh-CN"/>
                <w14:textFill>
                  <w14:solidFill>
                    <w14:schemeClr w14:val="tx1"/>
                  </w14:solidFill>
                </w14:textFill>
              </w:rPr>
              <w:t>运行期有严格的检修操作规程，同时主变都配备有油压监控设备和主变保护装置，在发生事故排油时会发出警告声；根据以往</w:t>
            </w:r>
            <w:r>
              <w:rPr>
                <w:rFonts w:hint="eastAsia"/>
                <w:color w:val="000000" w:themeColor="text1"/>
                <w:sz w:val="24"/>
                <w:highlight w:val="none"/>
                <w:lang w:val="zh-CN"/>
                <w14:textFill>
                  <w14:solidFill>
                    <w14:schemeClr w14:val="tx1"/>
                  </w14:solidFill>
                </w14:textFill>
              </w:rPr>
              <w:t>变电</w:t>
            </w:r>
            <w:r>
              <w:rPr>
                <w:color w:val="000000" w:themeColor="text1"/>
                <w:sz w:val="24"/>
                <w:highlight w:val="none"/>
                <w:lang w:val="zh-CN"/>
                <w14:textFill>
                  <w14:solidFill>
                    <w14:schemeClr w14:val="tx1"/>
                  </w14:solidFill>
                </w14:textFill>
              </w:rPr>
              <w:t>站主变运行管理的经验，主变发生事故排油的情况极少出现，在配备建设有</w:t>
            </w:r>
            <w:r>
              <w:rPr>
                <w:rFonts w:hint="eastAsia"/>
                <w:color w:val="000000" w:themeColor="text1"/>
                <w:sz w:val="24"/>
                <w:highlight w:val="none"/>
                <w:lang w:val="zh-CN"/>
                <w14:textFill>
                  <w14:solidFill>
                    <w14:schemeClr w14:val="tx1"/>
                  </w14:solidFill>
                </w14:textFill>
              </w:rPr>
              <w:t>事故油池</w:t>
            </w:r>
            <w:r>
              <w:rPr>
                <w:color w:val="000000" w:themeColor="text1"/>
                <w:sz w:val="24"/>
                <w:highlight w:val="none"/>
                <w:lang w:val="zh-CN"/>
                <w14:textFill>
                  <w14:solidFill>
                    <w14:schemeClr w14:val="tx1"/>
                  </w14:solidFill>
                </w14:textFill>
              </w:rPr>
              <w:t>时发生废油渗漏事故概率非常小，因此在做好严格的监控、防范措施的前提下，</w:t>
            </w:r>
            <w:r>
              <w:rPr>
                <w:rFonts w:hint="eastAsia"/>
                <w:color w:val="000000" w:themeColor="text1"/>
                <w:sz w:val="24"/>
                <w:highlight w:val="none"/>
                <w14:textFill>
                  <w14:solidFill>
                    <w14:schemeClr w14:val="tx1"/>
                  </w14:solidFill>
                </w14:textFill>
              </w:rPr>
              <w:t>本项目</w:t>
            </w:r>
            <w:r>
              <w:rPr>
                <w:color w:val="000000" w:themeColor="text1"/>
                <w:sz w:val="24"/>
                <w:highlight w:val="none"/>
                <w:lang w:val="zh-CN"/>
                <w14:textFill>
                  <w14:solidFill>
                    <w14:schemeClr w14:val="tx1"/>
                  </w14:solidFill>
                </w14:textFill>
              </w:rPr>
              <w:t>主变油品</w:t>
            </w:r>
            <w:r>
              <w:rPr>
                <w:rFonts w:hint="eastAsia" w:cs="Times New Roman"/>
                <w:color w:val="000000" w:themeColor="text1"/>
                <w:sz w:val="24"/>
                <w:lang w:eastAsia="zh-CN"/>
                <w14:textFill>
                  <w14:solidFill>
                    <w14:schemeClr w14:val="tx1"/>
                  </w14:solidFill>
                </w14:textFill>
              </w:rPr>
              <w:t>泄漏</w:t>
            </w:r>
            <w:r>
              <w:rPr>
                <w:color w:val="000000" w:themeColor="text1"/>
                <w:sz w:val="24"/>
                <w:highlight w:val="none"/>
                <w:lang w:val="zh-CN"/>
                <w14:textFill>
                  <w14:solidFill>
                    <w14:schemeClr w14:val="tx1"/>
                  </w14:solidFill>
                </w14:textFill>
              </w:rPr>
              <w:t>造成环境污染的风险极小。</w:t>
            </w:r>
          </w:p>
          <w:p w14:paraId="63AC51A0">
            <w:pPr>
              <w:pStyle w:val="30"/>
              <w:adjustRightInd w:val="0"/>
              <w:spacing w:before="0" w:after="0" w:line="360" w:lineRule="auto"/>
              <w:ind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②</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储能站环境风险分析</w:t>
            </w:r>
          </w:p>
          <w:p w14:paraId="73056B89">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磷酸铁锂电池</w:t>
            </w:r>
            <w:r>
              <w:rPr>
                <w:rFonts w:hint="default" w:ascii="Times New Roman" w:hAnsi="Times New Roman" w:eastAsia="宋体" w:cs="Times New Roman"/>
                <w:color w:val="000000" w:themeColor="text1"/>
                <w:sz w:val="24"/>
                <w:highlight w:val="none"/>
                <w:lang w:val="en-US"/>
                <w14:textFill>
                  <w14:solidFill>
                    <w14:schemeClr w14:val="tx1"/>
                  </w14:solidFill>
                </w14:textFill>
              </w:rPr>
              <w:t>里的电解液对设备具有腐蚀性。</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当</w:t>
            </w:r>
            <w:r>
              <w:rPr>
                <w:rFonts w:hint="default" w:ascii="Times New Roman" w:hAnsi="Times New Roman" w:eastAsia="宋体" w:cs="Times New Roman"/>
                <w:color w:val="000000" w:themeColor="text1"/>
                <w:sz w:val="24"/>
                <w:highlight w:val="none"/>
                <w:lang w:val="en-US"/>
                <w14:textFill>
                  <w14:solidFill>
                    <w14:schemeClr w14:val="tx1"/>
                  </w14:solidFill>
                </w14:textFill>
              </w:rPr>
              <w:t>电池外壳材料工艺耐腐蚀性达不到要求、维护不善或因外力破坏将导致设备腐蚀，致使电解液发生泄漏事故，若不能及时发现，酸雾挥发将导致整个集装箱内腐蚀性气体扩散，腐蚀设备引发环境污染</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，遇高温有自燃风险。</w:t>
            </w:r>
          </w:p>
          <w:p w14:paraId="07F5F6FD">
            <w:pPr>
              <w:pStyle w:val="30"/>
              <w:adjustRightInd w:val="0"/>
              <w:spacing w:before="0" w:after="0" w:line="360" w:lineRule="auto"/>
              <w:ind w:right="0" w:firstLine="480" w:firstLineChars="200"/>
              <w:rPr>
                <w:color w:val="000000" w:themeColor="text1"/>
                <w:sz w:val="24"/>
                <w:highlight w:val="none"/>
                <w:lang w:val="zh-CN"/>
                <w14:textFill>
                  <w14:solidFill>
                    <w14:schemeClr w14:val="tx1"/>
                  </w14:solidFill>
                </w14:textFill>
              </w:rPr>
            </w:pPr>
            <w:r>
              <w:rPr>
                <w:rFonts w:hint="eastAsia"/>
                <w:color w:val="000000" w:themeColor="text1"/>
                <w:sz w:val="24"/>
                <w:highlight w:val="none"/>
                <w14:textFill>
                  <w14:solidFill>
                    <w14:schemeClr w14:val="tx1"/>
                  </w14:solidFill>
                </w14:textFill>
              </w:rPr>
              <w:t>（2</w:t>
            </w:r>
            <w:r>
              <w:rPr>
                <w:rFonts w:hint="eastAsia"/>
                <w:color w:val="000000" w:themeColor="text1"/>
                <w:sz w:val="24"/>
                <w:highlight w:val="none"/>
                <w:lang w:val="zh-CN"/>
                <w14:textFill>
                  <w14:solidFill>
                    <w14:schemeClr w14:val="tx1"/>
                  </w14:solidFill>
                </w14:textFill>
              </w:rPr>
              <w:t>）</w:t>
            </w:r>
            <w:r>
              <w:rPr>
                <w:color w:val="000000" w:themeColor="text1"/>
                <w:sz w:val="24"/>
                <w:highlight w:val="none"/>
                <w:lang w:val="zh-CN"/>
                <w14:textFill>
                  <w14:solidFill>
                    <w14:schemeClr w14:val="tx1"/>
                  </w14:solidFill>
                </w14:textFill>
              </w:rPr>
              <w:t>风险防范措施</w:t>
            </w:r>
          </w:p>
          <w:p w14:paraId="4138F983">
            <w:pPr>
              <w:pStyle w:val="15"/>
              <w:snapToGrid w:val="0"/>
              <w:spacing w:line="360" w:lineRule="auto"/>
              <w:ind w:firstLine="480" w:firstLineChars="200"/>
              <w:rPr>
                <w:color w:val="000000" w:themeColor="text1"/>
                <w:sz w:val="24"/>
                <w:highlight w:val="none"/>
                <w14:textFill>
                  <w14:solidFill>
                    <w14:schemeClr w14:val="tx1"/>
                  </w14:solidFill>
                </w14:textFill>
              </w:rPr>
            </w:pPr>
            <w:r>
              <w:rPr>
                <w:rFonts w:hint="eastAsia" w:cs="Times New Roman"/>
                <w:color w:val="000000" w:themeColor="text1"/>
                <w:kern w:val="0"/>
                <w:sz w:val="24"/>
                <w:highlight w:val="none"/>
                <w:lang w:bidi="ar"/>
                <w14:textFill>
                  <w14:solidFill>
                    <w14:schemeClr w14:val="tx1"/>
                  </w14:solidFill>
                </w14:textFill>
              </w:rPr>
              <w:t>①升压</w:t>
            </w:r>
            <w:r>
              <w:rPr>
                <w:color w:val="000000" w:themeColor="text1"/>
                <w:sz w:val="24"/>
                <w:highlight w:val="none"/>
                <w14:textFill>
                  <w14:solidFill>
                    <w14:schemeClr w14:val="tx1"/>
                  </w14:solidFill>
                </w14:textFill>
              </w:rPr>
              <w:t>站内设置污油排蓄系统</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一旦变压器事故时排油或漏油，所有的油水混合物将渗过卵石层并通过</w:t>
            </w:r>
            <w:r>
              <w:rPr>
                <w:rFonts w:hint="eastAsia"/>
                <w:color w:val="000000" w:themeColor="text1"/>
                <w:sz w:val="24"/>
                <w:highlight w:val="none"/>
                <w14:textFill>
                  <w14:solidFill>
                    <w14:schemeClr w14:val="tx1"/>
                  </w14:solidFill>
                </w14:textFill>
              </w:rPr>
              <w:t>储油坑</w:t>
            </w:r>
            <w:r>
              <w:rPr>
                <w:color w:val="000000" w:themeColor="text1"/>
                <w:sz w:val="24"/>
                <w:highlight w:val="none"/>
                <w14:textFill>
                  <w14:solidFill>
                    <w14:schemeClr w14:val="tx1"/>
                  </w14:solidFill>
                </w14:textFill>
              </w:rPr>
              <w:t>到达</w:t>
            </w:r>
            <w:r>
              <w:rPr>
                <w:rFonts w:hint="eastAsia"/>
                <w:color w:val="000000" w:themeColor="text1"/>
                <w:sz w:val="24"/>
                <w:szCs w:val="22"/>
                <w:highlight w:val="none"/>
                <w14:textFill>
                  <w14:solidFill>
                    <w14:schemeClr w14:val="tx1"/>
                  </w14:solidFill>
                </w14:textFill>
              </w:rPr>
              <w:t>事故油池</w:t>
            </w:r>
            <w:r>
              <w:rPr>
                <w:color w:val="000000" w:themeColor="text1"/>
                <w:sz w:val="24"/>
                <w:highlight w:val="none"/>
                <w14:textFill>
                  <w14:solidFill>
                    <w14:schemeClr w14:val="tx1"/>
                  </w14:solidFill>
                </w14:textFill>
              </w:rPr>
              <w:t>，在此过程中卵石层起到冷却油的作用，不易发生火灾。</w:t>
            </w:r>
            <w:r>
              <w:rPr>
                <w:rFonts w:ascii="Times New Roman" w:hAnsi="Times New Roman" w:cs="Times New Roman"/>
                <w:color w:val="000000" w:themeColor="text1"/>
                <w:kern w:val="0"/>
                <w:sz w:val="24"/>
                <w:highlight w:val="none"/>
                <w:lang w:bidi="ar"/>
                <w14:textFill>
                  <w14:solidFill>
                    <w14:schemeClr w14:val="tx1"/>
                  </w14:solidFill>
                </w14:textFill>
              </w:rPr>
              <w:t>根据《火力发电厂与变电站设计防火标准》（GB50229-2019）</w:t>
            </w:r>
            <w:r>
              <w:rPr>
                <w:rFonts w:hint="eastAsia" w:ascii="Times New Roman" w:hAnsi="Times New Roman" w:cs="Times New Roman"/>
                <w:color w:val="000000" w:themeColor="text1"/>
                <w:kern w:val="0"/>
                <w:sz w:val="24"/>
                <w:highlight w:val="none"/>
                <w:lang w:bidi="ar"/>
                <w14:textFill>
                  <w14:solidFill>
                    <w14:schemeClr w14:val="tx1"/>
                  </w14:solidFill>
                </w14:textFill>
              </w:rPr>
              <w:t>“</w:t>
            </w:r>
            <w:r>
              <w:rPr>
                <w:rFonts w:ascii="Times New Roman" w:hAnsi="Times New Roman" w:cs="Times New Roman"/>
                <w:color w:val="000000" w:themeColor="text1"/>
                <w:kern w:val="0"/>
                <w:sz w:val="24"/>
                <w:highlight w:val="none"/>
                <w:lang w:bidi="ar"/>
                <w14:textFill>
                  <w14:solidFill>
                    <w14:schemeClr w14:val="tx1"/>
                  </w14:solidFill>
                </w14:textFill>
              </w:rPr>
              <w:t>总事故贮油池的容量应按其接入的油量最大的一台设备确定</w:t>
            </w:r>
            <w:r>
              <w:rPr>
                <w:rFonts w:hint="eastAsia" w:ascii="Times New Roman" w:hAnsi="Times New Roman" w:cs="Times New Roman"/>
                <w:color w:val="000000" w:themeColor="text1"/>
                <w:kern w:val="0"/>
                <w:sz w:val="24"/>
                <w:highlight w:val="none"/>
                <w:lang w:bidi="ar"/>
                <w14:textFill>
                  <w14:solidFill>
                    <w14:schemeClr w14:val="tx1"/>
                  </w14:solidFill>
                </w14:textFill>
              </w:rPr>
              <w:t>”</w:t>
            </w:r>
            <w:r>
              <w:rPr>
                <w:rFonts w:ascii="Times New Roman" w:hAnsi="Times New Roman" w:cs="Times New Roman"/>
                <w:color w:val="000000" w:themeColor="text1"/>
                <w:kern w:val="0"/>
                <w:sz w:val="24"/>
                <w:highlight w:val="none"/>
                <w:lang w:bidi="ar"/>
                <w14:textFill>
                  <w14:solidFill>
                    <w14:schemeClr w14:val="tx1"/>
                  </w14:solidFill>
                </w14:textFill>
              </w:rPr>
              <w:t>，</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120</w:t>
            </w:r>
            <w:r>
              <w:rPr>
                <w:rFonts w:ascii="Times New Roman" w:hAnsi="Times New Roman" w:cs="Times New Roman"/>
                <w:color w:val="000000" w:themeColor="text1"/>
                <w:kern w:val="0"/>
                <w:sz w:val="24"/>
                <w:highlight w:val="none"/>
                <w:lang w:bidi="ar"/>
                <w14:textFill>
                  <w14:solidFill>
                    <w14:schemeClr w14:val="tx1"/>
                  </w14:solidFill>
                </w14:textFill>
              </w:rPr>
              <w:t>MVA主变油量约为</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35</w:t>
            </w:r>
            <w:r>
              <w:rPr>
                <w:rFonts w:ascii="Times New Roman" w:hAnsi="Times New Roman" w:cs="Times New Roman"/>
                <w:color w:val="000000" w:themeColor="text1"/>
                <w:kern w:val="0"/>
                <w:sz w:val="24"/>
                <w:highlight w:val="none"/>
                <w:lang w:bidi="ar"/>
                <w14:textFill>
                  <w14:solidFill>
                    <w14:schemeClr w14:val="tx1"/>
                  </w14:solidFill>
                </w14:textFill>
              </w:rPr>
              <w:t>t，密度为895kg/m</w:t>
            </w:r>
            <w:r>
              <w:rPr>
                <w:rFonts w:ascii="Times New Roman" w:hAnsi="Times New Roman" w:cs="Times New Roman"/>
                <w:color w:val="000000" w:themeColor="text1"/>
                <w:kern w:val="0"/>
                <w:sz w:val="24"/>
                <w:highlight w:val="none"/>
                <w:vertAlign w:val="superscript"/>
                <w:lang w:bidi="ar"/>
                <w14:textFill>
                  <w14:solidFill>
                    <w14:schemeClr w14:val="tx1"/>
                  </w14:solidFill>
                </w14:textFill>
              </w:rPr>
              <w:t>3</w:t>
            </w:r>
            <w:r>
              <w:rPr>
                <w:rFonts w:ascii="Times New Roman" w:hAnsi="Times New Roman" w:cs="Times New Roman"/>
                <w:color w:val="000000" w:themeColor="text1"/>
                <w:kern w:val="0"/>
                <w:sz w:val="24"/>
                <w:highlight w:val="none"/>
                <w:lang w:bidi="ar"/>
                <w14:textFill>
                  <w14:solidFill>
                    <w14:schemeClr w14:val="tx1"/>
                  </w14:solidFill>
                </w14:textFill>
              </w:rPr>
              <w:t>。按照</w:t>
            </w:r>
            <w:r>
              <w:rPr>
                <w:rFonts w:ascii="Times New Roman" w:hAnsi="Times New Roman" w:cs="Times New Roman"/>
                <w:color w:val="000000" w:themeColor="text1"/>
                <w:sz w:val="24"/>
                <w:szCs w:val="22"/>
                <w:highlight w:val="none"/>
                <w14:textFill>
                  <w14:solidFill>
                    <w14:schemeClr w14:val="tx1"/>
                  </w14:solidFill>
                </w14:textFill>
              </w:rPr>
              <w:t>事故油池</w:t>
            </w:r>
            <w:r>
              <w:rPr>
                <w:rFonts w:ascii="Times New Roman" w:hAnsi="Times New Roman" w:cs="Times New Roman"/>
                <w:color w:val="000000" w:themeColor="text1"/>
                <w:kern w:val="0"/>
                <w:sz w:val="24"/>
                <w:highlight w:val="none"/>
                <w:lang w:bidi="ar"/>
                <w14:textFill>
                  <w14:solidFill>
                    <w14:schemeClr w14:val="tx1"/>
                  </w14:solidFill>
                </w14:textFill>
              </w:rPr>
              <w:t>容量设计要求，</w:t>
            </w:r>
            <w:r>
              <w:rPr>
                <w:rFonts w:ascii="Times New Roman" w:hAnsi="Times New Roman" w:cs="Times New Roman"/>
                <w:color w:val="000000" w:themeColor="text1"/>
                <w:sz w:val="24"/>
                <w:szCs w:val="22"/>
                <w:highlight w:val="none"/>
                <w14:textFill>
                  <w14:solidFill>
                    <w14:schemeClr w14:val="tx1"/>
                  </w14:solidFill>
                </w14:textFill>
              </w:rPr>
              <w:t>事故油池</w:t>
            </w:r>
            <w:r>
              <w:rPr>
                <w:rFonts w:ascii="Times New Roman" w:hAnsi="Times New Roman" w:cs="Times New Roman"/>
                <w:color w:val="000000" w:themeColor="text1"/>
                <w:kern w:val="0"/>
                <w:sz w:val="24"/>
                <w:highlight w:val="none"/>
                <w:lang w:bidi="ar"/>
                <w14:textFill>
                  <w14:solidFill>
                    <w14:schemeClr w14:val="tx1"/>
                  </w14:solidFill>
                </w14:textFill>
              </w:rPr>
              <w:t>体积不小于</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35</w:t>
            </w:r>
            <w:r>
              <w:rPr>
                <w:rFonts w:ascii="Times New Roman" w:hAnsi="Times New Roman" w:cs="Times New Roman"/>
                <w:color w:val="000000" w:themeColor="text1"/>
                <w:kern w:val="0"/>
                <w:sz w:val="24"/>
                <w:highlight w:val="none"/>
                <w:lang w:bidi="ar"/>
                <w14:textFill>
                  <w14:solidFill>
                    <w14:schemeClr w14:val="tx1"/>
                  </w14:solidFill>
                </w14:textFill>
              </w:rPr>
              <w:t>/0.895（t/m</w:t>
            </w:r>
            <w:r>
              <w:rPr>
                <w:rFonts w:ascii="Times New Roman" w:hAnsi="Times New Roman" w:cs="Times New Roman"/>
                <w:color w:val="000000" w:themeColor="text1"/>
                <w:kern w:val="0"/>
                <w:sz w:val="24"/>
                <w:highlight w:val="none"/>
                <w:vertAlign w:val="superscript"/>
                <w:lang w:bidi="ar"/>
                <w14:textFill>
                  <w14:solidFill>
                    <w14:schemeClr w14:val="tx1"/>
                  </w14:solidFill>
                </w14:textFill>
              </w:rPr>
              <w:t>3</w:t>
            </w:r>
            <w:r>
              <w:rPr>
                <w:rFonts w:ascii="Times New Roman" w:hAnsi="Times New Roman" w:cs="Times New Roman"/>
                <w:color w:val="000000" w:themeColor="text1"/>
                <w:kern w:val="0"/>
                <w:sz w:val="24"/>
                <w:highlight w:val="none"/>
                <w:lang w:bidi="ar"/>
                <w14:textFill>
                  <w14:solidFill>
                    <w14:schemeClr w14:val="tx1"/>
                  </w14:solidFill>
                </w14:textFill>
              </w:rPr>
              <w:t>）=</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39.11</w:t>
            </w:r>
            <w:r>
              <w:rPr>
                <w:rFonts w:ascii="Times New Roman" w:hAnsi="Times New Roman" w:cs="Times New Roman"/>
                <w:color w:val="000000" w:themeColor="text1"/>
                <w:kern w:val="0"/>
                <w:sz w:val="24"/>
                <w:highlight w:val="none"/>
                <w:lang w:bidi="ar"/>
                <w14:textFill>
                  <w14:solidFill>
                    <w14:schemeClr w14:val="tx1"/>
                  </w14:solidFill>
                </w14:textFill>
              </w:rPr>
              <w:t>m</w:t>
            </w:r>
            <w:r>
              <w:rPr>
                <w:rFonts w:ascii="Times New Roman" w:hAnsi="Times New Roman" w:cs="Times New Roman"/>
                <w:color w:val="000000" w:themeColor="text1"/>
                <w:kern w:val="0"/>
                <w:sz w:val="24"/>
                <w:highlight w:val="none"/>
                <w:vertAlign w:val="superscript"/>
                <w:lang w:bidi="ar"/>
                <w14:textFill>
                  <w14:solidFill>
                    <w14:schemeClr w14:val="tx1"/>
                  </w14:solidFill>
                </w14:textFill>
              </w:rPr>
              <w:t>3</w:t>
            </w:r>
            <w:r>
              <w:rPr>
                <w:rFonts w:ascii="Times New Roman" w:hAnsi="Times New Roman" w:cs="Times New Roman"/>
                <w:color w:val="000000" w:themeColor="text1"/>
                <w:kern w:val="0"/>
                <w:sz w:val="24"/>
                <w:highlight w:val="none"/>
                <w:lang w:bidi="ar"/>
                <w14:textFill>
                  <w14:solidFill>
                    <w14:schemeClr w14:val="tx1"/>
                  </w14:solidFill>
                </w14:textFill>
              </w:rPr>
              <w:t>，本项目设1座</w:t>
            </w:r>
            <w:r>
              <w:rPr>
                <w:rFonts w:ascii="Times New Roman" w:hAnsi="Times New Roman" w:cs="Times New Roman"/>
                <w:color w:val="000000" w:themeColor="text1"/>
                <w:sz w:val="24"/>
                <w:szCs w:val="22"/>
                <w:highlight w:val="none"/>
                <w14:textFill>
                  <w14:solidFill>
                    <w14:schemeClr w14:val="tx1"/>
                  </w14:solidFill>
                </w14:textFill>
              </w:rPr>
              <w:t>事故油池，</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有效容积</w:t>
            </w:r>
            <w:r>
              <w:rPr>
                <w:rFonts w:ascii="Times New Roman" w:hAnsi="Times New Roman" w:cs="Times New Roman"/>
                <w:color w:val="000000" w:themeColor="text1"/>
                <w:kern w:val="0"/>
                <w:sz w:val="24"/>
                <w:highlight w:val="none"/>
                <w:lang w:bidi="ar"/>
                <w14:textFill>
                  <w14:solidFill>
                    <w14:schemeClr w14:val="tx1"/>
                  </w14:solidFill>
                </w14:textFill>
              </w:rPr>
              <w:t>为</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40</w:t>
            </w:r>
            <w:r>
              <w:rPr>
                <w:rFonts w:ascii="Times New Roman" w:hAnsi="Times New Roman" w:cs="Times New Roman"/>
                <w:color w:val="000000" w:themeColor="text1"/>
                <w:kern w:val="0"/>
                <w:sz w:val="24"/>
                <w:highlight w:val="none"/>
                <w:lang w:bidi="ar"/>
                <w14:textFill>
                  <w14:solidFill>
                    <w14:schemeClr w14:val="tx1"/>
                  </w14:solidFill>
                </w14:textFill>
              </w:rPr>
              <w:t>m</w:t>
            </w:r>
            <w:r>
              <w:rPr>
                <w:rFonts w:ascii="Times New Roman" w:hAnsi="Times New Roman" w:cs="Times New Roman"/>
                <w:color w:val="000000" w:themeColor="text1"/>
                <w:kern w:val="0"/>
                <w:sz w:val="24"/>
                <w:highlight w:val="none"/>
                <w:vertAlign w:val="superscript"/>
                <w:lang w:bidi="ar"/>
                <w14:textFill>
                  <w14:solidFill>
                    <w14:schemeClr w14:val="tx1"/>
                  </w14:solidFill>
                </w14:textFill>
              </w:rPr>
              <w:t>3</w:t>
            </w:r>
            <w:r>
              <w:rPr>
                <w:rFonts w:hint="eastAsia" w:ascii="Times New Roman" w:hAnsi="Times New Roman" w:cs="Times New Roman"/>
                <w:color w:val="000000" w:themeColor="text1"/>
                <w:kern w:val="0"/>
                <w:sz w:val="24"/>
                <w:highlight w:val="none"/>
                <w:lang w:bidi="ar"/>
                <w14:textFill>
                  <w14:solidFill>
                    <w14:schemeClr w14:val="tx1"/>
                  </w14:solidFill>
                </w14:textFill>
              </w:rPr>
              <w:t>，能够满足单台变压器100%排油量储存需求。</w:t>
            </w:r>
          </w:p>
          <w:p w14:paraId="673B5535">
            <w:pPr>
              <w:pStyle w:val="30"/>
              <w:adjustRightInd w:val="0"/>
              <w:spacing w:after="0" w:line="360" w:lineRule="auto"/>
              <w:ind w:right="0" w:firstLine="480" w:firstLineChars="200"/>
              <w:rPr>
                <w:color w:val="000000" w:themeColor="text1"/>
                <w:sz w:val="24"/>
                <w:highlight w:val="none"/>
                <w:lang w:bidi="ar"/>
                <w14:textFill>
                  <w14:solidFill>
                    <w14:schemeClr w14:val="tx1"/>
                  </w14:solidFill>
                </w14:textFill>
              </w:rPr>
            </w:pPr>
            <w:r>
              <w:rPr>
                <w:rFonts w:hint="eastAsia"/>
                <w:color w:val="000000" w:themeColor="text1"/>
                <w:sz w:val="24"/>
                <w:highlight w:val="none"/>
                <w:lang w:bidi="ar"/>
                <w14:textFill>
                  <w14:solidFill>
                    <w14:schemeClr w14:val="tx1"/>
                  </w14:solidFill>
                </w14:textFill>
              </w:rPr>
              <w:t>②升压</w:t>
            </w:r>
            <w:r>
              <w:rPr>
                <w:color w:val="000000" w:themeColor="text1"/>
                <w:sz w:val="24"/>
                <w:highlight w:val="none"/>
                <w:lang w:bidi="ar"/>
                <w14:textFill>
                  <w14:solidFill>
                    <w14:schemeClr w14:val="tx1"/>
                  </w14:solidFill>
                </w14:textFill>
              </w:rPr>
              <w:t>站四周设置封闭围墙。站内</w:t>
            </w:r>
            <w:r>
              <w:rPr>
                <w:rFonts w:hint="eastAsia"/>
                <w:color w:val="000000" w:themeColor="text1"/>
                <w:sz w:val="24"/>
                <w:szCs w:val="22"/>
                <w:highlight w:val="none"/>
                <w14:textFill>
                  <w14:solidFill>
                    <w14:schemeClr w14:val="tx1"/>
                  </w14:solidFill>
                </w14:textFill>
              </w:rPr>
              <w:t>事故油池</w:t>
            </w: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有效容积</w:t>
            </w:r>
            <w:r>
              <w:rPr>
                <w:color w:val="000000" w:themeColor="text1"/>
                <w:sz w:val="24"/>
                <w:highlight w:val="none"/>
                <w:lang w:bidi="ar"/>
                <w14:textFill>
                  <w14:solidFill>
                    <w14:schemeClr w14:val="tx1"/>
                  </w14:solidFill>
                </w14:textFill>
              </w:rPr>
              <w:t>为</w:t>
            </w:r>
            <w:r>
              <w:rPr>
                <w:rFonts w:hint="eastAsia"/>
                <w:color w:val="000000" w:themeColor="text1"/>
                <w:sz w:val="24"/>
                <w:highlight w:val="none"/>
                <w:lang w:val="en-US" w:eastAsia="zh-CN" w:bidi="ar"/>
                <w14:textFill>
                  <w14:solidFill>
                    <w14:schemeClr w14:val="tx1"/>
                  </w14:solidFill>
                </w14:textFill>
              </w:rPr>
              <w:t>40</w:t>
            </w:r>
            <w:r>
              <w:rPr>
                <w:color w:val="000000" w:themeColor="text1"/>
                <w:sz w:val="24"/>
                <w:highlight w:val="none"/>
                <w:lang w:bidi="ar"/>
                <w14:textFill>
                  <w14:solidFill>
                    <w14:schemeClr w14:val="tx1"/>
                  </w14:solidFill>
                </w14:textFill>
              </w:rPr>
              <w:t>m</w:t>
            </w:r>
            <w:r>
              <w:rPr>
                <w:color w:val="000000" w:themeColor="text1"/>
                <w:sz w:val="24"/>
                <w:highlight w:val="none"/>
                <w:vertAlign w:val="superscript"/>
                <w:lang w:bidi="ar"/>
                <w14:textFill>
                  <w14:solidFill>
                    <w14:schemeClr w14:val="tx1"/>
                  </w14:solidFill>
                </w14:textFill>
              </w:rPr>
              <w:t>3</w:t>
            </w:r>
            <w:r>
              <w:rPr>
                <w:color w:val="000000" w:themeColor="text1"/>
                <w:sz w:val="24"/>
                <w:highlight w:val="none"/>
                <w:lang w:bidi="ar"/>
                <w14:textFill>
                  <w14:solidFill>
                    <w14:schemeClr w14:val="tx1"/>
                  </w14:solidFill>
                </w14:textFill>
              </w:rPr>
              <w:t>，完全能保证事故排油不外排，而且</w:t>
            </w:r>
            <w:r>
              <w:rPr>
                <w:rFonts w:hint="eastAsia"/>
                <w:color w:val="000000" w:themeColor="text1"/>
                <w:sz w:val="24"/>
                <w:szCs w:val="22"/>
                <w:highlight w:val="none"/>
                <w14:textFill>
                  <w14:solidFill>
                    <w14:schemeClr w14:val="tx1"/>
                  </w14:solidFill>
                </w14:textFill>
              </w:rPr>
              <w:t>事故油池</w:t>
            </w:r>
            <w:r>
              <w:rPr>
                <w:color w:val="000000" w:themeColor="text1"/>
                <w:sz w:val="24"/>
                <w:highlight w:val="none"/>
                <w:lang w:bidi="ar"/>
                <w14:textFill>
                  <w14:solidFill>
                    <w14:schemeClr w14:val="tx1"/>
                  </w14:solidFill>
                </w14:textFill>
              </w:rPr>
              <w:t>不与雨水系统相通，不会对周边水环境产生不良影响。</w:t>
            </w:r>
            <w:r>
              <w:rPr>
                <w:color w:val="000000" w:themeColor="text1"/>
                <w:sz w:val="24"/>
                <w:highlight w:val="none"/>
                <w:lang w:val="zh-CN"/>
                <w14:textFill>
                  <w14:solidFill>
                    <w14:schemeClr w14:val="tx1"/>
                  </w14:solidFill>
                </w14:textFill>
              </w:rPr>
              <w:t>升压站</w:t>
            </w:r>
            <w:r>
              <w:rPr>
                <w:rFonts w:hint="eastAsia"/>
                <w:color w:val="000000" w:themeColor="text1"/>
                <w:sz w:val="24"/>
                <w:szCs w:val="22"/>
                <w:highlight w:val="none"/>
                <w14:textFill>
                  <w14:solidFill>
                    <w14:schemeClr w14:val="tx1"/>
                  </w14:solidFill>
                </w14:textFill>
              </w:rPr>
              <w:t>事故油池</w:t>
            </w:r>
            <w:r>
              <w:rPr>
                <w:color w:val="000000" w:themeColor="text1"/>
                <w:sz w:val="24"/>
                <w:highlight w:val="none"/>
                <w:lang w:bidi="ar"/>
                <w14:textFill>
                  <w14:solidFill>
                    <w14:schemeClr w14:val="tx1"/>
                  </w14:solidFill>
                </w14:textFill>
              </w:rPr>
              <w:t>有耐腐蚀的硬化地面和基础防渗层，地面无裂隙；设施底部必须高于地下水最高水位。同时加强</w:t>
            </w:r>
            <w:r>
              <w:rPr>
                <w:color w:val="000000" w:themeColor="text1"/>
                <w:sz w:val="24"/>
                <w:highlight w:val="none"/>
                <w:lang w:val="zh-CN"/>
                <w14:textFill>
                  <w14:solidFill>
                    <w14:schemeClr w14:val="tx1"/>
                  </w14:solidFill>
                </w14:textFill>
              </w:rPr>
              <w:t>升压站</w:t>
            </w:r>
            <w:r>
              <w:rPr>
                <w:color w:val="000000" w:themeColor="text1"/>
                <w:sz w:val="24"/>
                <w:highlight w:val="none"/>
                <w:lang w:bidi="ar"/>
                <w14:textFill>
                  <w14:solidFill>
                    <w14:schemeClr w14:val="tx1"/>
                  </w14:solidFill>
                </w14:textFill>
              </w:rPr>
              <w:t>场地内用油管理，制定环境风险防范措施和应急预案，严防</w:t>
            </w:r>
            <w:r>
              <w:rPr>
                <w:color w:val="000000" w:themeColor="text1"/>
                <w:sz w:val="24"/>
                <w:highlight w:val="none"/>
                <w:lang w:val="zh-CN"/>
                <w14:textFill>
                  <w14:solidFill>
                    <w14:schemeClr w14:val="tx1"/>
                  </w14:solidFill>
                </w14:textFill>
              </w:rPr>
              <w:t>升压站</w:t>
            </w:r>
            <w:r>
              <w:rPr>
                <w:color w:val="000000" w:themeColor="text1"/>
                <w:sz w:val="24"/>
                <w:highlight w:val="none"/>
                <w:lang w:bidi="ar"/>
                <w14:textFill>
                  <w14:solidFill>
                    <w14:schemeClr w14:val="tx1"/>
                  </w14:solidFill>
                </w14:textFill>
              </w:rPr>
              <w:t>漏油事故影响区域水体。</w:t>
            </w:r>
          </w:p>
          <w:p w14:paraId="5DAF4D18">
            <w:pPr>
              <w:pStyle w:val="11"/>
              <w:adjustRightInd w:val="0"/>
              <w:snapToGrid w:val="0"/>
              <w:spacing w:line="360" w:lineRule="auto"/>
              <w:ind w:firstLine="480" w:firstLineChars="200"/>
              <w:jc w:val="both"/>
              <w:rPr>
                <w:color w:val="000000" w:themeColor="text1"/>
                <w:sz w:val="24"/>
                <w:szCs w:val="36"/>
                <w:highlight w:val="none"/>
                <w:lang w:bidi="ar"/>
                <w14:textFill>
                  <w14:solidFill>
                    <w14:schemeClr w14:val="tx1"/>
                  </w14:solidFill>
                </w14:textFill>
              </w:rPr>
            </w:pPr>
            <w:r>
              <w:rPr>
                <w:rFonts w:hint="eastAsia"/>
                <w:color w:val="000000" w:themeColor="text1"/>
                <w:sz w:val="24"/>
                <w:szCs w:val="36"/>
                <w:highlight w:val="none"/>
                <w:lang w:bidi="ar"/>
                <w14:textFill>
                  <w14:solidFill>
                    <w14:schemeClr w14:val="tx1"/>
                  </w14:solidFill>
                </w14:textFill>
              </w:rPr>
              <w:t>③</w:t>
            </w:r>
            <w:r>
              <w:rPr>
                <w:color w:val="000000" w:themeColor="text1"/>
                <w:sz w:val="24"/>
                <w:szCs w:val="36"/>
                <w:highlight w:val="none"/>
                <w:lang w:bidi="ar"/>
                <w14:textFill>
                  <w14:solidFill>
                    <w14:schemeClr w14:val="tx1"/>
                  </w14:solidFill>
                </w14:textFill>
              </w:rPr>
              <w:t>结合分区防渗要求，主变压器下方及周边区域、导流槽</w:t>
            </w:r>
            <w:r>
              <w:rPr>
                <w:rFonts w:hint="eastAsia"/>
                <w:color w:val="000000" w:themeColor="text1"/>
                <w:sz w:val="24"/>
                <w:szCs w:val="36"/>
                <w:highlight w:val="none"/>
                <w:lang w:bidi="ar"/>
                <w14:textFill>
                  <w14:solidFill>
                    <w14:schemeClr w14:val="tx1"/>
                  </w14:solidFill>
                </w14:textFill>
              </w:rPr>
              <w:t>、储油坑</w:t>
            </w:r>
            <w:r>
              <w:rPr>
                <w:color w:val="000000" w:themeColor="text1"/>
                <w:sz w:val="24"/>
                <w:szCs w:val="36"/>
                <w:highlight w:val="none"/>
                <w:lang w:bidi="ar"/>
                <w14:textFill>
                  <w14:solidFill>
                    <w14:schemeClr w14:val="tx1"/>
                  </w14:solidFill>
                </w14:textFill>
              </w:rPr>
              <w:t>及防渗</w:t>
            </w:r>
            <w:r>
              <w:rPr>
                <w:rFonts w:hint="eastAsia"/>
                <w:color w:val="000000" w:themeColor="text1"/>
                <w:sz w:val="24"/>
                <w:szCs w:val="36"/>
                <w:highlight w:val="none"/>
                <w:lang w:bidi="ar"/>
                <w14:textFill>
                  <w14:solidFill>
                    <w14:schemeClr w14:val="tx1"/>
                  </w14:solidFill>
                </w14:textFill>
              </w:rPr>
              <w:t>事故油池</w:t>
            </w:r>
            <w:r>
              <w:rPr>
                <w:color w:val="000000" w:themeColor="text1"/>
                <w:sz w:val="24"/>
                <w:szCs w:val="36"/>
                <w:highlight w:val="none"/>
                <w:lang w:bidi="ar"/>
                <w14:textFill>
                  <w14:solidFill>
                    <w14:schemeClr w14:val="tx1"/>
                  </w14:solidFill>
                </w14:textFill>
              </w:rPr>
              <w:t>按照重点防渗区进行管理，防渗技术要求为等效粘土防渗层Mb</w:t>
            </w:r>
            <w:r>
              <w:rPr>
                <w:rFonts w:hint="eastAsia"/>
                <w:color w:val="000000" w:themeColor="text1"/>
                <w:sz w:val="24"/>
                <w:szCs w:val="36"/>
                <w:highlight w:val="none"/>
                <w:lang w:bidi="ar"/>
                <w14:textFill>
                  <w14:solidFill>
                    <w14:schemeClr w14:val="tx1"/>
                  </w14:solidFill>
                </w14:textFill>
              </w:rPr>
              <w:t>≥</w:t>
            </w:r>
            <w:r>
              <w:rPr>
                <w:color w:val="000000" w:themeColor="text1"/>
                <w:sz w:val="24"/>
                <w:szCs w:val="36"/>
                <w:highlight w:val="none"/>
                <w:lang w:bidi="ar"/>
                <w14:textFill>
                  <w14:solidFill>
                    <w14:schemeClr w14:val="tx1"/>
                  </w14:solidFill>
                </w14:textFill>
              </w:rPr>
              <w:t>6.0m，K</w:t>
            </w:r>
            <w:r>
              <w:rPr>
                <w:rFonts w:hint="eastAsia"/>
                <w:color w:val="000000" w:themeColor="text1"/>
                <w:sz w:val="24"/>
                <w:szCs w:val="36"/>
                <w:highlight w:val="none"/>
                <w:lang w:bidi="ar"/>
                <w14:textFill>
                  <w14:solidFill>
                    <w14:schemeClr w14:val="tx1"/>
                  </w14:solidFill>
                </w14:textFill>
              </w:rPr>
              <w:t>≤</w:t>
            </w:r>
            <w:r>
              <w:rPr>
                <w:color w:val="000000" w:themeColor="text1"/>
                <w:sz w:val="24"/>
                <w:szCs w:val="36"/>
                <w:highlight w:val="none"/>
                <w:lang w:bidi="ar"/>
                <w14:textFill>
                  <w14:solidFill>
                    <w14:schemeClr w14:val="tx1"/>
                  </w14:solidFill>
                </w14:textFill>
              </w:rPr>
              <w:t>1×10</w:t>
            </w:r>
            <w:r>
              <w:rPr>
                <w:color w:val="000000" w:themeColor="text1"/>
                <w:sz w:val="24"/>
                <w:szCs w:val="36"/>
                <w:highlight w:val="none"/>
                <w:vertAlign w:val="superscript"/>
                <w:lang w:bidi="ar"/>
                <w14:textFill>
                  <w14:solidFill>
                    <w14:schemeClr w14:val="tx1"/>
                  </w14:solidFill>
                </w14:textFill>
              </w:rPr>
              <w:t>-7</w:t>
            </w:r>
            <w:r>
              <w:rPr>
                <w:color w:val="000000" w:themeColor="text1"/>
                <w:sz w:val="24"/>
                <w:szCs w:val="36"/>
                <w:highlight w:val="none"/>
                <w:lang w:bidi="ar"/>
                <w14:textFill>
                  <w14:solidFill>
                    <w14:schemeClr w14:val="tx1"/>
                  </w14:solidFill>
                </w14:textFill>
              </w:rPr>
              <w:t>cm/s。本项目</w:t>
            </w:r>
            <w:r>
              <w:rPr>
                <w:rFonts w:hint="eastAsia"/>
                <w:color w:val="000000" w:themeColor="text1"/>
                <w:sz w:val="24"/>
                <w:szCs w:val="36"/>
                <w:highlight w:val="none"/>
                <w:lang w:bidi="ar"/>
                <w14:textFill>
                  <w14:solidFill>
                    <w14:schemeClr w14:val="tx1"/>
                  </w14:solidFill>
                </w14:textFill>
              </w:rPr>
              <w:t>变压器</w:t>
            </w:r>
            <w:r>
              <w:rPr>
                <w:rFonts w:hint="eastAsia"/>
                <w:color w:val="000000" w:themeColor="text1"/>
                <w:sz w:val="24"/>
                <w:szCs w:val="36"/>
                <w:highlight w:val="none"/>
                <w:lang w:val="en-US" w:eastAsia="zh-CN" w:bidi="ar"/>
                <w14:textFill>
                  <w14:solidFill>
                    <w14:schemeClr w14:val="tx1"/>
                  </w14:solidFill>
                </w14:textFill>
              </w:rPr>
              <w:t>北</w:t>
            </w:r>
            <w:r>
              <w:rPr>
                <w:rFonts w:hint="eastAsia"/>
                <w:color w:val="000000" w:themeColor="text1"/>
                <w:sz w:val="24"/>
                <w:szCs w:val="36"/>
                <w:highlight w:val="none"/>
                <w:lang w:bidi="ar"/>
                <w14:textFill>
                  <w14:solidFill>
                    <w14:schemeClr w14:val="tx1"/>
                  </w14:solidFill>
                </w14:textFill>
              </w:rPr>
              <w:t>侧</w:t>
            </w:r>
            <w:r>
              <w:rPr>
                <w:color w:val="000000" w:themeColor="text1"/>
                <w:sz w:val="24"/>
                <w:szCs w:val="36"/>
                <w:highlight w:val="none"/>
                <w:lang w:bidi="ar"/>
                <w14:textFill>
                  <w14:solidFill>
                    <w14:schemeClr w14:val="tx1"/>
                  </w14:solidFill>
                </w14:textFill>
              </w:rPr>
              <w:t>设置了</w:t>
            </w:r>
            <w:r>
              <w:rPr>
                <w:rFonts w:hint="eastAsia"/>
                <w:color w:val="000000" w:themeColor="text1"/>
                <w:sz w:val="24"/>
                <w:szCs w:val="36"/>
                <w:highlight w:val="none"/>
                <w:lang w:bidi="ar"/>
                <w14:textFill>
                  <w14:solidFill>
                    <w14:schemeClr w14:val="tx1"/>
                  </w14:solidFill>
                </w14:textFill>
              </w:rPr>
              <w:t>事故油池</w:t>
            </w:r>
            <w:r>
              <w:rPr>
                <w:color w:val="000000" w:themeColor="text1"/>
                <w:sz w:val="24"/>
                <w:szCs w:val="36"/>
                <w:highlight w:val="none"/>
                <w:lang w:bidi="ar"/>
                <w14:textFill>
                  <w14:solidFill>
                    <w14:schemeClr w14:val="tx1"/>
                  </w14:solidFill>
                </w14:textFill>
              </w:rPr>
              <w:t>，事故油池采用现浇钢筋混凝土结构，池底板及池壁采用标号不小于C30的混凝土，并涂刷水泥基渗透结晶型防水涂料，确保防渗等级不低于P8，以杜绝渗漏。防渗层为至少1m厚黏土层（渗透系数≤10</w:t>
            </w:r>
            <w:r>
              <w:rPr>
                <w:color w:val="000000" w:themeColor="text1"/>
                <w:sz w:val="24"/>
                <w:szCs w:val="36"/>
                <w:highlight w:val="none"/>
                <w:vertAlign w:val="superscript"/>
                <w:lang w:bidi="ar"/>
                <w14:textFill>
                  <w14:solidFill>
                    <w14:schemeClr w14:val="tx1"/>
                  </w14:solidFill>
                </w14:textFill>
              </w:rPr>
              <w:t>-7</w:t>
            </w:r>
            <w:r>
              <w:rPr>
                <w:color w:val="000000" w:themeColor="text1"/>
                <w:sz w:val="24"/>
                <w:szCs w:val="36"/>
                <w:highlight w:val="none"/>
                <w:lang w:bidi="ar"/>
                <w14:textFill>
                  <w14:solidFill>
                    <w14:schemeClr w14:val="tx1"/>
                  </w14:solidFill>
                </w14:textFill>
              </w:rPr>
              <w:t>cm/s）或至少2mm厚高密度聚乙烯，或至少2mm厚的其他人工材料，渗透系数≤10</w:t>
            </w:r>
            <w:r>
              <w:rPr>
                <w:color w:val="000000" w:themeColor="text1"/>
                <w:sz w:val="24"/>
                <w:szCs w:val="36"/>
                <w:highlight w:val="none"/>
                <w:vertAlign w:val="superscript"/>
                <w:lang w:bidi="ar"/>
                <w14:textFill>
                  <w14:solidFill>
                    <w14:schemeClr w14:val="tx1"/>
                  </w14:solidFill>
                </w14:textFill>
              </w:rPr>
              <w:t>-10</w:t>
            </w:r>
            <w:r>
              <w:rPr>
                <w:color w:val="000000" w:themeColor="text1"/>
                <w:sz w:val="24"/>
                <w:szCs w:val="36"/>
                <w:highlight w:val="none"/>
                <w:lang w:bidi="ar"/>
                <w14:textFill>
                  <w14:solidFill>
                    <w14:schemeClr w14:val="tx1"/>
                  </w14:solidFill>
                </w14:textFill>
              </w:rPr>
              <w:t>cm/s。同时，主变下方设置储油坑一座，储油坑有效容积</w:t>
            </w:r>
            <w:r>
              <w:rPr>
                <w:rFonts w:hint="eastAsia"/>
                <w:color w:val="000000" w:themeColor="text1"/>
                <w:sz w:val="24"/>
                <w:szCs w:val="36"/>
                <w:highlight w:val="none"/>
                <w:lang w:bidi="ar"/>
                <w14:textFill>
                  <w14:solidFill>
                    <w14:schemeClr w14:val="tx1"/>
                  </w14:solidFill>
                </w14:textFill>
              </w:rPr>
              <w:t>均</w:t>
            </w:r>
            <w:r>
              <w:rPr>
                <w:color w:val="000000" w:themeColor="text1"/>
                <w:sz w:val="24"/>
                <w:szCs w:val="36"/>
                <w:highlight w:val="none"/>
                <w:lang w:bidi="ar"/>
                <w14:textFill>
                  <w14:solidFill>
                    <w14:schemeClr w14:val="tx1"/>
                  </w14:solidFill>
                </w14:textFill>
              </w:rPr>
              <w:t>为</w:t>
            </w:r>
            <w:r>
              <w:rPr>
                <w:rFonts w:hint="eastAsia"/>
                <w:color w:val="000000" w:themeColor="text1"/>
                <w:sz w:val="24"/>
                <w:szCs w:val="36"/>
                <w:highlight w:val="none"/>
                <w:lang w:bidi="ar"/>
                <w14:textFill>
                  <w14:solidFill>
                    <w14:schemeClr w14:val="tx1"/>
                  </w14:solidFill>
                </w14:textFill>
              </w:rPr>
              <w:t>1</w:t>
            </w:r>
            <w:r>
              <w:rPr>
                <w:rFonts w:hint="eastAsia"/>
                <w:color w:val="000000" w:themeColor="text1"/>
                <w:sz w:val="24"/>
                <w:szCs w:val="36"/>
                <w:highlight w:val="none"/>
                <w:lang w:val="en-US" w:eastAsia="zh-CN" w:bidi="ar"/>
                <w14:textFill>
                  <w14:solidFill>
                    <w14:schemeClr w14:val="tx1"/>
                  </w14:solidFill>
                </w14:textFill>
              </w:rPr>
              <w:t>0</w:t>
            </w:r>
            <w:r>
              <w:rPr>
                <w:color w:val="000000" w:themeColor="text1"/>
                <w:sz w:val="24"/>
                <w:szCs w:val="36"/>
                <w:highlight w:val="none"/>
                <w:lang w:bidi="ar"/>
                <w14:textFill>
                  <w14:solidFill>
                    <w14:schemeClr w14:val="tx1"/>
                  </w14:solidFill>
                </w14:textFill>
              </w:rPr>
              <w:t>m</w:t>
            </w:r>
            <w:r>
              <w:rPr>
                <w:color w:val="000000" w:themeColor="text1"/>
                <w:sz w:val="24"/>
                <w:szCs w:val="36"/>
                <w:highlight w:val="none"/>
                <w:vertAlign w:val="superscript"/>
                <w:lang w:bidi="ar"/>
                <w14:textFill>
                  <w14:solidFill>
                    <w14:schemeClr w14:val="tx1"/>
                  </w14:solidFill>
                </w14:textFill>
              </w:rPr>
              <w:t>3</w:t>
            </w:r>
            <w:r>
              <w:rPr>
                <w:color w:val="000000" w:themeColor="text1"/>
                <w:sz w:val="24"/>
                <w:szCs w:val="36"/>
                <w:highlight w:val="none"/>
                <w:lang w:bidi="ar"/>
                <w14:textFill>
                  <w14:solidFill>
                    <w14:schemeClr w14:val="tx1"/>
                  </w14:solidFill>
                </w14:textFill>
              </w:rPr>
              <w:t>，</w:t>
            </w:r>
            <w:r>
              <w:rPr>
                <w:rFonts w:hint="eastAsia"/>
                <w:color w:val="000000" w:themeColor="text1"/>
                <w:sz w:val="24"/>
                <w:szCs w:val="36"/>
                <w:highlight w:val="none"/>
                <w:lang w:bidi="ar"/>
                <w14:textFill>
                  <w14:solidFill>
                    <w14:schemeClr w14:val="tx1"/>
                  </w14:solidFill>
                </w14:textFill>
              </w:rPr>
              <w:t>储油坑</w:t>
            </w:r>
            <w:r>
              <w:rPr>
                <w:color w:val="000000" w:themeColor="text1"/>
                <w:sz w:val="24"/>
                <w:szCs w:val="36"/>
                <w:highlight w:val="none"/>
                <w:lang w:bidi="ar"/>
                <w14:textFill>
                  <w14:solidFill>
                    <w14:schemeClr w14:val="tx1"/>
                  </w14:solidFill>
                </w14:textFill>
              </w:rPr>
              <w:t>及</w:t>
            </w:r>
            <w:r>
              <w:rPr>
                <w:rFonts w:hint="eastAsia"/>
                <w:color w:val="000000" w:themeColor="text1"/>
                <w:sz w:val="24"/>
                <w:szCs w:val="36"/>
                <w:highlight w:val="none"/>
                <w:lang w:bidi="ar"/>
                <w14:textFill>
                  <w14:solidFill>
                    <w14:schemeClr w14:val="tx1"/>
                  </w14:solidFill>
                </w14:textFill>
              </w:rPr>
              <w:t>事故油池</w:t>
            </w:r>
            <w:r>
              <w:rPr>
                <w:color w:val="000000" w:themeColor="text1"/>
                <w:sz w:val="24"/>
                <w:szCs w:val="36"/>
                <w:highlight w:val="none"/>
                <w:lang w:bidi="ar"/>
                <w14:textFill>
                  <w14:solidFill>
                    <w14:schemeClr w14:val="tx1"/>
                  </w14:solidFill>
                </w14:textFill>
              </w:rPr>
              <w:t>底部</w:t>
            </w:r>
            <w:r>
              <w:rPr>
                <w:rFonts w:hint="eastAsia"/>
                <w:color w:val="000000" w:themeColor="text1"/>
                <w:sz w:val="24"/>
                <w:szCs w:val="36"/>
                <w:highlight w:val="none"/>
                <w:lang w:eastAsia="zh-CN" w:bidi="ar"/>
                <w14:textFill>
                  <w14:solidFill>
                    <w14:schemeClr w14:val="tx1"/>
                  </w14:solidFill>
                </w14:textFill>
              </w:rPr>
              <w:t>铺设</w:t>
            </w:r>
            <w:r>
              <w:rPr>
                <w:color w:val="000000" w:themeColor="text1"/>
                <w:sz w:val="24"/>
                <w:szCs w:val="36"/>
                <w:highlight w:val="none"/>
                <w:lang w:bidi="ar"/>
                <w14:textFill>
                  <w14:solidFill>
                    <w14:schemeClr w14:val="tx1"/>
                  </w14:solidFill>
                </w14:textFill>
              </w:rPr>
              <w:t>卵石层，厚度250mm，满足《火力发电厂与变电站设计防火标准》（GB50229-2019）中的相关要求。</w:t>
            </w:r>
          </w:p>
          <w:p w14:paraId="397DB954">
            <w:pPr>
              <w:pStyle w:val="11"/>
              <w:adjustRightInd w:val="0"/>
              <w:snapToGrid w:val="0"/>
              <w:spacing w:line="360" w:lineRule="auto"/>
              <w:ind w:firstLine="480" w:firstLineChars="200"/>
              <w:jc w:val="both"/>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bidi="ar"/>
                <w14:textFill>
                  <w14:solidFill>
                    <w14:schemeClr w14:val="tx1"/>
                  </w14:solidFill>
                </w14:textFill>
              </w:rPr>
              <w:t>④</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项目电气设备均按《安全规程》的要求选取，加强对其管理与维护，避免因发生短路和绝缘材料破坏漏电而引起的火灾事故；在办公室等处配备不同类型的灭火器具，以便在发生火灾时用于防灭火工作；发现火情立即拨打119，说明地点、设备类型、人员情况；同时启动现场应急预案，切断电源，使用就近灭火器扑救初期</w:t>
            </w:r>
            <w:r>
              <w:rPr>
                <w:rFonts w:hint="eastAsia" w:cs="Times New Roman"/>
                <w:color w:val="000000" w:themeColor="text1"/>
                <w:sz w:val="24"/>
                <w:szCs w:val="36"/>
                <w:highlight w:val="none"/>
                <w:lang w:val="en-US" w:eastAsia="zh-CN" w:bidi="ar"/>
                <w14:textFill>
                  <w14:solidFill>
                    <w14:schemeClr w14:val="tx1"/>
                  </w14:solidFill>
                </w14:textFill>
              </w:rPr>
              <w:t>火情</w:t>
            </w:r>
            <w:r>
              <w:rPr>
                <w:rFonts w:hint="eastAsia" w:ascii="Times New Roman" w:hAnsi="Times New Roman" w:eastAsia="宋体" w:cs="Times New Roman"/>
                <w:color w:val="000000" w:themeColor="text1"/>
                <w:sz w:val="24"/>
                <w:szCs w:val="36"/>
                <w:highlight w:val="none"/>
                <w:lang w:val="en-US" w:eastAsia="zh-CN" w:bidi="ar"/>
                <w14:textFill>
                  <w14:solidFill>
                    <w14:schemeClr w14:val="tx1"/>
                  </w14:solidFill>
                </w14:textFill>
              </w:rPr>
              <w:t>。</w:t>
            </w:r>
          </w:p>
          <w:p w14:paraId="21654EB0">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bidi="ar"/>
                <w14:textFill>
                  <w14:solidFill>
                    <w14:schemeClr w14:val="tx1"/>
                  </w14:solidFill>
                </w14:textFill>
              </w:rPr>
              <w:t>⑤</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项目储能舱选用高密封性、IP67及以上防护等级，从源头降低电解液泄漏概率；</w:t>
            </w:r>
          </w:p>
          <w:p w14:paraId="7BFDFC8D">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bidi="ar"/>
                <w14:textFill>
                  <w14:solidFill>
                    <w14:schemeClr w14:val="tx1"/>
                  </w14:solidFill>
                </w14:textFill>
              </w:rPr>
              <w:t>⑥储能区设置电解液泄漏传感器</w:t>
            </w:r>
            <w:r>
              <w:rPr>
                <w:rFonts w:hint="default" w:ascii="Times New Roman" w:hAnsi="Times New Roman" w:eastAsia="宋体" w:cs="Times New Roman"/>
                <w:color w:val="000000" w:themeColor="text1"/>
                <w:sz w:val="24"/>
                <w:szCs w:val="36"/>
                <w:highlight w:val="none"/>
                <w:lang w:eastAsia="zh-CN" w:bidi="ar"/>
                <w14:textFill>
                  <w14:solidFill>
                    <w14:schemeClr w14:val="tx1"/>
                  </w14:solidFill>
                </w14:textFill>
              </w:rPr>
              <w:t>，实现24小时自动预警；</w:t>
            </w:r>
          </w:p>
          <w:p w14:paraId="7108704C">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val="zh-CN" w:bidi="ar"/>
                <w14:textFill>
                  <w14:solidFill>
                    <w14:schemeClr w14:val="tx1"/>
                  </w14:solidFill>
                </w14:textFill>
              </w:rPr>
              <w:t>⑦</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整体储能站消防系统的组成包括储能集装箱、二次舱集装箱、消防联动控制器。二次</w:t>
            </w:r>
            <w:r>
              <w:rPr>
                <w:rFonts w:hint="eastAsia" w:cs="Times New Roman"/>
                <w:color w:val="000000" w:themeColor="text1"/>
                <w:sz w:val="24"/>
                <w:szCs w:val="36"/>
                <w:highlight w:val="none"/>
                <w:lang w:val="en-US" w:eastAsia="zh-CN" w:bidi="ar"/>
                <w14:textFill>
                  <w14:solidFill>
                    <w14:schemeClr w14:val="tx1"/>
                  </w14:solidFill>
                </w14:textFill>
              </w:rPr>
              <w:t>控制</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室配置一台消防联动控制器，与储能箱气体灭火主机通过CAN通讯的方式联网，与二次</w:t>
            </w:r>
            <w:r>
              <w:rPr>
                <w:rFonts w:hint="eastAsia" w:cs="Times New Roman"/>
                <w:color w:val="000000" w:themeColor="text1"/>
                <w:sz w:val="24"/>
                <w:szCs w:val="36"/>
                <w:highlight w:val="none"/>
                <w:lang w:val="en-US" w:eastAsia="zh-CN" w:bidi="ar"/>
                <w14:textFill>
                  <w14:solidFill>
                    <w14:schemeClr w14:val="tx1"/>
                  </w14:solidFill>
                </w14:textFill>
              </w:rPr>
              <w:t>控制室</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通过消防系统内部总线方式连接。当储能站任意一处探测器触发动作或任意一处发生故障，消防联动控制器均能接收到火警或故障信息。</w:t>
            </w:r>
          </w:p>
          <w:p w14:paraId="7D82BAB6">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val="zh-CN" w:bidi="ar"/>
                <w14:textFill>
                  <w14:solidFill>
                    <w14:schemeClr w14:val="tx1"/>
                  </w14:solidFill>
                </w14:textFill>
              </w:rPr>
              <w:t>⑧每台储能集装箱均设置一套全氟己酮气体灭火系统，气体灭火主机与消防联动控制器联网的同时，可另外提供系统故障信号(常开触点，有故障时闭合)、火警信号输出(有火警动作时启动输出24VDC信号)。</w:t>
            </w:r>
          </w:p>
          <w:p w14:paraId="0BF6884B">
            <w:pPr>
              <w:pStyle w:val="11"/>
              <w:adjustRightInd w:val="0"/>
              <w:snapToGrid w:val="0"/>
              <w:spacing w:line="360" w:lineRule="auto"/>
              <w:ind w:firstLine="480" w:firstLineChars="200"/>
              <w:jc w:val="both"/>
              <w:rPr>
                <w:color w:val="000000" w:themeColor="text1"/>
                <w:sz w:val="24"/>
                <w:szCs w:val="36"/>
                <w:highlight w:val="none"/>
                <w:lang w:bidi="ar"/>
                <w14:textFill>
                  <w14:solidFill>
                    <w14:schemeClr w14:val="tx1"/>
                  </w14:solidFill>
                </w14:textFill>
              </w:rPr>
            </w:pPr>
            <w:r>
              <w:rPr>
                <w:rFonts w:hint="eastAsia"/>
                <w:color w:val="000000" w:themeColor="text1"/>
                <w:sz w:val="24"/>
                <w:szCs w:val="36"/>
                <w:highlight w:val="none"/>
                <w:lang w:bidi="ar"/>
                <w14:textFill>
                  <w14:solidFill>
                    <w14:schemeClr w14:val="tx1"/>
                  </w14:solidFill>
                </w14:textFill>
              </w:rPr>
              <w:t>（3）</w:t>
            </w:r>
            <w:r>
              <w:rPr>
                <w:color w:val="000000" w:themeColor="text1"/>
                <w:sz w:val="24"/>
                <w:szCs w:val="36"/>
                <w:highlight w:val="none"/>
                <w:lang w:bidi="ar"/>
                <w14:textFill>
                  <w14:solidFill>
                    <w14:schemeClr w14:val="tx1"/>
                  </w14:solidFill>
                </w14:textFill>
              </w:rPr>
              <w:t>突发事件应急预案</w:t>
            </w:r>
          </w:p>
          <w:p w14:paraId="0E4DE179">
            <w:pPr>
              <w:pStyle w:val="11"/>
              <w:adjustRightInd w:val="0"/>
              <w:snapToGrid w:val="0"/>
              <w:spacing w:line="360" w:lineRule="auto"/>
              <w:ind w:firstLine="480" w:firstLineChars="200"/>
              <w:jc w:val="both"/>
              <w:rPr>
                <w:color w:val="000000" w:themeColor="text1"/>
                <w:sz w:val="24"/>
                <w:szCs w:val="36"/>
                <w:highlight w:val="none"/>
                <w:lang w:bidi="ar"/>
                <w14:textFill>
                  <w14:solidFill>
                    <w14:schemeClr w14:val="tx1"/>
                  </w14:solidFill>
                </w14:textFill>
              </w:rPr>
            </w:pPr>
            <w:r>
              <w:rPr>
                <w:color w:val="000000" w:themeColor="text1"/>
                <w:sz w:val="24"/>
                <w:szCs w:val="36"/>
                <w:highlight w:val="none"/>
                <w:lang w:bidi="ar"/>
                <w14:textFill>
                  <w14:solidFill>
                    <w14:schemeClr w14:val="tx1"/>
                  </w14:solidFill>
                </w14:textFill>
              </w:rPr>
              <w:t>本项目中主变压器事故排油泄漏事故可能会对周围水环境产生影响。根据《建设项目环境风险评价技术导则》（HJ169-2018）和《突发环境事件应急管理办法》中应急预案要求，本环评要求建设单位编制环境风险应急预案并报生态环境局备案。</w:t>
            </w:r>
          </w:p>
          <w:p w14:paraId="1AE462F5">
            <w:pPr>
              <w:pStyle w:val="11"/>
              <w:adjustRightInd w:val="0"/>
              <w:snapToGrid w:val="0"/>
              <w:spacing w:line="360" w:lineRule="auto"/>
              <w:ind w:firstLine="480" w:firstLineChars="200"/>
              <w:jc w:val="both"/>
              <w:rPr>
                <w:color w:val="000000" w:themeColor="text1"/>
                <w:sz w:val="24"/>
                <w:szCs w:val="36"/>
                <w:highlight w:val="none"/>
                <w:lang w:bidi="ar"/>
                <w14:textFill>
                  <w14:solidFill>
                    <w14:schemeClr w14:val="tx1"/>
                  </w14:solidFill>
                </w14:textFill>
              </w:rPr>
            </w:pPr>
            <w:r>
              <w:rPr>
                <w:rFonts w:hint="eastAsia"/>
                <w:color w:val="000000" w:themeColor="text1"/>
                <w:sz w:val="24"/>
                <w:szCs w:val="36"/>
                <w:highlight w:val="none"/>
                <w:lang w:bidi="ar"/>
                <w14:textFill>
                  <w14:solidFill>
                    <w14:schemeClr w14:val="tx1"/>
                  </w14:solidFill>
                </w14:textFill>
              </w:rPr>
              <w:t>（4）结论</w:t>
            </w:r>
          </w:p>
          <w:p w14:paraId="2F6EBC5C">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通过采取上述措施，可使本工程出现事故风险降到最低，当出现事故危害时能及时采取措施妥善处置，预防各项事故的发生，使其产生的影响能减小到最低限度。综上所述，项目运营后环境风险</w:t>
            </w:r>
            <w:r>
              <w:rPr>
                <w:rFonts w:hint="eastAsia"/>
                <w:bCs/>
                <w:color w:val="000000" w:themeColor="text1"/>
                <w:sz w:val="24"/>
                <w:highlight w:val="none"/>
                <w14:textFill>
                  <w14:solidFill>
                    <w14:schemeClr w14:val="tx1"/>
                  </w14:solidFill>
                </w14:textFill>
              </w:rPr>
              <w:t>可接受</w:t>
            </w:r>
            <w:r>
              <w:rPr>
                <w:bCs/>
                <w:color w:val="000000" w:themeColor="text1"/>
                <w:sz w:val="24"/>
                <w:highlight w:val="none"/>
                <w14:textFill>
                  <w14:solidFill>
                    <w14:schemeClr w14:val="tx1"/>
                  </w14:solidFill>
                </w14:textFill>
              </w:rPr>
              <w:t>。</w:t>
            </w:r>
          </w:p>
          <w:p w14:paraId="7A7D4031">
            <w:pPr>
              <w:pStyle w:val="2"/>
              <w:rPr>
                <w:bCs/>
                <w:color w:val="000000" w:themeColor="text1"/>
                <w:sz w:val="24"/>
                <w:highlight w:val="none"/>
                <w14:textFill>
                  <w14:solidFill>
                    <w14:schemeClr w14:val="tx1"/>
                  </w14:solidFill>
                </w14:textFill>
              </w:rPr>
            </w:pPr>
          </w:p>
          <w:p w14:paraId="7CBE2AA6">
            <w:pPr>
              <w:pStyle w:val="3"/>
              <w:rPr>
                <w:bCs/>
                <w:color w:val="000000" w:themeColor="text1"/>
                <w:sz w:val="24"/>
                <w:highlight w:val="none"/>
                <w14:textFill>
                  <w14:solidFill>
                    <w14:schemeClr w14:val="tx1"/>
                  </w14:solidFill>
                </w14:textFill>
              </w:rPr>
            </w:pPr>
          </w:p>
          <w:p w14:paraId="036EEEB2">
            <w:pPr>
              <w:pStyle w:val="3"/>
              <w:rPr>
                <w:bCs/>
                <w:color w:val="000000" w:themeColor="text1"/>
                <w:sz w:val="24"/>
                <w:highlight w:val="none"/>
                <w14:textFill>
                  <w14:solidFill>
                    <w14:schemeClr w14:val="tx1"/>
                  </w14:solidFill>
                </w14:textFill>
              </w:rPr>
            </w:pPr>
          </w:p>
          <w:p w14:paraId="647FC0EC">
            <w:pPr>
              <w:rPr>
                <w:color w:val="000000" w:themeColor="text1"/>
                <w14:textFill>
                  <w14:solidFill>
                    <w14:schemeClr w14:val="tx1"/>
                  </w14:solidFill>
                </w14:textFill>
              </w:rPr>
            </w:pPr>
          </w:p>
        </w:tc>
      </w:tr>
      <w:tr w14:paraId="40C9A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91" w:hRule="atLeast"/>
          <w:jc w:val="center"/>
        </w:trPr>
        <w:tc>
          <w:tcPr>
            <w:tcW w:w="879" w:type="dxa"/>
            <w:tcMar>
              <w:left w:w="28" w:type="dxa"/>
              <w:right w:w="28" w:type="dxa"/>
            </w:tcMar>
            <w:vAlign w:val="center"/>
          </w:tcPr>
          <w:p w14:paraId="066C2A16">
            <w:pPr>
              <w:pStyle w:val="27"/>
              <w:adjustRightInd w:val="0"/>
              <w:snapToGrid w:val="0"/>
              <w:spacing w:before="0" w:beforeAutospacing="0" w:after="0" w:afterAutospacing="0"/>
              <w:jc w:val="center"/>
              <w:rPr>
                <w:rFonts w:hint="eastAsia" w:cs="宋体"/>
                <w:bCs/>
                <w:color w:val="000000" w:themeColor="text1"/>
                <w:spacing w:val="10"/>
                <w:kern w:val="2"/>
                <w:highlight w:val="none"/>
                <w14:textFill>
                  <w14:solidFill>
                    <w14:schemeClr w14:val="tx1"/>
                  </w14:solidFill>
                </w14:textFill>
              </w:rPr>
            </w:pPr>
            <w:r>
              <w:rPr>
                <w:rFonts w:hint="eastAsia" w:cs="宋体"/>
                <w:bCs/>
                <w:color w:val="000000" w:themeColor="text1"/>
                <w:kern w:val="2"/>
                <w:highlight w:val="none"/>
                <w14:textFill>
                  <w14:solidFill>
                    <w14:schemeClr w14:val="tx1"/>
                  </w14:solidFill>
                </w14:textFill>
              </w:rPr>
              <w:t>选址选线环境合理性分析</w:t>
            </w:r>
          </w:p>
        </w:tc>
        <w:tc>
          <w:tcPr>
            <w:tcW w:w="8363" w:type="dxa"/>
          </w:tcPr>
          <w:p w14:paraId="527E6929">
            <w:pPr>
              <w:pStyle w:val="64"/>
              <w:spacing w:before="120" w:beforeLines="50"/>
              <w:ind w:firstLine="480" w:firstLineChars="200"/>
              <w:rPr>
                <w:b/>
                <w:bCs/>
                <w:color w:val="000000" w:themeColor="text1"/>
                <w:sz w:val="22"/>
                <w:szCs w:val="22"/>
                <w:highlight w:val="none"/>
                <w14:textFill>
                  <w14:solidFill>
                    <w14:schemeClr w14:val="tx1"/>
                  </w14:solidFill>
                </w14:textFill>
              </w:rPr>
            </w:pPr>
            <w:r>
              <w:rPr>
                <w:rFonts w:hint="eastAsia"/>
                <w:color w:val="000000" w:themeColor="text1"/>
                <w:highlight w:val="none"/>
                <w14:textFill>
                  <w14:solidFill>
                    <w14:schemeClr w14:val="tx1"/>
                  </w14:solidFill>
                </w14:textFill>
              </w:rPr>
              <w:t>根据《环境影响评价技术导则 输变电》（HJ24-2020），本项目应按照《输变电建设项目环境保护技术要求》（HJ1113-2020）的规定进行选址环境合理性分析，见表4-</w:t>
            </w: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w:t>
            </w:r>
          </w:p>
          <w:p w14:paraId="7038016B">
            <w:pPr>
              <w:pStyle w:val="60"/>
              <w:overflowPunct w:val="0"/>
              <w:adjustRightInd/>
              <w:spacing w:before="120" w:beforeLines="50" w:afterLines="0" w:line="240" w:lineRule="auto"/>
              <w:ind w:firstLine="482"/>
              <w:rPr>
                <w:rFonts w:ascii="Times New Roman"/>
                <w:b/>
                <w:bCs/>
                <w:color w:val="000000" w:themeColor="text1"/>
                <w:sz w:val="24"/>
                <w:szCs w:val="24"/>
                <w:highlight w:val="none"/>
                <w14:textFill>
                  <w14:solidFill>
                    <w14:schemeClr w14:val="tx1"/>
                  </w14:solidFill>
                </w14:textFill>
              </w:rPr>
            </w:pPr>
            <w:r>
              <w:rPr>
                <w:rFonts w:hint="eastAsia" w:ascii="Times New Roman"/>
                <w:b/>
                <w:bCs/>
                <w:color w:val="000000" w:themeColor="text1"/>
                <w:sz w:val="24"/>
                <w:szCs w:val="24"/>
                <w:highlight w:val="none"/>
                <w14:textFill>
                  <w14:solidFill>
                    <w14:schemeClr w14:val="tx1"/>
                  </w14:solidFill>
                </w14:textFill>
              </w:rPr>
              <w:t>表4-</w:t>
            </w:r>
            <w:r>
              <w:rPr>
                <w:rFonts w:hint="eastAsia" w:ascii="Times New Roman"/>
                <w:b/>
                <w:bCs/>
                <w:color w:val="000000" w:themeColor="text1"/>
                <w:sz w:val="24"/>
                <w:szCs w:val="24"/>
                <w:highlight w:val="none"/>
                <w:lang w:val="en-US" w:eastAsia="zh-CN"/>
                <w14:textFill>
                  <w14:solidFill>
                    <w14:schemeClr w14:val="tx1"/>
                  </w14:solidFill>
                </w14:textFill>
              </w:rPr>
              <w:t>12</w:t>
            </w:r>
            <w:r>
              <w:rPr>
                <w:rFonts w:hint="eastAsia" w:ascii="Times New Roman"/>
                <w:b/>
                <w:bCs/>
                <w:color w:val="000000" w:themeColor="text1"/>
                <w:sz w:val="24"/>
                <w:szCs w:val="24"/>
                <w:highlight w:val="none"/>
                <w14:textFill>
                  <w14:solidFill>
                    <w14:schemeClr w14:val="tx1"/>
                  </w14:solidFill>
                </w14:textFill>
              </w:rPr>
              <w:t xml:space="preserve">  本项目选址合理性分析</w:t>
            </w:r>
          </w:p>
          <w:tbl>
            <w:tblPr>
              <w:tblStyle w:val="33"/>
              <w:tblW w:w="81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2"/>
              <w:gridCol w:w="3180"/>
              <w:gridCol w:w="887"/>
            </w:tblGrid>
            <w:tr w14:paraId="3231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072" w:type="dxa"/>
                  <w:tcBorders>
                    <w:tl2br w:val="nil"/>
                    <w:tr2bl w:val="nil"/>
                  </w:tcBorders>
                  <w:vAlign w:val="center"/>
                </w:tcPr>
                <w:p w14:paraId="0C7C4190">
                  <w:pPr>
                    <w:pStyle w:val="64"/>
                    <w:spacing w:line="240" w:lineRule="auto"/>
                    <w:ind w:left="-63" w:leftChars="-30" w:right="-63" w:rightChars="-30" w:firstLine="0" w:firstLineChars="0"/>
                    <w:jc w:val="center"/>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具体要求</w:t>
                  </w:r>
                </w:p>
              </w:tc>
              <w:tc>
                <w:tcPr>
                  <w:tcW w:w="3180" w:type="dxa"/>
                  <w:tcBorders>
                    <w:tl2br w:val="nil"/>
                    <w:tr2bl w:val="nil"/>
                  </w:tcBorders>
                  <w:vAlign w:val="center"/>
                </w:tcPr>
                <w:p w14:paraId="427C7113">
                  <w:pPr>
                    <w:pStyle w:val="64"/>
                    <w:spacing w:line="240" w:lineRule="auto"/>
                    <w:ind w:left="-63" w:leftChars="-30" w:right="-63" w:rightChars="-30" w:firstLine="0" w:firstLineChars="0"/>
                    <w:jc w:val="center"/>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项目实际情况</w:t>
                  </w:r>
                </w:p>
              </w:tc>
              <w:tc>
                <w:tcPr>
                  <w:tcW w:w="887" w:type="dxa"/>
                  <w:tcBorders>
                    <w:tl2br w:val="nil"/>
                    <w:tr2bl w:val="nil"/>
                  </w:tcBorders>
                  <w:vAlign w:val="center"/>
                </w:tcPr>
                <w:p w14:paraId="53B8D2BE">
                  <w:pPr>
                    <w:pStyle w:val="64"/>
                    <w:spacing w:line="240" w:lineRule="auto"/>
                    <w:ind w:left="-63" w:leftChars="-30" w:right="-63" w:rightChars="-30" w:firstLine="0" w:firstLineChars="0"/>
                    <w:jc w:val="center"/>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符合性</w:t>
                  </w:r>
                </w:p>
              </w:tc>
            </w:tr>
            <w:tr w14:paraId="1CD4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072" w:type="dxa"/>
                  <w:tcBorders>
                    <w:tl2br w:val="nil"/>
                    <w:tr2bl w:val="nil"/>
                  </w:tcBorders>
                  <w:vAlign w:val="center"/>
                </w:tcPr>
                <w:p w14:paraId="61429B3B">
                  <w:pPr>
                    <w:pStyle w:val="64"/>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输变电建设项目选址选线应符合生态保护红线管控要求，避让自然保护区、饮用水水源保护区等环境敏感区。确实因自然条件等因素限制无法避让自然保护区实验区、饮用水水源二级保护区等环境敏感区的输电线路，应在满足相关法律法规及管理要求的前提下对线路方案进行唯一性论证，并采取无害化方式通过</w:t>
                  </w:r>
                </w:p>
              </w:tc>
              <w:tc>
                <w:tcPr>
                  <w:tcW w:w="3180" w:type="dxa"/>
                  <w:tcBorders>
                    <w:tl2br w:val="nil"/>
                    <w:tr2bl w:val="nil"/>
                  </w:tcBorders>
                  <w:vAlign w:val="center"/>
                </w:tcPr>
                <w:p w14:paraId="2F28149D">
                  <w:pPr>
                    <w:pStyle w:val="64"/>
                    <w:tabs>
                      <w:tab w:val="left" w:pos="4584"/>
                    </w:tabs>
                    <w:adjustRightInd w:val="0"/>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本项目不在生态保护红线管控区内，不涉及自然保护区、饮用水水源保护区等环境敏感区</w:t>
                  </w:r>
                  <w:r>
                    <w:rPr>
                      <w:rFonts w:hint="eastAsia"/>
                      <w:color w:val="000000" w:themeColor="text1"/>
                      <w:sz w:val="21"/>
                      <w:szCs w:val="21"/>
                      <w:highlight w:val="none"/>
                      <w14:textFill>
                        <w14:solidFill>
                          <w14:schemeClr w14:val="tx1"/>
                        </w14:solidFill>
                      </w14:textFill>
                    </w:rPr>
                    <w:t>。</w:t>
                  </w:r>
                </w:p>
              </w:tc>
              <w:tc>
                <w:tcPr>
                  <w:tcW w:w="887" w:type="dxa"/>
                  <w:tcBorders>
                    <w:tl2br w:val="nil"/>
                    <w:tr2bl w:val="nil"/>
                  </w:tcBorders>
                  <w:vAlign w:val="center"/>
                </w:tcPr>
                <w:p w14:paraId="048539AA">
                  <w:pPr>
                    <w:pStyle w:val="64"/>
                    <w:spacing w:line="240" w:lineRule="auto"/>
                    <w:ind w:left="-63" w:leftChars="-30" w:right="-63" w:rightChars="-30" w:firstLine="0" w:firstLineChars="0"/>
                    <w:jc w:val="center"/>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符合</w:t>
                  </w:r>
                </w:p>
              </w:tc>
            </w:tr>
            <w:tr w14:paraId="1349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072" w:type="dxa"/>
                  <w:tcBorders>
                    <w:tl2br w:val="nil"/>
                    <w:tr2bl w:val="nil"/>
                  </w:tcBorders>
                  <w:vAlign w:val="center"/>
                </w:tcPr>
                <w:p w14:paraId="746A129A">
                  <w:pPr>
                    <w:pStyle w:val="64"/>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户外变电工程及规划架空进出线选址选线时，应关注以居住、医疗卫生、文化教育、科研、行政办公等为主要功能的区域，采取综合措施，减少电磁和声环境影响</w:t>
                  </w:r>
                </w:p>
              </w:tc>
              <w:tc>
                <w:tcPr>
                  <w:tcW w:w="3180" w:type="dxa"/>
                  <w:tcBorders>
                    <w:tl2br w:val="nil"/>
                    <w:tr2bl w:val="nil"/>
                  </w:tcBorders>
                  <w:vAlign w:val="center"/>
                </w:tcPr>
                <w:p w14:paraId="5C90BA4F">
                  <w:pPr>
                    <w:pStyle w:val="64"/>
                    <w:tabs>
                      <w:tab w:val="left" w:pos="4584"/>
                    </w:tabs>
                    <w:adjustRightInd w:val="0"/>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14:textFill>
                        <w14:solidFill>
                          <w14:schemeClr w14:val="tx1"/>
                        </w14:solidFill>
                      </w14:textFill>
                    </w:rPr>
                    <w:t>四周均不涉及上述电磁敏感区域；项目不涉及输电线路工程。</w:t>
                  </w:r>
                </w:p>
              </w:tc>
              <w:tc>
                <w:tcPr>
                  <w:tcW w:w="887" w:type="dxa"/>
                  <w:tcBorders>
                    <w:tl2br w:val="nil"/>
                    <w:tr2bl w:val="nil"/>
                  </w:tcBorders>
                  <w:vAlign w:val="center"/>
                </w:tcPr>
                <w:p w14:paraId="454B6CFA">
                  <w:pPr>
                    <w:pStyle w:val="64"/>
                    <w:spacing w:line="240" w:lineRule="auto"/>
                    <w:ind w:left="-63" w:leftChars="-30" w:right="-63" w:rightChars="-30" w:firstLine="0" w:firstLineChars="0"/>
                    <w:jc w:val="center"/>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符合</w:t>
                  </w:r>
                </w:p>
              </w:tc>
            </w:tr>
            <w:tr w14:paraId="4FD4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072" w:type="dxa"/>
                  <w:tcBorders>
                    <w:tl2br w:val="nil"/>
                    <w:tr2bl w:val="nil"/>
                  </w:tcBorders>
                  <w:vAlign w:val="center"/>
                </w:tcPr>
                <w:p w14:paraId="2C06CFE7">
                  <w:pPr>
                    <w:pStyle w:val="64"/>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同一走廊内的多回输电线路，宜采取同塔多回架设、并行架设等形式，减少新开辟走廊，优化线路走廊间距，降低环境</w:t>
                  </w:r>
                  <w:r>
                    <w:rPr>
                      <w:rFonts w:hint="eastAsia"/>
                      <w:bCs/>
                      <w:color w:val="000000" w:themeColor="text1"/>
                      <w:sz w:val="21"/>
                      <w:szCs w:val="21"/>
                      <w:highlight w:val="none"/>
                      <w:lang w:eastAsia="zh-CN"/>
                      <w14:textFill>
                        <w14:solidFill>
                          <w14:schemeClr w14:val="tx1"/>
                        </w14:solidFill>
                      </w14:textFill>
                    </w:rPr>
                    <w:t>影响</w:t>
                  </w:r>
                </w:p>
              </w:tc>
              <w:tc>
                <w:tcPr>
                  <w:tcW w:w="3180" w:type="dxa"/>
                  <w:tcBorders>
                    <w:tl2br w:val="nil"/>
                    <w:tr2bl w:val="nil"/>
                  </w:tcBorders>
                  <w:vAlign w:val="center"/>
                </w:tcPr>
                <w:p w14:paraId="3775158B">
                  <w:pPr>
                    <w:pStyle w:val="64"/>
                    <w:tabs>
                      <w:tab w:val="left" w:pos="4584"/>
                    </w:tabs>
                    <w:adjustRightInd w:val="0"/>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项目不涉及输电线路工程。</w:t>
                  </w:r>
                </w:p>
              </w:tc>
              <w:tc>
                <w:tcPr>
                  <w:tcW w:w="887" w:type="dxa"/>
                  <w:tcBorders>
                    <w:tl2br w:val="nil"/>
                    <w:tr2bl w:val="nil"/>
                  </w:tcBorders>
                  <w:vAlign w:val="center"/>
                </w:tcPr>
                <w:p w14:paraId="712C2D1D">
                  <w:pPr>
                    <w:pStyle w:val="64"/>
                    <w:spacing w:line="240" w:lineRule="auto"/>
                    <w:ind w:left="-63" w:leftChars="-30" w:right="-63" w:rightChars="-30" w:firstLine="0" w:firstLineChars="0"/>
                    <w:jc w:val="center"/>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符合</w:t>
                  </w:r>
                </w:p>
              </w:tc>
            </w:tr>
            <w:tr w14:paraId="489E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072" w:type="dxa"/>
                  <w:tcBorders>
                    <w:tl2br w:val="nil"/>
                    <w:tr2bl w:val="nil"/>
                  </w:tcBorders>
                  <w:vAlign w:val="center"/>
                </w:tcPr>
                <w:p w14:paraId="4844276E">
                  <w:pPr>
                    <w:pStyle w:val="64"/>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输电线路宜避让集中林区，以减少林木砍伐，保护生态环境</w:t>
                  </w:r>
                </w:p>
              </w:tc>
              <w:tc>
                <w:tcPr>
                  <w:tcW w:w="3180" w:type="dxa"/>
                  <w:tcBorders>
                    <w:tl2br w:val="nil"/>
                    <w:tr2bl w:val="nil"/>
                  </w:tcBorders>
                  <w:vAlign w:val="center"/>
                </w:tcPr>
                <w:p w14:paraId="11612234">
                  <w:pPr>
                    <w:pStyle w:val="64"/>
                    <w:tabs>
                      <w:tab w:val="left" w:pos="4584"/>
                    </w:tabs>
                    <w:adjustRightInd w:val="0"/>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项目不涉及输电线路工程。</w:t>
                  </w:r>
                </w:p>
              </w:tc>
              <w:tc>
                <w:tcPr>
                  <w:tcW w:w="887" w:type="dxa"/>
                  <w:tcBorders>
                    <w:tl2br w:val="nil"/>
                    <w:tr2bl w:val="nil"/>
                  </w:tcBorders>
                  <w:vAlign w:val="center"/>
                </w:tcPr>
                <w:p w14:paraId="0ADFD822">
                  <w:pPr>
                    <w:pStyle w:val="64"/>
                    <w:spacing w:line="240" w:lineRule="auto"/>
                    <w:ind w:left="-63" w:leftChars="-30" w:right="-63" w:rightChars="-3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符合</w:t>
                  </w:r>
                </w:p>
              </w:tc>
            </w:tr>
            <w:tr w14:paraId="4097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072" w:type="dxa"/>
                  <w:tcBorders>
                    <w:tl2br w:val="nil"/>
                    <w:tr2bl w:val="nil"/>
                  </w:tcBorders>
                  <w:vAlign w:val="center"/>
                </w:tcPr>
                <w:p w14:paraId="4DA16CEE">
                  <w:pPr>
                    <w:pStyle w:val="64"/>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进入自然保护区的输电线路，应按照HJ19的要求开展生态现状调查，避让保护对象的集中分布区</w:t>
                  </w:r>
                </w:p>
              </w:tc>
              <w:tc>
                <w:tcPr>
                  <w:tcW w:w="3180" w:type="dxa"/>
                  <w:tcBorders>
                    <w:tl2br w:val="nil"/>
                    <w:tr2bl w:val="nil"/>
                  </w:tcBorders>
                  <w:vAlign w:val="center"/>
                </w:tcPr>
                <w:p w14:paraId="4E95B80A">
                  <w:pPr>
                    <w:pStyle w:val="64"/>
                    <w:tabs>
                      <w:tab w:val="left" w:pos="4584"/>
                    </w:tabs>
                    <w:adjustRightInd w:val="0"/>
                    <w:spacing w:line="240" w:lineRule="auto"/>
                    <w:ind w:left="-63" w:leftChars="-30" w:right="-63" w:rightChars="-30" w:firstLine="0" w:firstLineChars="0"/>
                    <w:rPr>
                      <w:bCs/>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本项目不涉及自然保护区、饮用水水源保护区等环境敏感区</w:t>
                  </w:r>
                  <w:r>
                    <w:rPr>
                      <w:rFonts w:hint="eastAsia"/>
                      <w:color w:val="000000" w:themeColor="text1"/>
                      <w:sz w:val="21"/>
                      <w:szCs w:val="21"/>
                      <w:highlight w:val="none"/>
                      <w14:textFill>
                        <w14:solidFill>
                          <w14:schemeClr w14:val="tx1"/>
                        </w14:solidFill>
                      </w14:textFill>
                    </w:rPr>
                    <w:t>。</w:t>
                  </w:r>
                </w:p>
              </w:tc>
              <w:tc>
                <w:tcPr>
                  <w:tcW w:w="887" w:type="dxa"/>
                  <w:tcBorders>
                    <w:tl2br w:val="nil"/>
                    <w:tr2bl w:val="nil"/>
                  </w:tcBorders>
                  <w:vAlign w:val="center"/>
                </w:tcPr>
                <w:p w14:paraId="5FC95B91">
                  <w:pPr>
                    <w:pStyle w:val="64"/>
                    <w:spacing w:line="240" w:lineRule="auto"/>
                    <w:ind w:left="-63" w:leftChars="-30" w:right="-63" w:rightChars="-3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符合</w:t>
                  </w:r>
                </w:p>
              </w:tc>
            </w:tr>
          </w:tbl>
          <w:p w14:paraId="4061CED2">
            <w:pPr>
              <w:pStyle w:val="64"/>
              <w:spacing w:before="120" w:beforeLines="50"/>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由上表可知，建设项目选址不存在环境制约因素，环境影响程度可接受，因此符合《输变电建设项目环境保护技术要求》（HJ1113-2020）中选址选线等相关技术要求，故建设项目的选址是合理的。</w:t>
            </w:r>
          </w:p>
          <w:p w14:paraId="7E7D4C78">
            <w:pPr>
              <w:rPr>
                <w:rFonts w:hint="eastAsia"/>
                <w:color w:val="000000" w:themeColor="text1"/>
                <w:highlight w:val="none"/>
                <w14:textFill>
                  <w14:solidFill>
                    <w14:schemeClr w14:val="tx1"/>
                  </w14:solidFill>
                </w14:textFill>
              </w:rPr>
            </w:pPr>
          </w:p>
          <w:p w14:paraId="02EA728A">
            <w:pPr>
              <w:pStyle w:val="2"/>
              <w:rPr>
                <w:rFonts w:hint="eastAsia"/>
                <w:color w:val="000000" w:themeColor="text1"/>
                <w:highlight w:val="none"/>
                <w14:textFill>
                  <w14:solidFill>
                    <w14:schemeClr w14:val="tx1"/>
                  </w14:solidFill>
                </w14:textFill>
              </w:rPr>
            </w:pPr>
          </w:p>
          <w:p w14:paraId="280A1226">
            <w:pPr>
              <w:pStyle w:val="3"/>
              <w:rPr>
                <w:rFonts w:hint="eastAsia"/>
                <w:color w:val="000000" w:themeColor="text1"/>
                <w:highlight w:val="none"/>
                <w14:textFill>
                  <w14:solidFill>
                    <w14:schemeClr w14:val="tx1"/>
                  </w14:solidFill>
                </w14:textFill>
              </w:rPr>
            </w:pPr>
          </w:p>
          <w:p w14:paraId="5EFBA53C">
            <w:pPr>
              <w:pStyle w:val="3"/>
              <w:rPr>
                <w:rFonts w:hint="eastAsia"/>
                <w:color w:val="000000" w:themeColor="text1"/>
                <w:highlight w:val="none"/>
                <w14:textFill>
                  <w14:solidFill>
                    <w14:schemeClr w14:val="tx1"/>
                  </w14:solidFill>
                </w14:textFill>
              </w:rPr>
            </w:pPr>
          </w:p>
          <w:p w14:paraId="58E9B577">
            <w:pPr>
              <w:pStyle w:val="3"/>
              <w:rPr>
                <w:rFonts w:hint="eastAsia"/>
                <w:color w:val="000000" w:themeColor="text1"/>
                <w:highlight w:val="none"/>
                <w14:textFill>
                  <w14:solidFill>
                    <w14:schemeClr w14:val="tx1"/>
                  </w14:solidFill>
                </w14:textFill>
              </w:rPr>
            </w:pPr>
          </w:p>
          <w:p w14:paraId="3B479C18">
            <w:pPr>
              <w:pStyle w:val="3"/>
              <w:rPr>
                <w:rFonts w:hint="eastAsia"/>
                <w:color w:val="000000" w:themeColor="text1"/>
                <w:highlight w:val="none"/>
                <w14:textFill>
                  <w14:solidFill>
                    <w14:schemeClr w14:val="tx1"/>
                  </w14:solidFill>
                </w14:textFill>
              </w:rPr>
            </w:pPr>
          </w:p>
          <w:p w14:paraId="02358E63">
            <w:pPr>
              <w:pStyle w:val="3"/>
              <w:rPr>
                <w:rFonts w:hint="eastAsia"/>
                <w:color w:val="000000" w:themeColor="text1"/>
                <w:highlight w:val="none"/>
                <w14:textFill>
                  <w14:solidFill>
                    <w14:schemeClr w14:val="tx1"/>
                  </w14:solidFill>
                </w14:textFill>
              </w:rPr>
            </w:pPr>
          </w:p>
          <w:p w14:paraId="2D5F17B8">
            <w:pPr>
              <w:pStyle w:val="3"/>
              <w:rPr>
                <w:rFonts w:hint="eastAsia"/>
                <w:color w:val="000000" w:themeColor="text1"/>
                <w:highlight w:val="none"/>
                <w14:textFill>
                  <w14:solidFill>
                    <w14:schemeClr w14:val="tx1"/>
                  </w14:solidFill>
                </w14:textFill>
              </w:rPr>
            </w:pPr>
          </w:p>
          <w:p w14:paraId="52D34A79">
            <w:pPr>
              <w:bidi w:val="0"/>
              <w:rPr>
                <w:color w:val="000000" w:themeColor="text1"/>
                <w14:textFill>
                  <w14:solidFill>
                    <w14:schemeClr w14:val="tx1"/>
                  </w14:solidFill>
                </w14:textFill>
              </w:rPr>
            </w:pPr>
          </w:p>
        </w:tc>
      </w:tr>
    </w:tbl>
    <w:p w14:paraId="4D5D62D5">
      <w:pPr>
        <w:pStyle w:val="27"/>
        <w:adjustRightInd w:val="0"/>
        <w:snapToGrid w:val="0"/>
        <w:spacing w:before="0" w:beforeAutospacing="0" w:after="0" w:afterAutospacing="0" w:line="14" w:lineRule="auto"/>
        <w:jc w:val="both"/>
        <w:rPr>
          <w:rFonts w:hint="eastAsia" w:ascii="黑体" w:hAnsi="黑体" w:eastAsia="黑体"/>
          <w:snapToGrid w:val="0"/>
          <w:color w:val="000000" w:themeColor="text1"/>
          <w:sz w:val="30"/>
          <w:szCs w:val="30"/>
          <w:highlight w:val="none"/>
          <w14:textFill>
            <w14:solidFill>
              <w14:schemeClr w14:val="tx1"/>
            </w14:solidFill>
          </w14:textFill>
        </w:rPr>
      </w:pPr>
    </w:p>
    <w:p w14:paraId="1C3490D3">
      <w:pPr>
        <w:pStyle w:val="27"/>
        <w:jc w:val="center"/>
        <w:rPr>
          <w:rFonts w:hint="eastAsia" w:ascii="黑体" w:hAnsi="黑体" w:eastAsia="黑体"/>
          <w:snapToGrid w:val="0"/>
          <w:color w:val="000000" w:themeColor="text1"/>
          <w:sz w:val="30"/>
          <w:szCs w:val="30"/>
          <w:highlight w:val="none"/>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30A66740">
      <w:pPr>
        <w:pStyle w:val="27"/>
        <w:spacing w:after="0" w:afterAutospacing="0"/>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五、主要生态环境保护措施</w:t>
      </w:r>
      <w:bookmarkEnd w:id="22"/>
      <w:bookmarkEnd w:id="23"/>
    </w:p>
    <w:tbl>
      <w:tblPr>
        <w:tblStyle w:val="32"/>
        <w:tblW w:w="923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7"/>
        <w:gridCol w:w="8457"/>
      </w:tblGrid>
      <w:tr w14:paraId="4A61A4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Mar>
              <w:left w:w="28" w:type="dxa"/>
              <w:right w:w="28" w:type="dxa"/>
            </w:tcMar>
            <w:vAlign w:val="center"/>
          </w:tcPr>
          <w:p w14:paraId="7AD3E288">
            <w:pPr>
              <w:adjustRightInd w:val="0"/>
              <w:snapToGrid w:val="0"/>
              <w:jc w:val="center"/>
              <w:rPr>
                <w:rFonts w:hint="eastAsia" w:ascii="宋体" w:hAnsi="宋体"/>
                <w:bCs/>
                <w:color w:val="000000" w:themeColor="text1"/>
                <w:szCs w:val="21"/>
                <w:highlight w:val="none"/>
                <w14:textFill>
                  <w14:solidFill>
                    <w14:schemeClr w14:val="tx1"/>
                  </w14:solidFill>
                </w14:textFill>
              </w:rPr>
            </w:pPr>
            <w:r>
              <w:rPr>
                <w:rFonts w:hint="eastAsia" w:ascii="宋体" w:hAnsi="宋体" w:cs="宋体"/>
                <w:bCs/>
                <w:color w:val="000000" w:themeColor="text1"/>
                <w:spacing w:val="10"/>
                <w:sz w:val="24"/>
                <w:highlight w:val="none"/>
                <w14:textFill>
                  <w14:solidFill>
                    <w14:schemeClr w14:val="tx1"/>
                  </w14:solidFill>
                </w14:textFill>
              </w:rPr>
              <w:t>施工期生态环境保护措施</w:t>
            </w:r>
          </w:p>
        </w:tc>
        <w:tc>
          <w:tcPr>
            <w:tcW w:w="8457" w:type="dxa"/>
          </w:tcPr>
          <w:p w14:paraId="2DA664E8">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1、施工期废气防治措施</w:t>
            </w:r>
          </w:p>
          <w:p w14:paraId="6379E887">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施工期的大气污染主要来源于材料运输和堆放、车辆行驶、土石方挖掘等产生的扬尘，以及施工机械和机动车辆排出的尾气。</w:t>
            </w:r>
          </w:p>
          <w:p w14:paraId="56DA717C">
            <w:pPr>
              <w:wordWrap w:val="0"/>
              <w:spacing w:line="360" w:lineRule="auto"/>
              <w:ind w:firstLine="482" w:firstLineChars="200"/>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1.1施工扬尘</w:t>
            </w:r>
          </w:p>
          <w:p w14:paraId="15409836">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施工期较短，随着施工期结束，影响也随之结束。为了最大限度减小施工扬尘对环境的影响，根据《大气污染防治行动计划》的通知和《新疆维吾尔自治区大气污染防治条例》对扬尘污染防治的规定，项目施工期采取以下措施：</w:t>
            </w:r>
          </w:p>
          <w:p w14:paraId="6A1C1440">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（1）加强施工管理，做到文明施工，严禁大风（风速≥5m/s）天气进行易产尘施工作业。</w:t>
            </w:r>
          </w:p>
          <w:p w14:paraId="5241C3C6">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（2）做好施工规划，合理安排土石方临时堆放场地，对临时堆放土石方表面进行遮盖、四周进行围挡或定期对临时堆放土石方表面洒水。尽可能的降低对周边大气环境的影响。</w:t>
            </w:r>
          </w:p>
          <w:p w14:paraId="40006BAE">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（3）对施工场地和运输道路每天洒水2</w:t>
            </w:r>
            <w:r>
              <w:rPr>
                <w:color w:val="000000" w:themeColor="text1"/>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3次，遇大风或干燥天气应适当增加洒水次数，</w:t>
            </w:r>
            <w:r>
              <w:rPr>
                <w:color w:val="000000" w:themeColor="text1"/>
                <w:sz w:val="24"/>
                <w:highlight w:val="none"/>
                <w14:textFill>
                  <w14:solidFill>
                    <w14:schemeClr w14:val="tx1"/>
                  </w14:solidFill>
                </w14:textFill>
              </w:rPr>
              <w:t>对于施工场地裸露地面，应采用覆盖防尘布或防尘网，定时定量洒水。</w:t>
            </w:r>
          </w:p>
          <w:p w14:paraId="6B2FC980">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（4）对运输施工垃圾的车辆应加盖篷布或采取密闭运输方式，运输车辆的装载量应适当，严禁超载，应严格按照规定行车路线和速度行驶，并定期对运输道路路面进行清扫和洒水。</w:t>
            </w:r>
          </w:p>
          <w:p w14:paraId="235224CB">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5）合理集中安排建筑材料临时堆放场所和施工垃圾临时堆放场所，尽量设置在远离人群集中场所的下风向且避风处，严禁露天堆放粉砂状建筑材料和施工垃圾，应对其表面进行遮盖或四周进行围挡，并尽量采用成品建筑材料。</w:t>
            </w:r>
          </w:p>
          <w:p w14:paraId="215A4BCD">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（6）装卸施工垃圾过程中应采用隔板阻挡以防洒落，对不慎洒落的应及时进行清理，并尽量降低装卸落差。</w:t>
            </w:r>
          </w:p>
          <w:p w14:paraId="201AB8F6">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（7）在施工场地四周设置临时性围栏或围墙，在易产尘施工作业点四周设置临时性细目滞尘防护网。</w:t>
            </w:r>
          </w:p>
          <w:p w14:paraId="3C3685C4">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（8）施工完毕后应及时清理施工场地，拆除无用临时建筑设施，对扰动地表进行平整绿化工作。</w:t>
            </w:r>
          </w:p>
          <w:p w14:paraId="12B68639">
            <w:pPr>
              <w:widowControl/>
              <w:adjustRightInd w:val="0"/>
              <w:snapToGrid w:val="0"/>
              <w:spacing w:line="360" w:lineRule="auto"/>
              <w:ind w:firstLine="480" w:firstLineChars="200"/>
              <w:textAlignment w:val="baseline"/>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（9）加强施工人员个体防护措施，如在进行易产尘作业时佩戴防尘面罩等。</w:t>
            </w:r>
          </w:p>
          <w:p w14:paraId="7F480043">
            <w:pPr>
              <w:widowControl/>
              <w:adjustRightInd w:val="0"/>
              <w:snapToGrid w:val="0"/>
              <w:spacing w:line="360" w:lineRule="auto"/>
              <w:ind w:firstLine="480" w:firstLineChars="200"/>
              <w:textAlignment w:val="baseline"/>
              <w:rPr>
                <w:color w:val="000000" w:themeColor="text1"/>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（10）施工期</w:t>
            </w:r>
            <w:r>
              <w:rPr>
                <w:rFonts w:hint="eastAsia" w:ascii="宋体" w:hAnsi="宋体" w:cs="宋体"/>
                <w:color w:val="000000" w:themeColor="text1"/>
                <w:kern w:val="0"/>
                <w:sz w:val="24"/>
                <w:highlight w:val="none"/>
                <w14:textFill>
                  <w14:solidFill>
                    <w14:schemeClr w14:val="tx1"/>
                  </w14:solidFill>
                </w14:textFill>
              </w:rPr>
              <w:t>开挖表土临时堆放在开挖基础一侧，定期洒水，并用苫盖网进行防尘，遇大风天气时应加大洒水量，加强管理措施。</w:t>
            </w:r>
          </w:p>
          <w:p w14:paraId="083EF617">
            <w:pPr>
              <w:wordWrap w:val="0"/>
              <w:spacing w:line="360" w:lineRule="auto"/>
              <w:ind w:firstLine="482" w:firstLineChars="200"/>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1.2施工机械和运输车辆尾气</w:t>
            </w:r>
          </w:p>
          <w:p w14:paraId="72738B9F">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施工过程中废气主要来源于施工机械和运输车辆等排放的废气。施工过程中应加强施工机械和车辆的维护保养，对施工过程中非道路移动机械用柴油机废气排放执行并满足《非道路柴油移动机械排气烟度限值及测量方法》（GB36886-2018）要求。由于施工机械和运输车辆等排放的废气产生量较小，项目拟建地较开阔，空气流动性好，废气扩散快，对当地的空气环境影响较小。</w:t>
            </w:r>
          </w:p>
          <w:p w14:paraId="55C0469A">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此外，为最大限度的减少施工机械及车辆废气对大气环境的影响，施工期采取围挡、篷布遮盖料场和运输车辆、及时喷洒和清扫道路、绿化等措施减轻扬尘对环境的影响；加强施工车辆运行管理与维护保养，使用满足《车用柴油》（GB19147-2016）标准的柴油，随着施工的结束，污染及其影响随之结束。</w:t>
            </w:r>
          </w:p>
          <w:p w14:paraId="4C6154E4">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2、施工期噪声防治措施</w:t>
            </w:r>
          </w:p>
          <w:p w14:paraId="4D028B97">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施工期产生的噪声主要为土方开挖和回填等。本工程施工作业均安排在昼间。施工过程中会产生施工机械设备运行噪声，主要噪声源是推土机、挖掘机、装载机、混凝土搅拌机等设备。施工期的噪声具有阶段性、临时性和不固定性等特点。本项目周围没有学校、医院等环境敏感点，因此，施工噪声主要对现场施工人员产生影响。本项目采取的噪声污染防治措施如下：</w:t>
            </w:r>
          </w:p>
          <w:p w14:paraId="75B1F4BF">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（1）合理安排施工时段，制定施工计划时，应尽可能避免大量噪声设备同时使用。安排在白天施工，禁止夜间施工。</w:t>
            </w:r>
          </w:p>
          <w:p w14:paraId="47073BDF">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（2）合理布局施工场地，避免在同一地点安排大量动力机械设备，以免局部声级过高，应避免中午休息时间施工。</w:t>
            </w:r>
          </w:p>
          <w:p w14:paraId="7B90B6D8">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（3）采取降噪措施，在施工设备的选型上尽量采用符合《低噪声施工设备指导名录（2024年版）》的低噪声设备；加强对设备的维护、养护，闲置设备应立即关闭。</w:t>
            </w:r>
          </w:p>
          <w:p w14:paraId="79C37EB1">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（4）降低人为噪声影响，按操作规范操作机械设备，减少碰撞噪声；对工人进行环保方面教育；尽量少用哨子、钟、笛等指挥作业；在装卸进程中，禁止野蛮作业，减少作业噪声。</w:t>
            </w:r>
          </w:p>
          <w:p w14:paraId="5BE040D0">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（5）优化施工车辆行车路线。</w:t>
            </w:r>
          </w:p>
          <w:p w14:paraId="452356C9">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施工期环境噪声影响是短期的，随着施工期的结束而消失，受人为和自然条件的影响较大，因此应加强对施工现场管理，并采取有效的防护措施，则项目施工期噪声对环境影响较小。</w:t>
            </w:r>
          </w:p>
          <w:p w14:paraId="77C53415">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3、施工期废水防治措施</w:t>
            </w:r>
          </w:p>
          <w:p w14:paraId="636C0C60">
            <w:pPr>
              <w:widowControl/>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施工期生产废水和生活污水若不妥善处理将会造成一定的环境污染，因此建议施工期废水做好以下防治措施：</w:t>
            </w:r>
          </w:p>
          <w:p w14:paraId="4323BDBB">
            <w:pPr>
              <w:widowControl/>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工程施工期间，施工单位应严格执行《建设工程施工场地文明施工及环境管理暂行规定》，对施工废水的排放进行组织设计，严禁乱排，乱流污染道路、环境。</w:t>
            </w:r>
          </w:p>
          <w:p w14:paraId="4D327644">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施工营地区设置防渗沉淀池，将易于收集的施工及清洗废水等进行收集沉淀后取上部较清洁废水用于施工道路洒水降尘，循环使用，不外排。施工营地内设置</w:t>
            </w:r>
            <w:r>
              <w:rPr>
                <w:rFonts w:hint="eastAsia"/>
                <w:color w:val="000000" w:themeColor="text1"/>
                <w:sz w:val="24"/>
                <w:highlight w:val="none"/>
                <w14:textFill>
                  <w14:solidFill>
                    <w14:schemeClr w14:val="tx1"/>
                  </w14:solidFill>
                </w14:textFill>
              </w:rPr>
              <w:t>防渗化粪池</w:t>
            </w:r>
            <w:r>
              <w:rPr>
                <w:rFonts w:hint="eastAsia" w:ascii="宋体" w:hAnsi="宋体" w:cs="宋体"/>
                <w:color w:val="000000" w:themeColor="text1"/>
                <w:sz w:val="24"/>
                <w:highlight w:val="none"/>
                <w14:textFill>
                  <w14:solidFill>
                    <w14:schemeClr w14:val="tx1"/>
                  </w14:solidFill>
                </w14:textFill>
              </w:rPr>
              <w:t>用于解决施工人员生活排污，定期交由环卫部门拉运。</w:t>
            </w:r>
          </w:p>
          <w:p w14:paraId="23EFE58C">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施工时产生的泥浆水以及混凝土搅拌机及输送系统的冲洗废水应设置临时沉沙池，含泥沙雨水、泥浆水经过沉沙池沉淀后回用到搅拌砂浆等施工环节。施工期产生的废水得到了有效的处理，无废水外排，不会对周边水环境产生大的影响</w:t>
            </w:r>
            <w:r>
              <w:rPr>
                <w:rFonts w:hint="eastAsia"/>
                <w:color w:val="000000" w:themeColor="text1"/>
                <w:sz w:val="24"/>
                <w:highlight w:val="none"/>
                <w14:textFill>
                  <w14:solidFill>
                    <w14:schemeClr w14:val="tx1"/>
                  </w14:solidFill>
                </w14:textFill>
              </w:rPr>
              <w:t>。</w:t>
            </w:r>
          </w:p>
          <w:p w14:paraId="4545F357">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4、施工期固体废物防治措施</w:t>
            </w:r>
          </w:p>
          <w:p w14:paraId="27953563">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（1）设置生活垃圾箱，固定的堆放，分类收集，定期运往当地环卫部门指定的垃圾堆放点。</w:t>
            </w:r>
          </w:p>
          <w:p w14:paraId="222DD635">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（2）开挖产生的土石方及其他建筑类垃圾，要尽可能回填于工业场地内部地基处理，严禁随意倾倒，施工完成后及时做好迹地清理工作。</w:t>
            </w:r>
          </w:p>
          <w:p w14:paraId="537F6E6B">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（3）本项目施工期回填后剩余的土石用于厂内道路及厂内地势平整，无剩余土石方。</w:t>
            </w:r>
          </w:p>
          <w:p w14:paraId="5ABBDD6E">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（4）施工期建筑垃圾与生活垃圾应分类堆放，分别处置，严禁乱堆乱倒。</w:t>
            </w:r>
          </w:p>
          <w:p w14:paraId="742AA7A3">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（5）包装袋由施工单位统一回收，综合利用。</w:t>
            </w:r>
          </w:p>
          <w:p w14:paraId="236E20E3">
            <w:pPr>
              <w:wordWrap w:val="0"/>
              <w:spacing w:line="360" w:lineRule="auto"/>
              <w:ind w:firstLine="482"/>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（6）在工程竣工以后，施工单位应拆除各种临时施工设施，并负责将工地的剩余建筑垃圾、工程渣土处理干净，做到“工完、料尽、场地清”，建设单位应负责督促施工单位的固体废物处置清理工作。</w:t>
            </w:r>
          </w:p>
          <w:p w14:paraId="52F063EE">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5、施工期生态环境保护措施</w:t>
            </w:r>
          </w:p>
          <w:p w14:paraId="6B367587">
            <w:pPr>
              <w:wordWrap w:val="0"/>
              <w:spacing w:line="360" w:lineRule="auto"/>
              <w:ind w:firstLine="482" w:firstLineChars="200"/>
              <w:jc w:val="lef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5.1人员行为规范</w:t>
            </w:r>
          </w:p>
          <w:p w14:paraId="2347B49B">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加强对管理人员和施工人员的教育，提高其环保意识，设置环保宣传牌。</w:t>
            </w:r>
          </w:p>
          <w:p w14:paraId="10E85BD4">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注意保护植被，禁止随意砍伐灌木、割草等活动，不得偷猎、伤害、恐吓、袭击野生动物。</w:t>
            </w:r>
          </w:p>
          <w:p w14:paraId="3D178C5D">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施工人员和施工机械不得在规定区域范围外随意活动和行驶。</w:t>
            </w:r>
          </w:p>
          <w:p w14:paraId="4B70960A">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生活垃圾和建筑垃圾集中收集、集中处理，不得随意丢弃。</w:t>
            </w:r>
          </w:p>
          <w:p w14:paraId="3938D7B3">
            <w:pPr>
              <w:wordWrap w:val="0"/>
              <w:spacing w:line="360" w:lineRule="auto"/>
              <w:ind w:firstLine="482" w:firstLineChars="200"/>
              <w:jc w:val="lef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5.2植物保护措施</w:t>
            </w:r>
          </w:p>
          <w:p w14:paraId="54B7AE3D">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施工期主要采取尽量减少占地、设置彩带</w:t>
            </w:r>
            <w:r>
              <w:rPr>
                <w:rFonts w:hint="eastAsia"/>
                <w:color w:val="000000" w:themeColor="text1"/>
                <w:sz w:val="24"/>
                <w:highlight w:val="none"/>
                <w14:textFill>
                  <w14:solidFill>
                    <w14:schemeClr w14:val="tx1"/>
                  </w14:solidFill>
                </w14:textFill>
              </w:rPr>
              <w:t>控制</w:t>
            </w:r>
            <w:r>
              <w:rPr>
                <w:color w:val="000000" w:themeColor="text1"/>
                <w:sz w:val="24"/>
                <w:highlight w:val="none"/>
                <w14:textFill>
                  <w14:solidFill>
                    <w14:schemeClr w14:val="tx1"/>
                  </w14:solidFill>
                </w14:textFill>
              </w:rPr>
              <w:t>施工范围、减少扰动面积、分层开挖分层回填、减少地表开挖裸露时间、避开雨</w:t>
            </w:r>
            <w:r>
              <w:rPr>
                <w:rFonts w:hint="eastAsia"/>
                <w:color w:val="000000" w:themeColor="text1"/>
                <w:sz w:val="24"/>
                <w:highlight w:val="none"/>
                <w14:textFill>
                  <w14:solidFill>
                    <w14:schemeClr w14:val="tx1"/>
                  </w14:solidFill>
                </w14:textFill>
              </w:rPr>
              <w:t>天</w:t>
            </w:r>
            <w:r>
              <w:rPr>
                <w:color w:val="000000" w:themeColor="text1"/>
                <w:sz w:val="24"/>
                <w:highlight w:val="none"/>
                <w14:textFill>
                  <w14:solidFill>
                    <w14:schemeClr w14:val="tx1"/>
                  </w14:solidFill>
                </w14:textFill>
              </w:rPr>
              <w:t>及大风天气施工、及时进行迹地恢复等生态防护措施，临时土方采取四周拦挡，上铺下盖等挡护及苫盖措施妥善堆放，以减少本项目施工对生态环境及水土流失的影响。</w:t>
            </w:r>
          </w:p>
          <w:p w14:paraId="25A44D8D">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合理规划、设计施工便道及场地，机械施工便道宽度不得大于5m，</w:t>
            </w:r>
            <w:r>
              <w:rPr>
                <w:rFonts w:hint="eastAsia"/>
                <w:color w:val="000000" w:themeColor="text1"/>
                <w:sz w:val="24"/>
                <w:highlight w:val="none"/>
                <w14:textFill>
                  <w14:solidFill>
                    <w14:schemeClr w14:val="tx1"/>
                  </w14:solidFill>
                </w14:textFill>
              </w:rPr>
              <w:t>人工</w:t>
            </w:r>
            <w:r>
              <w:rPr>
                <w:color w:val="000000" w:themeColor="text1"/>
                <w:sz w:val="24"/>
                <w:highlight w:val="none"/>
                <w14:textFill>
                  <w14:solidFill>
                    <w14:schemeClr w14:val="tx1"/>
                  </w14:solidFill>
                </w14:textFill>
              </w:rPr>
              <w:t>施工便道宽度不得大于1m，并要求各种机械和车辆固定行车路线，不能随意下道行驶或另开辟便道，以保证周围地表和植被不受破坏。</w:t>
            </w:r>
          </w:p>
          <w:p w14:paraId="2B3FE993">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材料运输过程中对施工道路及人抬道路进行合理的选择，施工运输道路一般为单行道，尽量避免过多扰动原地貌，避免在植被完好的地段进行道路修筑工作。</w:t>
            </w:r>
          </w:p>
          <w:p w14:paraId="4DF06D97">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施工时应在工期安排上合理有序，先设置围栏措施，后进行工程建设，尽量减少对地表和植被的破坏，除施工必须不得不铲除或碾压植被外，不允许</w:t>
            </w:r>
            <w:r>
              <w:rPr>
                <w:rFonts w:hint="eastAsia"/>
                <w:color w:val="000000" w:themeColor="text1"/>
                <w:sz w:val="24"/>
                <w:highlight w:val="none"/>
                <w14:textFill>
                  <w14:solidFill>
                    <w14:schemeClr w14:val="tx1"/>
                  </w14:solidFill>
                </w14:textFill>
              </w:rPr>
              <w:t>以其他</w:t>
            </w:r>
            <w:r>
              <w:rPr>
                <w:color w:val="000000" w:themeColor="text1"/>
                <w:sz w:val="24"/>
                <w:highlight w:val="none"/>
                <w14:textFill>
                  <w14:solidFill>
                    <w14:schemeClr w14:val="tx1"/>
                  </w14:solidFill>
                </w14:textFill>
              </w:rPr>
              <w:t>任何理由铲除植被，以减少对生态环境的破坏。</w:t>
            </w:r>
          </w:p>
          <w:p w14:paraId="1BA914BF">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施工中要严格控制临时占地，减少破坏原地貌、植被的面积。基坑开挖尽量保持坑壁成型完好，并做好临时堆土的挡护及苫盖，基础坑开挖好后应尽快浇筑混凝土。</w:t>
            </w:r>
          </w:p>
          <w:p w14:paraId="408DA387">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（6）</w:t>
            </w:r>
            <w:r>
              <w:rPr>
                <w:color w:val="000000" w:themeColor="text1"/>
                <w:sz w:val="24"/>
                <w:highlight w:val="none"/>
                <w14:textFill>
                  <w14:solidFill>
                    <w14:schemeClr w14:val="tx1"/>
                  </w14:solidFill>
                </w14:textFill>
              </w:rPr>
              <w:t>严格控制施工范围，应尽量控制作业面，施工后期对各类站场施工便道予以土地整治。</w:t>
            </w:r>
          </w:p>
          <w:p w14:paraId="14C7381B">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（7）</w:t>
            </w:r>
            <w:r>
              <w:rPr>
                <w:color w:val="000000" w:themeColor="text1"/>
                <w:sz w:val="24"/>
                <w:highlight w:val="none"/>
                <w14:textFill>
                  <w14:solidFill>
                    <w14:schemeClr w14:val="tx1"/>
                  </w14:solidFill>
                </w14:textFill>
              </w:rPr>
              <w:t>在施工完毕后，应按设计要求立即对电缆沟周边开挖部分进行覆土，并进行平整夯实，以减少水土流失；对</w:t>
            </w:r>
            <w:r>
              <w:rPr>
                <w:rFonts w:hint="eastAsia"/>
                <w:color w:val="000000" w:themeColor="text1"/>
                <w:sz w:val="24"/>
                <w:highlight w:val="none"/>
                <w:lang w:eastAsia="zh-CN"/>
                <w14:textFill>
                  <w14:solidFill>
                    <w14:schemeClr w14:val="tx1"/>
                  </w14:solidFill>
                </w14:textFill>
              </w:rPr>
              <w:t>作业区</w:t>
            </w:r>
            <w:r>
              <w:rPr>
                <w:color w:val="000000" w:themeColor="text1"/>
                <w:sz w:val="24"/>
                <w:highlight w:val="none"/>
                <w14:textFill>
                  <w14:solidFill>
                    <w14:schemeClr w14:val="tx1"/>
                  </w14:solidFill>
                </w14:textFill>
              </w:rPr>
              <w:t>等施工扰动区地表进行平整。</w:t>
            </w:r>
          </w:p>
          <w:p w14:paraId="39C010EB">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（8）</w:t>
            </w:r>
            <w:r>
              <w:rPr>
                <w:color w:val="000000" w:themeColor="text1"/>
                <w:sz w:val="24"/>
                <w:highlight w:val="none"/>
                <w14:textFill>
                  <w14:solidFill>
                    <w14:schemeClr w14:val="tx1"/>
                  </w14:solidFill>
                </w14:textFill>
              </w:rPr>
              <w:t>对占用</w:t>
            </w:r>
            <w:r>
              <w:rPr>
                <w:rFonts w:hint="eastAsia"/>
                <w:color w:val="000000" w:themeColor="text1"/>
                <w:sz w:val="24"/>
                <w:highlight w:val="none"/>
                <w:lang w:val="en-US" w:eastAsia="zh-CN"/>
                <w14:textFill>
                  <w14:solidFill>
                    <w14:schemeClr w14:val="tx1"/>
                  </w14:solidFill>
                </w14:textFill>
              </w:rPr>
              <w:t>土地</w:t>
            </w:r>
            <w:r>
              <w:rPr>
                <w:color w:val="000000" w:themeColor="text1"/>
                <w:sz w:val="24"/>
                <w:highlight w:val="none"/>
                <w14:textFill>
                  <w14:solidFill>
                    <w14:schemeClr w14:val="tx1"/>
                  </w14:solidFill>
                </w14:textFill>
              </w:rPr>
              <w:t>应在施工前及时办理土地征用手续。</w:t>
            </w:r>
          </w:p>
          <w:p w14:paraId="1855C830">
            <w:pPr>
              <w:wordWrap w:val="0"/>
              <w:spacing w:line="360" w:lineRule="auto"/>
              <w:ind w:firstLine="482" w:firstLineChars="200"/>
              <w:jc w:val="lef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5.3野生动物保护措施</w:t>
            </w:r>
          </w:p>
          <w:p w14:paraId="2DED917C">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施工前对施工人员进行宣传和教育，严禁发生捕捉伤害野生动物的行为，提高保护野生</w:t>
            </w:r>
            <w:r>
              <w:rPr>
                <w:rFonts w:hint="eastAsia"/>
                <w:color w:val="000000" w:themeColor="text1"/>
                <w:sz w:val="24"/>
                <w:highlight w:val="none"/>
                <w14:textFill>
                  <w14:solidFill>
                    <w14:schemeClr w14:val="tx1"/>
                  </w14:solidFill>
                </w14:textFill>
              </w:rPr>
              <w:t>动物</w:t>
            </w:r>
            <w:r>
              <w:rPr>
                <w:color w:val="000000" w:themeColor="text1"/>
                <w:sz w:val="24"/>
                <w:highlight w:val="none"/>
                <w14:textFill>
                  <w14:solidFill>
                    <w14:schemeClr w14:val="tx1"/>
                  </w14:solidFill>
                </w14:textFill>
              </w:rPr>
              <w:t>意识。</w:t>
            </w:r>
          </w:p>
          <w:p w14:paraId="0DF316CB">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选用低噪声的施工设备及工艺，施工活动主要集中在白天进行，减少夜间作业，避免灯光、噪声对夜间动物活动的惊扰。在施工过程中若发现野生动物的</w:t>
            </w:r>
            <w:r>
              <w:rPr>
                <w:rFonts w:hint="eastAsia"/>
                <w:color w:val="000000" w:themeColor="text1"/>
                <w:sz w:val="24"/>
                <w:highlight w:val="none"/>
                <w:lang w:eastAsia="zh-CN"/>
                <w14:textFill>
                  <w14:solidFill>
                    <w14:schemeClr w14:val="tx1"/>
                  </w14:solidFill>
                </w14:textFill>
              </w:rPr>
              <w:t>活动</w:t>
            </w:r>
            <w:r>
              <w:rPr>
                <w:color w:val="000000" w:themeColor="text1"/>
                <w:sz w:val="24"/>
                <w:highlight w:val="none"/>
                <w14:textFill>
                  <w14:solidFill>
                    <w14:schemeClr w14:val="tx1"/>
                  </w14:solidFill>
                </w14:textFill>
              </w:rPr>
              <w:t>，应进行避让和保护，以防影响野生动物的栖息。</w:t>
            </w:r>
          </w:p>
          <w:p w14:paraId="41BE2DEE">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施工期如发现野生保护动物应采取妥善措施进行保护，不得杀害和损伤保护动物。对受伤的动物应及时联系野生动物保护部门，及时救治。</w:t>
            </w:r>
          </w:p>
          <w:p w14:paraId="37F4E88A">
            <w:pPr>
              <w:wordWrap w:val="0"/>
              <w:spacing w:line="360" w:lineRule="auto"/>
              <w:ind w:firstLine="482" w:firstLineChars="200"/>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5.4生态影响减缓措施</w:t>
            </w:r>
          </w:p>
          <w:p w14:paraId="4989D13F">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施工过程中的占压、开挖、回填等施工活动都会造成生态破坏和水土流失。施工过程中的水土流失，不但会影响工程进度和工程质量，而且产生的泥沙作为一种废物或污染物往外排放，会对周围环境产生较为严重的影响。故施工期的水土流失问题值得注意，应采取必要的措施加以控制。为了减轻施工造成的水土流失、占用土地以及植被破坏等影响，评价要求：</w:t>
            </w:r>
          </w:p>
          <w:p w14:paraId="472D32EE">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（1）施工生产区和建材堆放场等临时用地应尽量在永久征地范围内使用；</w:t>
            </w:r>
          </w:p>
          <w:p w14:paraId="2C07B485">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（2）施工运输车辆按照指定运输道路路线行驶，减少对地表植被的破坏；同时注意做好路面洒水等防尘工作，减少扬尘影响；</w:t>
            </w:r>
          </w:p>
          <w:p w14:paraId="3EA526E9">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（3）应严格控制各类临时工程用地的数量，其面积不应大于设计给定的面积，禁止随意的超标占地；</w:t>
            </w:r>
          </w:p>
          <w:p w14:paraId="60D29541">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（4）施工进度安排应紧凑合理，尽量缩短施工工期和地表的裸露时间；各施工片区建设完成后，应及时对施工场地进行土地整治；</w:t>
            </w:r>
          </w:p>
          <w:p w14:paraId="09B4CBF0">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w:t>
            </w:r>
            <w:r>
              <w:rPr>
                <w:color w:val="000000" w:themeColor="text1"/>
                <w:kern w:val="0"/>
                <w:sz w:val="24"/>
                <w:highlight w:val="none"/>
                <w14:textFill>
                  <w14:solidFill>
                    <w14:schemeClr w14:val="tx1"/>
                  </w14:solidFill>
                </w14:textFill>
              </w:rPr>
              <w:t>5）施工结束后，及时清理施工现场，按照相关技术要求进行临时占地的植被恢复和重建、平整压实，尽可能早地恢复遭受破坏地段的自然生境；</w:t>
            </w:r>
          </w:p>
          <w:p w14:paraId="78006A2F">
            <w:pPr>
              <w:adjustRightInd w:val="0"/>
              <w:snapToGrid w:val="0"/>
              <w:spacing w:line="360" w:lineRule="auto"/>
              <w:ind w:firstLine="480" w:firstLineChars="200"/>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（6）</w:t>
            </w:r>
            <w:r>
              <w:rPr>
                <w:rFonts w:hint="eastAsia"/>
                <w:color w:val="000000" w:themeColor="text1"/>
                <w:kern w:val="0"/>
                <w:sz w:val="24"/>
                <w:highlight w:val="none"/>
                <w14:textFill>
                  <w14:solidFill>
                    <w14:schemeClr w14:val="tx1"/>
                  </w14:solidFill>
                </w14:textFill>
              </w:rPr>
              <w:t>升压站基础开挖</w:t>
            </w:r>
            <w:r>
              <w:rPr>
                <w:color w:val="000000" w:themeColor="text1"/>
                <w:kern w:val="0"/>
                <w:sz w:val="24"/>
                <w:highlight w:val="none"/>
                <w14:textFill>
                  <w14:solidFill>
                    <w14:schemeClr w14:val="tx1"/>
                  </w14:solidFill>
                </w14:textFill>
              </w:rPr>
              <w:t>时应将表层土与下层土分开，暂时保存表层土用于今后的回填，以恢复土壤理化性质，临时表土堆场应采取临时防护措施。</w:t>
            </w:r>
          </w:p>
          <w:p w14:paraId="42F68F86">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（7）避让措施：施工布置时施工场地设置在</w:t>
            </w:r>
            <w:r>
              <w:rPr>
                <w:rFonts w:hint="eastAsia"/>
                <w:color w:val="000000" w:themeColor="text1"/>
                <w:sz w:val="24"/>
                <w:highlight w:val="none"/>
                <w14:textFill>
                  <w14:solidFill>
                    <w14:schemeClr w14:val="tx1"/>
                  </w14:solidFill>
                </w14:textFill>
              </w:rPr>
              <w:t>相对植被较少区域</w:t>
            </w:r>
            <w:r>
              <w:rPr>
                <w:color w:val="000000" w:themeColor="text1"/>
                <w:sz w:val="24"/>
                <w:highlight w:val="none"/>
                <w14:textFill>
                  <w14:solidFill>
                    <w14:schemeClr w14:val="tx1"/>
                  </w14:solidFill>
                </w14:textFill>
              </w:rPr>
              <w:t>内，施工运输路线等应避开生产力相对较高的区域。</w:t>
            </w:r>
          </w:p>
          <w:p w14:paraId="07ECEAAA">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（8）消减措施：临时占地设置在</w:t>
            </w:r>
            <w:r>
              <w:rPr>
                <w:rFonts w:hint="eastAsia"/>
                <w:color w:val="000000" w:themeColor="text1"/>
                <w:sz w:val="24"/>
                <w:highlight w:val="none"/>
                <w14:textFill>
                  <w14:solidFill>
                    <w14:schemeClr w14:val="tx1"/>
                  </w14:solidFill>
                </w14:textFill>
              </w:rPr>
              <w:t>植被较少区域</w:t>
            </w:r>
            <w:r>
              <w:rPr>
                <w:color w:val="000000" w:themeColor="text1"/>
                <w:sz w:val="24"/>
                <w:highlight w:val="none"/>
                <w14:textFill>
                  <w14:solidFill>
                    <w14:schemeClr w14:val="tx1"/>
                  </w14:solidFill>
                </w14:textFill>
              </w:rPr>
              <w:t>内且要尽量缩小范围，减少对土地的占用。</w:t>
            </w:r>
          </w:p>
          <w:p w14:paraId="26F32D36">
            <w:pPr>
              <w:adjustRightInd w:val="0"/>
              <w:snapToGrid w:val="0"/>
              <w:spacing w:line="360" w:lineRule="auto"/>
              <w:ind w:firstLine="480" w:firstLineChars="200"/>
              <w:rPr>
                <w:color w:val="000000" w:themeColor="text1"/>
                <w:sz w:val="24"/>
                <w:szCs w:val="28"/>
                <w:highlight w:val="none"/>
                <w14:textFill>
                  <w14:solidFill>
                    <w14:schemeClr w14:val="tx1"/>
                  </w14:solidFill>
                </w14:textFill>
              </w:rPr>
            </w:pPr>
            <w:r>
              <w:rPr>
                <w:color w:val="000000" w:themeColor="text1"/>
                <w:sz w:val="24"/>
                <w:highlight w:val="none"/>
                <w14:textFill>
                  <w14:solidFill>
                    <w14:schemeClr w14:val="tx1"/>
                  </w14:solidFill>
                </w14:textFill>
              </w:rPr>
              <w:t>（9）恢复与补偿措施：</w:t>
            </w:r>
            <w:r>
              <w:rPr>
                <w:color w:val="000000" w:themeColor="text1"/>
                <w:sz w:val="24"/>
                <w:szCs w:val="28"/>
                <w:highlight w:val="none"/>
                <w14:textFill>
                  <w14:solidFill>
                    <w14:schemeClr w14:val="tx1"/>
                  </w14:solidFill>
                </w14:textFill>
              </w:rPr>
              <w:t>对建设中永久占用</w:t>
            </w:r>
            <w:r>
              <w:rPr>
                <w:rFonts w:hint="eastAsia"/>
                <w:color w:val="000000" w:themeColor="text1"/>
                <w:sz w:val="24"/>
                <w:szCs w:val="28"/>
                <w:highlight w:val="none"/>
                <w14:textFill>
                  <w14:solidFill>
                    <w14:schemeClr w14:val="tx1"/>
                  </w14:solidFill>
                </w14:textFill>
              </w:rPr>
              <w:t>耕地</w:t>
            </w:r>
            <w:r>
              <w:rPr>
                <w:color w:val="000000" w:themeColor="text1"/>
                <w:sz w:val="24"/>
                <w:szCs w:val="28"/>
                <w:highlight w:val="none"/>
                <w14:textFill>
                  <w14:solidFill>
                    <w14:schemeClr w14:val="tx1"/>
                  </w14:solidFill>
                </w14:textFill>
              </w:rPr>
              <w:t>的，</w:t>
            </w:r>
            <w:r>
              <w:rPr>
                <w:rFonts w:hint="eastAsia"/>
                <w:color w:val="000000" w:themeColor="text1"/>
                <w:sz w:val="24"/>
                <w:szCs w:val="28"/>
                <w:highlight w:val="none"/>
                <w14:textFill>
                  <w14:solidFill>
                    <w14:schemeClr w14:val="tx1"/>
                  </w14:solidFill>
                </w14:textFill>
              </w:rPr>
              <w:t>应根据相关规定进行耕地占地赔偿</w:t>
            </w:r>
            <w:r>
              <w:rPr>
                <w:color w:val="000000" w:themeColor="text1"/>
                <w:sz w:val="24"/>
                <w:szCs w:val="28"/>
                <w:highlight w:val="none"/>
                <w14:textFill>
                  <w14:solidFill>
                    <w14:schemeClr w14:val="tx1"/>
                  </w14:solidFill>
                </w14:textFill>
              </w:rPr>
              <w:t>。</w:t>
            </w:r>
          </w:p>
          <w:p w14:paraId="5A1A45F6">
            <w:pPr>
              <w:wordWrap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（10）管理措施：工程建设施工期、运行期都应进行生态环境的监控或调查</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避免造成较大的生态环境破坏</w:t>
            </w:r>
            <w:r>
              <w:rPr>
                <w:rFonts w:hint="eastAsia"/>
                <w:color w:val="000000" w:themeColor="text1"/>
                <w:sz w:val="24"/>
                <w:highlight w:val="none"/>
                <w14:textFill>
                  <w14:solidFill>
                    <w14:schemeClr w14:val="tx1"/>
                  </w14:solidFill>
                </w14:textFill>
              </w:rPr>
              <w:t>。</w:t>
            </w:r>
          </w:p>
          <w:p w14:paraId="3CFAC3F0">
            <w:pPr>
              <w:wordWrap w:val="0"/>
              <w:spacing w:line="360" w:lineRule="auto"/>
              <w:ind w:firstLine="482" w:firstLineChars="200"/>
              <w:jc w:val="lef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5.</w:t>
            </w:r>
            <w:r>
              <w:rPr>
                <w:rFonts w:hint="eastAsia"/>
                <w:b/>
                <w:bCs/>
                <w:color w:val="000000" w:themeColor="text1"/>
                <w:sz w:val="24"/>
                <w:highlight w:val="none"/>
                <w14:textFill>
                  <w14:solidFill>
                    <w14:schemeClr w14:val="tx1"/>
                  </w14:solidFill>
                </w14:textFill>
              </w:rPr>
              <w:t>5水土流失保护</w:t>
            </w:r>
            <w:r>
              <w:rPr>
                <w:b/>
                <w:bCs/>
                <w:color w:val="000000" w:themeColor="text1"/>
                <w:sz w:val="24"/>
                <w:highlight w:val="none"/>
                <w14:textFill>
                  <w14:solidFill>
                    <w14:schemeClr w14:val="tx1"/>
                  </w14:solidFill>
                </w14:textFill>
              </w:rPr>
              <w:t>措施</w:t>
            </w:r>
          </w:p>
          <w:p w14:paraId="7B3B924B">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施工期开挖作业严格按照设计红线范围进行，严禁多挖多占；开挖土石方加盖防雨防水苫布，待施工结束后分层回填；道路边坡，基础护坡等开挖时加盖防雨防水苫布，防止雨水冲刷造成水土流失；施工结束后，实施土地平整、撒播草籽等措施。为了能切实有效的将工程开发带来的水土流失降到最低，特制定如下的水土流失防治分区治理措施。</w:t>
            </w:r>
          </w:p>
          <w:p w14:paraId="37684BB8">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水土流失防治分区按照方案编制原则和指导思想，在实际调查基础上，根据地形地貌、水土流失强度以及项目建设的施工特点来划分水土流失防治分区，确定各分区的防治任务，因地制宜，因害设防，分区分类布设水土流失防治措施，提出工程、植物、土地整治措施的有关技术要求，实现水土保持方案的防治目标。</w:t>
            </w:r>
          </w:p>
          <w:p w14:paraId="372DB114">
            <w:pPr>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根据水土流失特点和项目施工现场布局，本工程的水土流失防治分区划分为</w:t>
            </w:r>
            <w:r>
              <w:rPr>
                <w:rFonts w:hint="eastAsia"/>
                <w:color w:val="000000" w:themeColor="text1"/>
                <w:sz w:val="24"/>
                <w:highlight w:val="none"/>
                <w:lang w:val="en-US" w:eastAsia="zh-CN"/>
                <w14:textFill>
                  <w14:solidFill>
                    <w14:schemeClr w14:val="tx1"/>
                  </w14:solidFill>
                </w14:textFill>
              </w:rPr>
              <w:t>储能</w:t>
            </w:r>
            <w:r>
              <w:rPr>
                <w:rFonts w:hint="eastAsia"/>
                <w:color w:val="000000" w:themeColor="text1"/>
                <w:sz w:val="24"/>
                <w:highlight w:val="none"/>
                <w14:textFill>
                  <w14:solidFill>
                    <w14:schemeClr w14:val="tx1"/>
                  </w14:solidFill>
                </w14:textFill>
              </w:rPr>
              <w:t>站施工区和进站道路施工区2个分区，分别进行水土保持措施评价和防治措施布设。各水土流失防治分区施工特点和主要水土流失因素情况见表5-1。</w:t>
            </w:r>
          </w:p>
          <w:p w14:paraId="6EEF20EF">
            <w:pPr>
              <w:overflowPunct w:val="0"/>
              <w:adjustRightInd w:val="0"/>
              <w:snapToGrid w:val="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表5-1  分区水土流失特点和防治重点</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3572"/>
              <w:gridCol w:w="2712"/>
            </w:tblGrid>
            <w:tr w14:paraId="67B3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895" w:type="dxa"/>
                  <w:vAlign w:val="center"/>
                </w:tcPr>
                <w:p w14:paraId="66CF5467">
                  <w:pPr>
                    <w:adjustRightInd w:val="0"/>
                    <w:snapToGrid w:val="0"/>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防治分区</w:t>
                  </w:r>
                </w:p>
              </w:tc>
              <w:tc>
                <w:tcPr>
                  <w:tcW w:w="3572" w:type="dxa"/>
                  <w:vAlign w:val="center"/>
                </w:tcPr>
                <w:p w14:paraId="3AE5DCB1">
                  <w:pPr>
                    <w:adjustRightInd w:val="0"/>
                    <w:snapToGrid w:val="0"/>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主要特点</w:t>
                  </w:r>
                </w:p>
              </w:tc>
              <w:tc>
                <w:tcPr>
                  <w:tcW w:w="2712" w:type="dxa"/>
                  <w:vAlign w:val="center"/>
                </w:tcPr>
                <w:p w14:paraId="1F505402">
                  <w:pPr>
                    <w:adjustRightInd w:val="0"/>
                    <w:snapToGrid w:val="0"/>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防治措施</w:t>
                  </w:r>
                </w:p>
              </w:tc>
            </w:tr>
            <w:tr w14:paraId="6909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895" w:type="dxa"/>
                  <w:vAlign w:val="center"/>
                </w:tcPr>
                <w:p w14:paraId="71D457A8">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储能</w:t>
                  </w:r>
                  <w:r>
                    <w:rPr>
                      <w:rFonts w:hint="eastAsia" w:ascii="宋体" w:hAnsi="宋体" w:cs="宋体"/>
                      <w:color w:val="000000" w:themeColor="text1"/>
                      <w:kern w:val="0"/>
                      <w:szCs w:val="21"/>
                      <w:highlight w:val="none"/>
                      <w14:textFill>
                        <w14:solidFill>
                          <w14:schemeClr w14:val="tx1"/>
                        </w14:solidFill>
                      </w14:textFill>
                    </w:rPr>
                    <w:t>站施工区</w:t>
                  </w:r>
                </w:p>
              </w:tc>
              <w:tc>
                <w:tcPr>
                  <w:tcW w:w="3572" w:type="dxa"/>
                  <w:vAlign w:val="center"/>
                </w:tcPr>
                <w:p w14:paraId="7A33BD97">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场地平整、基础开挖、回填等</w:t>
                  </w:r>
                </w:p>
              </w:tc>
              <w:tc>
                <w:tcPr>
                  <w:tcW w:w="2712" w:type="dxa"/>
                  <w:vAlign w:val="center"/>
                </w:tcPr>
                <w:p w14:paraId="2DFD49E9">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优化设计、减少占地、土地平整、播撒草籽</w:t>
                  </w:r>
                </w:p>
              </w:tc>
            </w:tr>
            <w:tr w14:paraId="0E42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895" w:type="dxa"/>
                  <w:vAlign w:val="center"/>
                </w:tcPr>
                <w:p w14:paraId="2107D1BE">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进站道路施工区</w:t>
                  </w:r>
                </w:p>
              </w:tc>
              <w:tc>
                <w:tcPr>
                  <w:tcW w:w="3572" w:type="dxa"/>
                  <w:vAlign w:val="center"/>
                </w:tcPr>
                <w:p w14:paraId="44062F61">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土地平整、人为扰动</w:t>
                  </w:r>
                </w:p>
              </w:tc>
              <w:tc>
                <w:tcPr>
                  <w:tcW w:w="2712" w:type="dxa"/>
                  <w:vAlign w:val="center"/>
                </w:tcPr>
                <w:p w14:paraId="3C546F69">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优化设计、减少占地、土地平整、播撒草籽</w:t>
                  </w:r>
                </w:p>
              </w:tc>
            </w:tr>
          </w:tbl>
          <w:p w14:paraId="35C3364F">
            <w:pPr>
              <w:wordWrap w:val="0"/>
              <w:spacing w:line="360" w:lineRule="auto"/>
              <w:ind w:firstLine="482" w:firstLineChars="200"/>
              <w:jc w:val="left"/>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5.6防沙治沙措施</w:t>
            </w:r>
          </w:p>
          <w:p w14:paraId="1D0747F2">
            <w:pPr>
              <w:spacing w:line="360" w:lineRule="auto"/>
              <w:ind w:firstLine="420"/>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（1）土方堆存过程中使用防尘网，并定期洒水抑尘。</w:t>
            </w:r>
          </w:p>
          <w:p w14:paraId="3B5FE130">
            <w:pPr>
              <w:spacing w:line="360" w:lineRule="auto"/>
              <w:ind w:firstLine="420"/>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（2）施工期间应划定施工活动范围，严格控制和管理运输车辆及重型机械的运行线路和范围，不得离开运输</w:t>
            </w:r>
            <w:r>
              <w:rPr>
                <w:rFonts w:hint="eastAsia"/>
                <w:color w:val="000000" w:themeColor="text1"/>
                <w:kern w:val="0"/>
                <w:sz w:val="24"/>
                <w:highlight w:val="none"/>
                <w:lang w:eastAsia="zh-CN"/>
                <w14:textFill>
                  <w14:solidFill>
                    <w14:schemeClr w14:val="tx1"/>
                  </w14:solidFill>
                </w14:textFill>
              </w:rPr>
              <w:t>道路</w:t>
            </w:r>
            <w:r>
              <w:rPr>
                <w:rFonts w:hint="eastAsia"/>
                <w:color w:val="000000" w:themeColor="text1"/>
                <w:kern w:val="0"/>
                <w:sz w:val="24"/>
                <w:highlight w:val="none"/>
                <w14:textFill>
                  <w14:solidFill>
                    <w14:schemeClr w14:val="tx1"/>
                  </w14:solidFill>
                </w14:textFill>
              </w:rPr>
              <w:t>随意行驶，由专人负责，以防破坏</w:t>
            </w:r>
            <w:r>
              <w:rPr>
                <w:rFonts w:hint="eastAsia"/>
                <w:color w:val="000000" w:themeColor="text1"/>
                <w:kern w:val="0"/>
                <w:sz w:val="24"/>
                <w:highlight w:val="none"/>
                <w:lang w:val="en-US" w:eastAsia="zh-CN"/>
                <w14:textFill>
                  <w14:solidFill>
                    <w14:schemeClr w14:val="tx1"/>
                  </w14:solidFill>
                </w14:textFill>
              </w:rPr>
              <w:t>地表砾幕、</w:t>
            </w:r>
            <w:r>
              <w:rPr>
                <w:rFonts w:hint="eastAsia"/>
                <w:color w:val="000000" w:themeColor="text1"/>
                <w:kern w:val="0"/>
                <w:sz w:val="24"/>
                <w:highlight w:val="none"/>
                <w14:textFill>
                  <w14:solidFill>
                    <w14:schemeClr w14:val="tx1"/>
                  </w14:solidFill>
                </w14:textFill>
              </w:rPr>
              <w:t>土壤和植被，加剧土地荒漠化。</w:t>
            </w:r>
          </w:p>
          <w:p w14:paraId="684EB2D8">
            <w:pPr>
              <w:spacing w:line="360" w:lineRule="auto"/>
              <w:ind w:firstLine="420"/>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（3）施工后及时清理现场，尽可能恢复原状地貌，做到“工完、料尽、场清、整洁”，恢复原有生态。</w:t>
            </w:r>
          </w:p>
          <w:p w14:paraId="2E300274">
            <w:pPr>
              <w:spacing w:line="360" w:lineRule="auto"/>
              <w:ind w:firstLine="420"/>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（4）合理规划临时工程的位置，尽可能减小扰动范围；临时施工占地在施工结束后及时清理施工垃圾，对施工场地进行平整、压实。</w:t>
            </w:r>
          </w:p>
          <w:p w14:paraId="02DAEAE5">
            <w:pPr>
              <w:spacing w:line="360" w:lineRule="auto"/>
              <w:ind w:firstLine="420"/>
              <w:jc w:val="left"/>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采取以上措施后，不会使项目区内水土流失程度增大，且不会加大风蚀等环境影响，故项目的建设对区域内生态环境的影响较小。</w:t>
            </w:r>
          </w:p>
          <w:p w14:paraId="237202FF">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w:t>
            </w:r>
            <w:r>
              <w:rPr>
                <w:b/>
                <w:bCs/>
                <w:color w:val="000000" w:themeColor="text1"/>
                <w:sz w:val="24"/>
                <w:highlight w:val="none"/>
                <w14:textFill>
                  <w14:solidFill>
                    <w14:schemeClr w14:val="tx1"/>
                  </w14:solidFill>
                </w14:textFill>
              </w:rPr>
              <w:t>施工期生态环境保护措施总结论</w:t>
            </w:r>
          </w:p>
          <w:p w14:paraId="67E9C621">
            <w:pPr>
              <w:spacing w:line="360" w:lineRule="auto"/>
              <w:ind w:firstLine="420"/>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本项目采取的生态环境保护措施和大气、水、噪声、固废污染防治措施的责任主体为施工单位，建设单位具体负责监督实施，确保措施有效落实；经分析，以上措施具有技术可行性、经济合理性、运行稳定性、生态保护的可达性，在认真落实各项污染防治措施后，本项目施工期对生态、大气、地表水、声环境影响较小，固体废弃物能妥善处理，对周围环境影响较小。</w:t>
            </w:r>
          </w:p>
          <w:p w14:paraId="0E62DA80">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7、施工期生态环境保护措施及预期效果</w:t>
            </w:r>
          </w:p>
          <w:p w14:paraId="0165134E">
            <w:pPr>
              <w:spacing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运营期需严格控制占地面积，不得随意扩大或变更</w:t>
            </w:r>
            <w:r>
              <w:rPr>
                <w:rFonts w:hint="eastAsia"/>
                <w:color w:val="000000" w:themeColor="text1"/>
                <w:sz w:val="24"/>
                <w:highlight w:val="none"/>
                <w:lang w:val="en-US" w:eastAsia="zh-CN"/>
                <w14:textFill>
                  <w14:solidFill>
                    <w14:schemeClr w14:val="tx1"/>
                  </w14:solidFill>
                </w14:textFill>
              </w:rPr>
              <w:t>储能</w:t>
            </w:r>
            <w:r>
              <w:rPr>
                <w:rFonts w:hint="eastAsia"/>
                <w:color w:val="000000" w:themeColor="text1"/>
                <w:sz w:val="24"/>
                <w:highlight w:val="none"/>
                <w14:textFill>
                  <w14:solidFill>
                    <w14:schemeClr w14:val="tx1"/>
                  </w14:solidFill>
                </w14:textFill>
              </w:rPr>
              <w:t>升压站占地。</w:t>
            </w:r>
            <w:r>
              <w:rPr>
                <w:color w:val="000000" w:themeColor="text1"/>
                <w:sz w:val="24"/>
                <w:highlight w:val="none"/>
                <w14:textFill>
                  <w14:solidFill>
                    <w14:schemeClr w14:val="tx1"/>
                  </w14:solidFill>
                </w14:textFill>
              </w:rPr>
              <w:t>本</w:t>
            </w:r>
            <w:r>
              <w:rPr>
                <w:rFonts w:hint="eastAsia"/>
                <w:color w:val="000000" w:themeColor="text1"/>
                <w:sz w:val="24"/>
                <w:highlight w:val="none"/>
                <w14:textFill>
                  <w14:solidFill>
                    <w14:schemeClr w14:val="tx1"/>
                  </w14:solidFill>
                </w14:textFill>
              </w:rPr>
              <w:t>项目</w:t>
            </w:r>
            <w:r>
              <w:rPr>
                <w:color w:val="000000" w:themeColor="text1"/>
                <w:sz w:val="24"/>
                <w:highlight w:val="none"/>
                <w14:textFill>
                  <w14:solidFill>
                    <w14:schemeClr w14:val="tx1"/>
                  </w14:solidFill>
                </w14:textFill>
              </w:rPr>
              <w:t>施工期主要生态环境保护措施及预期效果详见表</w:t>
            </w:r>
            <w:r>
              <w:rPr>
                <w:rFonts w:hint="eastAsia"/>
                <w:color w:val="000000" w:themeColor="text1"/>
                <w:sz w:val="24"/>
                <w:highlight w:val="none"/>
                <w14:textFill>
                  <w14:solidFill>
                    <w14:schemeClr w14:val="tx1"/>
                  </w14:solidFill>
                </w14:textFill>
              </w:rPr>
              <w:t>5-2</w:t>
            </w:r>
            <w:r>
              <w:rPr>
                <w:color w:val="000000" w:themeColor="text1"/>
                <w:sz w:val="24"/>
                <w:highlight w:val="none"/>
                <w14:textFill>
                  <w14:solidFill>
                    <w14:schemeClr w14:val="tx1"/>
                  </w14:solidFill>
                </w14:textFill>
              </w:rPr>
              <w:t>。</w:t>
            </w:r>
          </w:p>
          <w:p w14:paraId="1DA250A9">
            <w:pPr>
              <w:overflowPunct w:val="0"/>
              <w:adjustRightInd w:val="0"/>
              <w:snapToGrid w:val="0"/>
              <w:jc w:val="center"/>
              <w:rPr>
                <w:b/>
                <w:color w:val="000000" w:themeColor="text1"/>
                <w:szCs w:val="21"/>
                <w:highlight w:val="none"/>
                <w14:textFill>
                  <w14:solidFill>
                    <w14:schemeClr w14:val="tx1"/>
                  </w14:solidFill>
                </w14:textFill>
              </w:rPr>
            </w:pPr>
            <w:r>
              <w:rPr>
                <w:b/>
                <w:color w:val="000000" w:themeColor="text1"/>
                <w:sz w:val="24"/>
                <w:highlight w:val="none"/>
                <w14:textFill>
                  <w14:solidFill>
                    <w14:schemeClr w14:val="tx1"/>
                  </w14:solidFill>
                </w14:textFill>
              </w:rPr>
              <w:t>表</w:t>
            </w:r>
            <w:r>
              <w:rPr>
                <w:rFonts w:hint="eastAsia"/>
                <w:b/>
                <w:color w:val="000000" w:themeColor="text1"/>
                <w:sz w:val="24"/>
                <w:highlight w:val="none"/>
                <w14:textFill>
                  <w14:solidFill>
                    <w14:schemeClr w14:val="tx1"/>
                  </w14:solidFill>
                </w14:textFill>
              </w:rPr>
              <w:t>5-2</w:t>
            </w:r>
            <w:r>
              <w:rPr>
                <w:b/>
                <w:color w:val="000000" w:themeColor="text1"/>
                <w:sz w:val="24"/>
                <w:highlight w:val="none"/>
                <w14:textFill>
                  <w14:solidFill>
                    <w14:schemeClr w14:val="tx1"/>
                  </w14:solidFill>
                </w14:textFill>
              </w:rPr>
              <w:t xml:space="preserve">  施工期生态环境保护措施及预期效果一览表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2663"/>
              <w:gridCol w:w="739"/>
              <w:gridCol w:w="708"/>
              <w:gridCol w:w="708"/>
              <w:gridCol w:w="1117"/>
              <w:gridCol w:w="1710"/>
            </w:tblGrid>
            <w:tr w14:paraId="43C8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76FD1525">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序号</w:t>
                  </w:r>
                </w:p>
              </w:tc>
              <w:tc>
                <w:tcPr>
                  <w:tcW w:w="1617" w:type="pct"/>
                  <w:vAlign w:val="center"/>
                </w:tcPr>
                <w:p w14:paraId="66212928">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生态保护措施要求</w:t>
                  </w:r>
                </w:p>
              </w:tc>
              <w:tc>
                <w:tcPr>
                  <w:tcW w:w="449" w:type="pct"/>
                  <w:vAlign w:val="center"/>
                </w:tcPr>
                <w:p w14:paraId="2134DDBE">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实施</w:t>
                  </w:r>
                </w:p>
                <w:p w14:paraId="042B7F52">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部位</w:t>
                  </w:r>
                </w:p>
              </w:tc>
              <w:tc>
                <w:tcPr>
                  <w:tcW w:w="430" w:type="pct"/>
                  <w:vAlign w:val="center"/>
                </w:tcPr>
                <w:p w14:paraId="13C0103C">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实施</w:t>
                  </w:r>
                </w:p>
                <w:p w14:paraId="4A3B7E0D">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时间</w:t>
                  </w:r>
                </w:p>
              </w:tc>
              <w:tc>
                <w:tcPr>
                  <w:tcW w:w="430" w:type="pct"/>
                  <w:vAlign w:val="center"/>
                </w:tcPr>
                <w:p w14:paraId="675F91A9">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责任</w:t>
                  </w:r>
                </w:p>
                <w:p w14:paraId="5863F189">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主体</w:t>
                  </w:r>
                </w:p>
              </w:tc>
              <w:tc>
                <w:tcPr>
                  <w:tcW w:w="679" w:type="pct"/>
                  <w:vAlign w:val="center"/>
                </w:tcPr>
                <w:p w14:paraId="0D35F940">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实施保障</w:t>
                  </w:r>
                </w:p>
              </w:tc>
              <w:tc>
                <w:tcPr>
                  <w:tcW w:w="1039" w:type="pct"/>
                  <w:vAlign w:val="center"/>
                </w:tcPr>
                <w:p w14:paraId="6AA7D5FA">
                  <w:pPr>
                    <w:adjustRightInd w:val="0"/>
                    <w:snapToGrid w:val="0"/>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实施效果</w:t>
                  </w:r>
                </w:p>
              </w:tc>
            </w:tr>
            <w:tr w14:paraId="2897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098D4172">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617" w:type="pct"/>
                  <w:vAlign w:val="center"/>
                </w:tcPr>
                <w:p w14:paraId="0B145675">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占用的土地应办理临时占地手续。</w:t>
                  </w:r>
                </w:p>
              </w:tc>
              <w:tc>
                <w:tcPr>
                  <w:tcW w:w="449" w:type="pct"/>
                  <w:vMerge w:val="restart"/>
                  <w:vAlign w:val="center"/>
                </w:tcPr>
                <w:p w14:paraId="26458825">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项目施工场所、区域</w:t>
                  </w:r>
                </w:p>
              </w:tc>
              <w:tc>
                <w:tcPr>
                  <w:tcW w:w="430" w:type="pct"/>
                  <w:vAlign w:val="center"/>
                </w:tcPr>
                <w:p w14:paraId="5484AB69">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开工前</w:t>
                  </w:r>
                </w:p>
              </w:tc>
              <w:tc>
                <w:tcPr>
                  <w:tcW w:w="430" w:type="pct"/>
                  <w:vAlign w:val="center"/>
                </w:tcPr>
                <w:p w14:paraId="00B0CF4A">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建设单位</w:t>
                  </w:r>
                </w:p>
              </w:tc>
              <w:tc>
                <w:tcPr>
                  <w:tcW w:w="679" w:type="pct"/>
                  <w:vMerge w:val="restart"/>
                  <w:vAlign w:val="center"/>
                </w:tcPr>
                <w:p w14:paraId="1A0CEBD4">
                  <w:pPr>
                    <w:adjustRightInd w:val="0"/>
                    <w:snapToGrid w:val="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①建立环境管理机构，配备专职或兼职环保管理人员；</w:t>
                  </w:r>
                </w:p>
                <w:p w14:paraId="7CBFE25B">
                  <w:pPr>
                    <w:adjustRightInd w:val="0"/>
                    <w:snapToGrid w:val="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②制定相关方环境管理条例、质量管理规定；</w:t>
                  </w:r>
                </w:p>
                <w:p w14:paraId="685BA731">
                  <w:pPr>
                    <w:adjustRightInd w:val="0"/>
                    <w:snapToGrid w:val="0"/>
                    <w:jc w:val="left"/>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③加强环境监理，开展经常性检查、监督，发现问题及时解决、纠正。</w:t>
                  </w:r>
                </w:p>
              </w:tc>
              <w:tc>
                <w:tcPr>
                  <w:tcW w:w="1039" w:type="pct"/>
                  <w:vAlign w:val="center"/>
                </w:tcPr>
                <w:p w14:paraId="1F29FB36">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取得征地手续。</w:t>
                  </w:r>
                </w:p>
              </w:tc>
            </w:tr>
            <w:tr w14:paraId="4417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482CA108">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1617" w:type="pct"/>
                  <w:vAlign w:val="center"/>
                </w:tcPr>
                <w:p w14:paraId="732A7D87">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尽量减少占地、控制施工范围、减少扰动面积，作业区四周设置彩带控制作业范围。</w:t>
                  </w:r>
                </w:p>
              </w:tc>
              <w:tc>
                <w:tcPr>
                  <w:tcW w:w="449" w:type="pct"/>
                  <w:vMerge w:val="continue"/>
                  <w:vAlign w:val="center"/>
                </w:tcPr>
                <w:p w14:paraId="401EAB24">
                  <w:pPr>
                    <w:adjustRightInd w:val="0"/>
                    <w:snapToGrid w:val="0"/>
                    <w:jc w:val="center"/>
                    <w:rPr>
                      <w:color w:val="000000" w:themeColor="text1"/>
                      <w:kern w:val="0"/>
                      <w:szCs w:val="21"/>
                      <w:highlight w:val="none"/>
                      <w14:textFill>
                        <w14:solidFill>
                          <w14:schemeClr w14:val="tx1"/>
                        </w14:solidFill>
                      </w14:textFill>
                    </w:rPr>
                  </w:pPr>
                </w:p>
              </w:tc>
              <w:tc>
                <w:tcPr>
                  <w:tcW w:w="430" w:type="pct"/>
                  <w:vMerge w:val="restart"/>
                  <w:vAlign w:val="center"/>
                </w:tcPr>
                <w:p w14:paraId="73984ABC">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全部施工期</w:t>
                  </w:r>
                </w:p>
              </w:tc>
              <w:tc>
                <w:tcPr>
                  <w:tcW w:w="430" w:type="pct"/>
                  <w:vMerge w:val="restart"/>
                  <w:vAlign w:val="center"/>
                </w:tcPr>
                <w:p w14:paraId="3477F327">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施工单位</w:t>
                  </w:r>
                </w:p>
              </w:tc>
              <w:tc>
                <w:tcPr>
                  <w:tcW w:w="679" w:type="pct"/>
                  <w:vMerge w:val="continue"/>
                  <w:vAlign w:val="center"/>
                </w:tcPr>
                <w:p w14:paraId="78B7E586">
                  <w:pPr>
                    <w:adjustRightInd w:val="0"/>
                    <w:snapToGrid w:val="0"/>
                    <w:jc w:val="center"/>
                    <w:rPr>
                      <w:color w:val="000000" w:themeColor="text1"/>
                      <w:kern w:val="0"/>
                      <w:szCs w:val="21"/>
                      <w:highlight w:val="none"/>
                      <w14:textFill>
                        <w14:solidFill>
                          <w14:schemeClr w14:val="tx1"/>
                        </w14:solidFill>
                      </w14:textFill>
                    </w:rPr>
                  </w:pPr>
                </w:p>
              </w:tc>
              <w:tc>
                <w:tcPr>
                  <w:tcW w:w="1039" w:type="pct"/>
                  <w:vAlign w:val="center"/>
                </w:tcPr>
                <w:p w14:paraId="41ED3506">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划定施工作业范围，将施工占地控制在最小范围。</w:t>
                  </w:r>
                </w:p>
              </w:tc>
            </w:tr>
            <w:tr w14:paraId="1ACB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6778F3A9">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3</w:t>
                  </w:r>
                </w:p>
              </w:tc>
              <w:tc>
                <w:tcPr>
                  <w:tcW w:w="1617" w:type="pct"/>
                  <w:vAlign w:val="center"/>
                </w:tcPr>
                <w:p w14:paraId="26287F2D">
                  <w:pPr>
                    <w:adjustRightInd w:val="0"/>
                    <w:snapToGrid w:val="0"/>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分层开挖分层回填、对项目区表层土壤进行分层剥离与堆放，同时采取拦护等措施</w:t>
                  </w:r>
                </w:p>
              </w:tc>
              <w:tc>
                <w:tcPr>
                  <w:tcW w:w="449" w:type="pct"/>
                  <w:vMerge w:val="continue"/>
                  <w:vAlign w:val="center"/>
                </w:tcPr>
                <w:p w14:paraId="7AA3A095">
                  <w:pPr>
                    <w:adjustRightInd w:val="0"/>
                    <w:snapToGrid w:val="0"/>
                    <w:jc w:val="center"/>
                    <w:rPr>
                      <w:color w:val="000000" w:themeColor="text1"/>
                      <w:kern w:val="0"/>
                      <w:szCs w:val="21"/>
                      <w:highlight w:val="none"/>
                      <w14:textFill>
                        <w14:solidFill>
                          <w14:schemeClr w14:val="tx1"/>
                        </w14:solidFill>
                      </w14:textFill>
                    </w:rPr>
                  </w:pPr>
                </w:p>
              </w:tc>
              <w:tc>
                <w:tcPr>
                  <w:tcW w:w="430" w:type="pct"/>
                  <w:vMerge w:val="continue"/>
                  <w:vAlign w:val="center"/>
                </w:tcPr>
                <w:p w14:paraId="72548004">
                  <w:pPr>
                    <w:adjustRightInd w:val="0"/>
                    <w:snapToGrid w:val="0"/>
                    <w:jc w:val="center"/>
                    <w:rPr>
                      <w:color w:val="000000" w:themeColor="text1"/>
                      <w:kern w:val="0"/>
                      <w:szCs w:val="21"/>
                      <w:highlight w:val="none"/>
                      <w14:textFill>
                        <w14:solidFill>
                          <w14:schemeClr w14:val="tx1"/>
                        </w14:solidFill>
                      </w14:textFill>
                    </w:rPr>
                  </w:pPr>
                </w:p>
              </w:tc>
              <w:tc>
                <w:tcPr>
                  <w:tcW w:w="430" w:type="pct"/>
                  <w:vMerge w:val="continue"/>
                  <w:vAlign w:val="center"/>
                </w:tcPr>
                <w:p w14:paraId="2EC01E74">
                  <w:pPr>
                    <w:adjustRightInd w:val="0"/>
                    <w:snapToGrid w:val="0"/>
                    <w:jc w:val="center"/>
                    <w:rPr>
                      <w:color w:val="000000" w:themeColor="text1"/>
                      <w:kern w:val="0"/>
                      <w:szCs w:val="21"/>
                      <w:highlight w:val="none"/>
                      <w14:textFill>
                        <w14:solidFill>
                          <w14:schemeClr w14:val="tx1"/>
                        </w14:solidFill>
                      </w14:textFill>
                    </w:rPr>
                  </w:pPr>
                </w:p>
              </w:tc>
              <w:tc>
                <w:tcPr>
                  <w:tcW w:w="679" w:type="pct"/>
                  <w:vMerge w:val="continue"/>
                  <w:vAlign w:val="center"/>
                </w:tcPr>
                <w:p w14:paraId="1B5D0B81">
                  <w:pPr>
                    <w:adjustRightInd w:val="0"/>
                    <w:snapToGrid w:val="0"/>
                    <w:jc w:val="center"/>
                    <w:rPr>
                      <w:color w:val="000000" w:themeColor="text1"/>
                      <w:kern w:val="0"/>
                      <w:szCs w:val="21"/>
                      <w:highlight w:val="none"/>
                      <w14:textFill>
                        <w14:solidFill>
                          <w14:schemeClr w14:val="tx1"/>
                        </w14:solidFill>
                      </w14:textFill>
                    </w:rPr>
                  </w:pPr>
                </w:p>
              </w:tc>
              <w:tc>
                <w:tcPr>
                  <w:tcW w:w="1039" w:type="pct"/>
                  <w:vMerge w:val="restart"/>
                  <w:vAlign w:val="center"/>
                </w:tcPr>
                <w:p w14:paraId="5B8F12A7">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减少土壤养分的流失，恢复土壤肥力和土壤理化性质，使土壤受影响程度最低。</w:t>
                  </w:r>
                </w:p>
              </w:tc>
            </w:tr>
            <w:tr w14:paraId="10C1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09FE00AD">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4</w:t>
                  </w:r>
                </w:p>
              </w:tc>
              <w:tc>
                <w:tcPr>
                  <w:tcW w:w="1617" w:type="pct"/>
                  <w:vAlign w:val="center"/>
                </w:tcPr>
                <w:p w14:paraId="706CA6EA">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减少地表开挖裸露时间、避开雨季及大风天气施工、及时进行迹地恢复等。</w:t>
                  </w:r>
                </w:p>
              </w:tc>
              <w:tc>
                <w:tcPr>
                  <w:tcW w:w="449" w:type="pct"/>
                  <w:vMerge w:val="continue"/>
                  <w:vAlign w:val="center"/>
                </w:tcPr>
                <w:p w14:paraId="134C5672">
                  <w:pPr>
                    <w:adjustRightInd w:val="0"/>
                    <w:snapToGrid w:val="0"/>
                    <w:jc w:val="center"/>
                    <w:rPr>
                      <w:color w:val="000000" w:themeColor="text1"/>
                      <w:kern w:val="0"/>
                      <w:szCs w:val="21"/>
                      <w:highlight w:val="none"/>
                      <w14:textFill>
                        <w14:solidFill>
                          <w14:schemeClr w14:val="tx1"/>
                        </w14:solidFill>
                      </w14:textFill>
                    </w:rPr>
                  </w:pPr>
                </w:p>
              </w:tc>
              <w:tc>
                <w:tcPr>
                  <w:tcW w:w="430" w:type="pct"/>
                  <w:vMerge w:val="continue"/>
                  <w:vAlign w:val="center"/>
                </w:tcPr>
                <w:p w14:paraId="729D1B91">
                  <w:pPr>
                    <w:adjustRightInd w:val="0"/>
                    <w:snapToGrid w:val="0"/>
                    <w:jc w:val="center"/>
                    <w:rPr>
                      <w:color w:val="000000" w:themeColor="text1"/>
                      <w:kern w:val="0"/>
                      <w:szCs w:val="21"/>
                      <w:highlight w:val="none"/>
                      <w14:textFill>
                        <w14:solidFill>
                          <w14:schemeClr w14:val="tx1"/>
                        </w14:solidFill>
                      </w14:textFill>
                    </w:rPr>
                  </w:pPr>
                </w:p>
              </w:tc>
              <w:tc>
                <w:tcPr>
                  <w:tcW w:w="430" w:type="pct"/>
                  <w:vMerge w:val="continue"/>
                  <w:vAlign w:val="center"/>
                </w:tcPr>
                <w:p w14:paraId="103786CF">
                  <w:pPr>
                    <w:adjustRightInd w:val="0"/>
                    <w:snapToGrid w:val="0"/>
                    <w:jc w:val="center"/>
                    <w:rPr>
                      <w:color w:val="000000" w:themeColor="text1"/>
                      <w:kern w:val="0"/>
                      <w:szCs w:val="21"/>
                      <w:highlight w:val="none"/>
                      <w14:textFill>
                        <w14:solidFill>
                          <w14:schemeClr w14:val="tx1"/>
                        </w14:solidFill>
                      </w14:textFill>
                    </w:rPr>
                  </w:pPr>
                </w:p>
              </w:tc>
              <w:tc>
                <w:tcPr>
                  <w:tcW w:w="679" w:type="pct"/>
                  <w:vMerge w:val="continue"/>
                  <w:vAlign w:val="center"/>
                </w:tcPr>
                <w:p w14:paraId="3D3B73DD">
                  <w:pPr>
                    <w:adjustRightInd w:val="0"/>
                    <w:snapToGrid w:val="0"/>
                    <w:jc w:val="center"/>
                    <w:rPr>
                      <w:color w:val="000000" w:themeColor="text1"/>
                      <w:kern w:val="0"/>
                      <w:szCs w:val="21"/>
                      <w:highlight w:val="none"/>
                      <w14:textFill>
                        <w14:solidFill>
                          <w14:schemeClr w14:val="tx1"/>
                        </w14:solidFill>
                      </w14:textFill>
                    </w:rPr>
                  </w:pPr>
                </w:p>
              </w:tc>
              <w:tc>
                <w:tcPr>
                  <w:tcW w:w="1039" w:type="pct"/>
                  <w:vMerge w:val="continue"/>
                  <w:vAlign w:val="center"/>
                </w:tcPr>
                <w:p w14:paraId="2CD8B5C2">
                  <w:pPr>
                    <w:adjustRightInd w:val="0"/>
                    <w:snapToGrid w:val="0"/>
                    <w:jc w:val="center"/>
                    <w:rPr>
                      <w:color w:val="000000" w:themeColor="text1"/>
                      <w:kern w:val="0"/>
                      <w:szCs w:val="21"/>
                      <w:highlight w:val="none"/>
                      <w14:textFill>
                        <w14:solidFill>
                          <w14:schemeClr w14:val="tx1"/>
                        </w14:solidFill>
                      </w14:textFill>
                    </w:rPr>
                  </w:pPr>
                </w:p>
              </w:tc>
            </w:tr>
            <w:tr w14:paraId="4082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719B88AA">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5</w:t>
                  </w:r>
                </w:p>
              </w:tc>
              <w:tc>
                <w:tcPr>
                  <w:tcW w:w="1617" w:type="pct"/>
                  <w:vAlign w:val="center"/>
                </w:tcPr>
                <w:p w14:paraId="76D6CDE0">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合理规划、设计施工便道及场地，并要求各种机械和车辆固定行车路线，不能随意下道行驶或另开辟便道。</w:t>
                  </w:r>
                </w:p>
              </w:tc>
              <w:tc>
                <w:tcPr>
                  <w:tcW w:w="449" w:type="pct"/>
                  <w:vMerge w:val="continue"/>
                  <w:vAlign w:val="center"/>
                </w:tcPr>
                <w:p w14:paraId="29A50EC6">
                  <w:pPr>
                    <w:adjustRightInd w:val="0"/>
                    <w:snapToGrid w:val="0"/>
                    <w:jc w:val="center"/>
                    <w:rPr>
                      <w:color w:val="000000" w:themeColor="text1"/>
                      <w:kern w:val="0"/>
                      <w:szCs w:val="21"/>
                      <w:highlight w:val="none"/>
                      <w14:textFill>
                        <w14:solidFill>
                          <w14:schemeClr w14:val="tx1"/>
                        </w14:solidFill>
                      </w14:textFill>
                    </w:rPr>
                  </w:pPr>
                </w:p>
              </w:tc>
              <w:tc>
                <w:tcPr>
                  <w:tcW w:w="430" w:type="pct"/>
                  <w:vAlign w:val="center"/>
                </w:tcPr>
                <w:p w14:paraId="3C349A45">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施工后期</w:t>
                  </w:r>
                </w:p>
              </w:tc>
              <w:tc>
                <w:tcPr>
                  <w:tcW w:w="430" w:type="pct"/>
                  <w:vAlign w:val="center"/>
                </w:tcPr>
                <w:p w14:paraId="490F28D3">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建设单位</w:t>
                  </w:r>
                </w:p>
              </w:tc>
              <w:tc>
                <w:tcPr>
                  <w:tcW w:w="679" w:type="pct"/>
                  <w:vMerge w:val="continue"/>
                  <w:vAlign w:val="center"/>
                </w:tcPr>
                <w:p w14:paraId="659E05BC">
                  <w:pPr>
                    <w:adjustRightInd w:val="0"/>
                    <w:snapToGrid w:val="0"/>
                    <w:jc w:val="center"/>
                    <w:rPr>
                      <w:color w:val="000000" w:themeColor="text1"/>
                      <w:kern w:val="0"/>
                      <w:szCs w:val="21"/>
                      <w:highlight w:val="none"/>
                      <w14:textFill>
                        <w14:solidFill>
                          <w14:schemeClr w14:val="tx1"/>
                        </w14:solidFill>
                      </w14:textFill>
                    </w:rPr>
                  </w:pPr>
                </w:p>
              </w:tc>
              <w:tc>
                <w:tcPr>
                  <w:tcW w:w="1039" w:type="pct"/>
                  <w:vMerge w:val="continue"/>
                  <w:vAlign w:val="center"/>
                </w:tcPr>
                <w:p w14:paraId="7A4EEA64">
                  <w:pPr>
                    <w:adjustRightInd w:val="0"/>
                    <w:snapToGrid w:val="0"/>
                    <w:jc w:val="center"/>
                    <w:rPr>
                      <w:color w:val="000000" w:themeColor="text1"/>
                      <w:kern w:val="0"/>
                      <w:szCs w:val="21"/>
                      <w:highlight w:val="none"/>
                      <w14:textFill>
                        <w14:solidFill>
                          <w14:schemeClr w14:val="tx1"/>
                        </w14:solidFill>
                      </w14:textFill>
                    </w:rPr>
                  </w:pPr>
                </w:p>
              </w:tc>
            </w:tr>
            <w:tr w14:paraId="759F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795D9C54">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6</w:t>
                  </w:r>
                </w:p>
              </w:tc>
              <w:tc>
                <w:tcPr>
                  <w:tcW w:w="1617" w:type="pct"/>
                  <w:vAlign w:val="center"/>
                </w:tcPr>
                <w:p w14:paraId="17432B45">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占地范围内清理平整，恢复地貌</w:t>
                  </w:r>
                </w:p>
              </w:tc>
              <w:tc>
                <w:tcPr>
                  <w:tcW w:w="449" w:type="pct"/>
                  <w:vMerge w:val="continue"/>
                  <w:vAlign w:val="center"/>
                </w:tcPr>
                <w:p w14:paraId="06DFA726">
                  <w:pPr>
                    <w:adjustRightInd w:val="0"/>
                    <w:snapToGrid w:val="0"/>
                    <w:jc w:val="center"/>
                    <w:rPr>
                      <w:color w:val="000000" w:themeColor="text1"/>
                      <w:kern w:val="0"/>
                      <w:szCs w:val="21"/>
                      <w:highlight w:val="none"/>
                      <w14:textFill>
                        <w14:solidFill>
                          <w14:schemeClr w14:val="tx1"/>
                        </w14:solidFill>
                      </w14:textFill>
                    </w:rPr>
                  </w:pPr>
                </w:p>
              </w:tc>
              <w:tc>
                <w:tcPr>
                  <w:tcW w:w="430" w:type="pct"/>
                  <w:vAlign w:val="center"/>
                </w:tcPr>
                <w:p w14:paraId="4D1C0F4E">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施工后期</w:t>
                  </w:r>
                </w:p>
              </w:tc>
              <w:tc>
                <w:tcPr>
                  <w:tcW w:w="430" w:type="pct"/>
                  <w:vMerge w:val="restart"/>
                  <w:vAlign w:val="center"/>
                </w:tcPr>
                <w:p w14:paraId="48840D82">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施工单位</w:t>
                  </w:r>
                </w:p>
              </w:tc>
              <w:tc>
                <w:tcPr>
                  <w:tcW w:w="679" w:type="pct"/>
                  <w:vMerge w:val="continue"/>
                  <w:vAlign w:val="center"/>
                </w:tcPr>
                <w:p w14:paraId="0D071CD4">
                  <w:pPr>
                    <w:adjustRightInd w:val="0"/>
                    <w:snapToGrid w:val="0"/>
                    <w:jc w:val="center"/>
                    <w:rPr>
                      <w:color w:val="000000" w:themeColor="text1"/>
                      <w:kern w:val="0"/>
                      <w:szCs w:val="21"/>
                      <w:highlight w:val="none"/>
                      <w14:textFill>
                        <w14:solidFill>
                          <w14:schemeClr w14:val="tx1"/>
                        </w14:solidFill>
                      </w14:textFill>
                    </w:rPr>
                  </w:pPr>
                </w:p>
              </w:tc>
              <w:tc>
                <w:tcPr>
                  <w:tcW w:w="1039" w:type="pct"/>
                  <w:vAlign w:val="center"/>
                </w:tcPr>
                <w:p w14:paraId="64E9BA5E">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施工后做到工完料净场地清。</w:t>
                  </w:r>
                </w:p>
              </w:tc>
            </w:tr>
            <w:tr w14:paraId="0D92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080A81E2">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7</w:t>
                  </w:r>
                </w:p>
              </w:tc>
              <w:tc>
                <w:tcPr>
                  <w:tcW w:w="1617" w:type="pct"/>
                  <w:vAlign w:val="center"/>
                </w:tcPr>
                <w:p w14:paraId="16255D59">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加强宣传教育，设置环保宣传牌。</w:t>
                  </w:r>
                </w:p>
              </w:tc>
              <w:tc>
                <w:tcPr>
                  <w:tcW w:w="449" w:type="pct"/>
                  <w:vMerge w:val="continue"/>
                  <w:vAlign w:val="center"/>
                </w:tcPr>
                <w:p w14:paraId="327AD32F">
                  <w:pPr>
                    <w:adjustRightInd w:val="0"/>
                    <w:snapToGrid w:val="0"/>
                    <w:jc w:val="center"/>
                    <w:rPr>
                      <w:color w:val="000000" w:themeColor="text1"/>
                      <w:kern w:val="0"/>
                      <w:szCs w:val="21"/>
                      <w:highlight w:val="none"/>
                      <w14:textFill>
                        <w14:solidFill>
                          <w14:schemeClr w14:val="tx1"/>
                        </w14:solidFill>
                      </w14:textFill>
                    </w:rPr>
                  </w:pPr>
                </w:p>
              </w:tc>
              <w:tc>
                <w:tcPr>
                  <w:tcW w:w="430" w:type="pct"/>
                  <w:vAlign w:val="center"/>
                </w:tcPr>
                <w:p w14:paraId="2D04803A">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全部施工期</w:t>
                  </w:r>
                </w:p>
              </w:tc>
              <w:tc>
                <w:tcPr>
                  <w:tcW w:w="430" w:type="pct"/>
                  <w:vMerge w:val="continue"/>
                  <w:vAlign w:val="center"/>
                </w:tcPr>
                <w:p w14:paraId="20B7F5DB">
                  <w:pPr>
                    <w:adjustRightInd w:val="0"/>
                    <w:snapToGrid w:val="0"/>
                    <w:jc w:val="center"/>
                    <w:rPr>
                      <w:color w:val="000000" w:themeColor="text1"/>
                      <w:kern w:val="0"/>
                      <w:szCs w:val="21"/>
                      <w:highlight w:val="none"/>
                      <w14:textFill>
                        <w14:solidFill>
                          <w14:schemeClr w14:val="tx1"/>
                        </w14:solidFill>
                      </w14:textFill>
                    </w:rPr>
                  </w:pPr>
                </w:p>
              </w:tc>
              <w:tc>
                <w:tcPr>
                  <w:tcW w:w="679" w:type="pct"/>
                  <w:vMerge w:val="continue"/>
                  <w:vAlign w:val="center"/>
                </w:tcPr>
                <w:p w14:paraId="4C5FA2A8">
                  <w:pPr>
                    <w:adjustRightInd w:val="0"/>
                    <w:snapToGrid w:val="0"/>
                    <w:jc w:val="center"/>
                    <w:rPr>
                      <w:color w:val="000000" w:themeColor="text1"/>
                      <w:kern w:val="0"/>
                      <w:szCs w:val="21"/>
                      <w:highlight w:val="none"/>
                      <w14:textFill>
                        <w14:solidFill>
                          <w14:schemeClr w14:val="tx1"/>
                        </w14:solidFill>
                      </w14:textFill>
                    </w:rPr>
                  </w:pPr>
                </w:p>
              </w:tc>
              <w:tc>
                <w:tcPr>
                  <w:tcW w:w="1039" w:type="pct"/>
                  <w:vAlign w:val="center"/>
                </w:tcPr>
                <w:p w14:paraId="0BEFE78B">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避免发生施工人员随意惊吓、捕猎、宰杀野生动物，踩踏的现象。</w:t>
                  </w:r>
                </w:p>
              </w:tc>
            </w:tr>
            <w:tr w14:paraId="5F02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460C8F3C">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8</w:t>
                  </w:r>
                </w:p>
              </w:tc>
              <w:tc>
                <w:tcPr>
                  <w:tcW w:w="1617" w:type="pct"/>
                  <w:vAlign w:val="center"/>
                </w:tcPr>
                <w:p w14:paraId="6ADFBA00">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采用低噪声设备，加强维护保养，严格操作规程。</w:t>
                  </w:r>
                </w:p>
              </w:tc>
              <w:tc>
                <w:tcPr>
                  <w:tcW w:w="449" w:type="pct"/>
                  <w:vMerge w:val="restart"/>
                  <w:vAlign w:val="center"/>
                </w:tcPr>
                <w:p w14:paraId="23EF7D99">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项目施工场所、区域</w:t>
                  </w:r>
                </w:p>
              </w:tc>
              <w:tc>
                <w:tcPr>
                  <w:tcW w:w="430" w:type="pct"/>
                  <w:vAlign w:val="center"/>
                </w:tcPr>
                <w:p w14:paraId="35B22A21">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全部施工期</w:t>
                  </w:r>
                </w:p>
              </w:tc>
              <w:tc>
                <w:tcPr>
                  <w:tcW w:w="430" w:type="pct"/>
                  <w:vAlign w:val="center"/>
                </w:tcPr>
                <w:p w14:paraId="0F06FBC6">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施工单位</w:t>
                  </w:r>
                </w:p>
              </w:tc>
              <w:tc>
                <w:tcPr>
                  <w:tcW w:w="679" w:type="pct"/>
                  <w:vMerge w:val="continue"/>
                  <w:vAlign w:val="center"/>
                </w:tcPr>
                <w:p w14:paraId="19F58EDC">
                  <w:pPr>
                    <w:adjustRightInd w:val="0"/>
                    <w:snapToGrid w:val="0"/>
                    <w:jc w:val="center"/>
                    <w:rPr>
                      <w:color w:val="000000" w:themeColor="text1"/>
                      <w:kern w:val="0"/>
                      <w:szCs w:val="21"/>
                      <w:highlight w:val="none"/>
                      <w14:textFill>
                        <w14:solidFill>
                          <w14:schemeClr w14:val="tx1"/>
                        </w14:solidFill>
                      </w14:textFill>
                    </w:rPr>
                  </w:pPr>
                </w:p>
              </w:tc>
              <w:tc>
                <w:tcPr>
                  <w:tcW w:w="1039" w:type="pct"/>
                  <w:vAlign w:val="center"/>
                </w:tcPr>
                <w:p w14:paraId="7C763CAC">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对周边声环境无影响。</w:t>
                  </w:r>
                </w:p>
              </w:tc>
            </w:tr>
            <w:tr w14:paraId="3C6C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02BC24ED">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9</w:t>
                  </w:r>
                </w:p>
              </w:tc>
              <w:tc>
                <w:tcPr>
                  <w:tcW w:w="1617" w:type="pct"/>
                  <w:vAlign w:val="center"/>
                </w:tcPr>
                <w:p w14:paraId="06E155B1">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道路及施工面洒水降尘、物料运输篷布遮盖、土石方采用防尘布（网）苫盖、禁止焚烧可燃垃圾</w:t>
                  </w:r>
                </w:p>
              </w:tc>
              <w:tc>
                <w:tcPr>
                  <w:tcW w:w="449" w:type="pct"/>
                  <w:vMerge w:val="continue"/>
                  <w:vAlign w:val="center"/>
                </w:tcPr>
                <w:p w14:paraId="0DA1269F">
                  <w:pPr>
                    <w:adjustRightInd w:val="0"/>
                    <w:snapToGrid w:val="0"/>
                    <w:jc w:val="center"/>
                    <w:rPr>
                      <w:color w:val="000000" w:themeColor="text1"/>
                      <w:kern w:val="0"/>
                      <w:szCs w:val="21"/>
                      <w:highlight w:val="none"/>
                      <w14:textFill>
                        <w14:solidFill>
                          <w14:schemeClr w14:val="tx1"/>
                        </w14:solidFill>
                      </w14:textFill>
                    </w:rPr>
                  </w:pPr>
                </w:p>
              </w:tc>
              <w:tc>
                <w:tcPr>
                  <w:tcW w:w="430" w:type="pct"/>
                  <w:vAlign w:val="center"/>
                </w:tcPr>
                <w:p w14:paraId="7A535886">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全部施工期</w:t>
                  </w:r>
                </w:p>
              </w:tc>
              <w:tc>
                <w:tcPr>
                  <w:tcW w:w="430" w:type="pct"/>
                  <w:vAlign w:val="center"/>
                </w:tcPr>
                <w:p w14:paraId="6A77F52A">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施工单位</w:t>
                  </w:r>
                </w:p>
              </w:tc>
              <w:tc>
                <w:tcPr>
                  <w:tcW w:w="679" w:type="pct"/>
                  <w:vMerge w:val="continue"/>
                  <w:vAlign w:val="center"/>
                </w:tcPr>
                <w:p w14:paraId="170544D2">
                  <w:pPr>
                    <w:adjustRightInd w:val="0"/>
                    <w:snapToGrid w:val="0"/>
                    <w:jc w:val="center"/>
                    <w:rPr>
                      <w:color w:val="000000" w:themeColor="text1"/>
                      <w:kern w:val="0"/>
                      <w:szCs w:val="21"/>
                      <w:highlight w:val="none"/>
                      <w14:textFill>
                        <w14:solidFill>
                          <w14:schemeClr w14:val="tx1"/>
                        </w14:solidFill>
                      </w14:textFill>
                    </w:rPr>
                  </w:pPr>
                </w:p>
              </w:tc>
              <w:tc>
                <w:tcPr>
                  <w:tcW w:w="1039" w:type="pct"/>
                  <w:vAlign w:val="center"/>
                </w:tcPr>
                <w:p w14:paraId="402DE9BB">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对周边大气环境影响较小。</w:t>
                  </w:r>
                </w:p>
              </w:tc>
            </w:tr>
            <w:tr w14:paraId="538B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4" w:type="pct"/>
                  <w:vAlign w:val="center"/>
                </w:tcPr>
                <w:p w14:paraId="29DDF539">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10</w:t>
                  </w:r>
                </w:p>
              </w:tc>
              <w:tc>
                <w:tcPr>
                  <w:tcW w:w="1617" w:type="pct"/>
                  <w:vAlign w:val="center"/>
                </w:tcPr>
                <w:p w14:paraId="43156565">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施工土方回填、护坡、平整及迹地恢复；可用包装袋统一回收、综合利用。</w:t>
                  </w:r>
                </w:p>
              </w:tc>
              <w:tc>
                <w:tcPr>
                  <w:tcW w:w="449" w:type="pct"/>
                  <w:vMerge w:val="continue"/>
                  <w:vAlign w:val="center"/>
                </w:tcPr>
                <w:p w14:paraId="26DFBDCB">
                  <w:pPr>
                    <w:adjustRightInd w:val="0"/>
                    <w:snapToGrid w:val="0"/>
                    <w:jc w:val="center"/>
                    <w:rPr>
                      <w:color w:val="000000" w:themeColor="text1"/>
                      <w:kern w:val="0"/>
                      <w:szCs w:val="21"/>
                      <w:highlight w:val="none"/>
                      <w14:textFill>
                        <w14:solidFill>
                          <w14:schemeClr w14:val="tx1"/>
                        </w14:solidFill>
                      </w14:textFill>
                    </w:rPr>
                  </w:pPr>
                </w:p>
              </w:tc>
              <w:tc>
                <w:tcPr>
                  <w:tcW w:w="430" w:type="pct"/>
                  <w:vAlign w:val="center"/>
                </w:tcPr>
                <w:p w14:paraId="7080D003">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全部施工期</w:t>
                  </w:r>
                </w:p>
              </w:tc>
              <w:tc>
                <w:tcPr>
                  <w:tcW w:w="430" w:type="pct"/>
                  <w:vAlign w:val="center"/>
                </w:tcPr>
                <w:p w14:paraId="18B8F6EF">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施工单位</w:t>
                  </w:r>
                </w:p>
              </w:tc>
              <w:tc>
                <w:tcPr>
                  <w:tcW w:w="679" w:type="pct"/>
                  <w:vMerge w:val="continue"/>
                  <w:vAlign w:val="center"/>
                </w:tcPr>
                <w:p w14:paraId="0AE5DB69">
                  <w:pPr>
                    <w:adjustRightInd w:val="0"/>
                    <w:snapToGrid w:val="0"/>
                    <w:jc w:val="center"/>
                    <w:rPr>
                      <w:color w:val="000000" w:themeColor="text1"/>
                      <w:kern w:val="0"/>
                      <w:szCs w:val="21"/>
                      <w:highlight w:val="none"/>
                      <w14:textFill>
                        <w14:solidFill>
                          <w14:schemeClr w14:val="tx1"/>
                        </w14:solidFill>
                      </w14:textFill>
                    </w:rPr>
                  </w:pPr>
                </w:p>
              </w:tc>
              <w:tc>
                <w:tcPr>
                  <w:tcW w:w="1039" w:type="pct"/>
                  <w:vAlign w:val="center"/>
                </w:tcPr>
                <w:p w14:paraId="2F1F018B">
                  <w:pPr>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固废均得到有效处置，施工迹地得以恢复。</w:t>
                  </w:r>
                </w:p>
              </w:tc>
            </w:tr>
          </w:tbl>
          <w:p w14:paraId="1780FC74">
            <w:pPr>
              <w:adjustRightInd w:val="0"/>
              <w:snapToGrid w:val="0"/>
              <w:spacing w:line="360" w:lineRule="auto"/>
              <w:rPr>
                <w:color w:val="000000" w:themeColor="text1"/>
                <w:kern w:val="0"/>
                <w:sz w:val="24"/>
                <w:highlight w:val="none"/>
                <w14:textFill>
                  <w14:solidFill>
                    <w14:schemeClr w14:val="tx1"/>
                  </w14:solidFill>
                </w14:textFill>
              </w:rPr>
            </w:pPr>
          </w:p>
        </w:tc>
      </w:tr>
      <w:tr w14:paraId="685A14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Mar>
              <w:left w:w="28" w:type="dxa"/>
              <w:right w:w="28" w:type="dxa"/>
            </w:tcMar>
            <w:vAlign w:val="center"/>
          </w:tcPr>
          <w:p w14:paraId="1EF4F6E6">
            <w:pPr>
              <w:adjustRightInd w:val="0"/>
              <w:snapToGrid w:val="0"/>
              <w:jc w:val="center"/>
              <w:rPr>
                <w:rFonts w:hint="eastAsia"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 w:val="24"/>
                <w:highlight w:val="none"/>
                <w14:textFill>
                  <w14:solidFill>
                    <w14:schemeClr w14:val="tx1"/>
                  </w14:solidFill>
                </w14:textFill>
              </w:rPr>
              <w:t>运营期生态环境保护措施</w:t>
            </w:r>
          </w:p>
        </w:tc>
        <w:tc>
          <w:tcPr>
            <w:tcW w:w="8457" w:type="dxa"/>
          </w:tcPr>
          <w:p w14:paraId="36B0A38E">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1、运营期废气防治措施</w:t>
            </w:r>
          </w:p>
          <w:p w14:paraId="317F5BCC">
            <w:pPr>
              <w:wordWrap w:val="0"/>
              <w:spacing w:line="360" w:lineRule="auto"/>
              <w:ind w:firstLine="482"/>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运营期项目</w:t>
            </w:r>
            <w:r>
              <w:rPr>
                <w:rFonts w:hint="eastAsia"/>
                <w:color w:val="000000" w:themeColor="text1"/>
                <w:sz w:val="24"/>
                <w:highlight w:val="none"/>
                <w14:textFill>
                  <w14:solidFill>
                    <w14:schemeClr w14:val="tx1"/>
                  </w14:solidFill>
                </w14:textFill>
              </w:rPr>
              <w:t>本身</w:t>
            </w:r>
            <w:r>
              <w:rPr>
                <w:color w:val="000000" w:themeColor="text1"/>
                <w:sz w:val="24"/>
                <w:highlight w:val="none"/>
                <w14:textFill>
                  <w14:solidFill>
                    <w14:schemeClr w14:val="tx1"/>
                  </w14:solidFill>
                </w14:textFill>
              </w:rPr>
              <w:t>无废气产生</w:t>
            </w:r>
            <w:r>
              <w:rPr>
                <w:rFonts w:hint="eastAsia"/>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生活污水处理设备为地埋式一体化污水处理设施，主体设备密闭设计，经地下环境隔离，基本无恶臭逸散，</w:t>
            </w:r>
            <w:r>
              <w:rPr>
                <w:rFonts w:hint="eastAsia"/>
                <w:color w:val="000000" w:themeColor="text1"/>
                <w:sz w:val="24"/>
                <w:highlight w:val="none"/>
                <w14:textFill>
                  <w14:solidFill>
                    <w14:schemeClr w14:val="tx1"/>
                  </w14:solidFill>
                </w14:textFill>
              </w:rPr>
              <w:t>项目废气主要为生活区职工食堂产生的油烟。</w:t>
            </w:r>
          </w:p>
          <w:p w14:paraId="7DF17972">
            <w:pPr>
              <w:keepNext w:val="0"/>
              <w:keepLines w:val="0"/>
              <w:pageBreakBefore w:val="0"/>
              <w:widowControl w:val="0"/>
              <w:kinsoku/>
              <w:wordWrap/>
              <w:overflowPunct/>
              <w:topLinePunct/>
              <w:autoSpaceDE/>
              <w:autoSpaceDN/>
              <w:bidi w:val="0"/>
              <w:adjustRightInd/>
              <w:snapToGrid/>
              <w:spacing w:line="360" w:lineRule="auto"/>
              <w:ind w:firstLine="480" w:firstLineChars="200"/>
              <w:jc w:val="both"/>
              <w:textAlignment w:val="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本项目食堂灶头上部按要求安装排风罩，并配套安装1台净化效率85%的油烟净化器</w:t>
            </w:r>
            <w:r>
              <w:rPr>
                <w:rFonts w:hint="eastAsia"/>
                <w:color w:val="000000" w:themeColor="text1"/>
                <w:sz w:val="24"/>
                <w:highlight w:val="none"/>
                <w:lang w:eastAsia="zh-CN"/>
                <w14:textFill>
                  <w14:solidFill>
                    <w14:schemeClr w14:val="tx1"/>
                  </w14:solidFill>
                </w14:textFill>
              </w:rPr>
              <w:t>，在</w:t>
            </w:r>
            <w:r>
              <w:rPr>
                <w:rFonts w:hint="eastAsia"/>
                <w:color w:val="000000" w:themeColor="text1"/>
                <w:sz w:val="24"/>
                <w:highlight w:val="none"/>
                <w14:textFill>
                  <w14:solidFill>
                    <w14:schemeClr w14:val="tx1"/>
                  </w14:solidFill>
                </w14:textFill>
              </w:rPr>
              <w:t>食堂屋顶排放。排风罩总风量</w:t>
            </w:r>
            <w:r>
              <w:rPr>
                <w:rFonts w:hint="eastAsia"/>
                <w:color w:val="000000" w:themeColor="text1"/>
                <w:sz w:val="24"/>
                <w:highlight w:val="none"/>
                <w:lang w:val="en-US" w:eastAsia="zh-CN"/>
                <w14:textFill>
                  <w14:solidFill>
                    <w14:schemeClr w14:val="tx1"/>
                  </w14:solidFill>
                </w14:textFill>
              </w:rPr>
              <w:t>500</w:t>
            </w:r>
            <w:r>
              <w:rPr>
                <w:rFonts w:hint="eastAsia"/>
                <w:color w:val="000000" w:themeColor="text1"/>
                <w:sz w:val="24"/>
                <w:highlight w:val="none"/>
                <w14:textFill>
                  <w14:solidFill>
                    <w14:schemeClr w14:val="tx1"/>
                  </w14:solidFill>
                </w14:textFill>
              </w:rPr>
              <w:t>m³/h，则油烟排放浓度</w:t>
            </w:r>
            <w:r>
              <w:rPr>
                <w:rFonts w:hint="eastAsia"/>
                <w:color w:val="000000" w:themeColor="text1"/>
                <w:sz w:val="24"/>
                <w:highlight w:val="none"/>
                <w:lang w:val="en-US" w:eastAsia="zh-CN"/>
                <w14:textFill>
                  <w14:solidFill>
                    <w14:schemeClr w14:val="tx1"/>
                  </w14:solidFill>
                </w14:textFill>
              </w:rPr>
              <w:t>0.3</w:t>
            </w:r>
            <w:r>
              <w:rPr>
                <w:rFonts w:hint="eastAsia"/>
                <w:color w:val="000000" w:themeColor="text1"/>
                <w:sz w:val="24"/>
                <w:highlight w:val="none"/>
                <w14:textFill>
                  <w14:solidFill>
                    <w14:schemeClr w14:val="tx1"/>
                  </w14:solidFill>
                </w14:textFill>
              </w:rPr>
              <w:t>mg/m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，排放量为0.00</w:t>
            </w:r>
            <w:r>
              <w:rPr>
                <w:rFonts w:hint="eastAsia"/>
                <w:color w:val="000000" w:themeColor="text1"/>
                <w:sz w:val="24"/>
                <w:highlight w:val="none"/>
                <w:lang w:val="en-US" w:eastAsia="zh-CN"/>
                <w14:textFill>
                  <w14:solidFill>
                    <w14:schemeClr w14:val="tx1"/>
                  </w14:solidFill>
                </w14:textFill>
              </w:rPr>
              <w:t>033</w:t>
            </w:r>
            <w:r>
              <w:rPr>
                <w:rFonts w:hint="eastAsia"/>
                <w:color w:val="000000" w:themeColor="text1"/>
                <w:sz w:val="24"/>
                <w:highlight w:val="none"/>
                <w14:textFill>
                  <w14:solidFill>
                    <w14:schemeClr w14:val="tx1"/>
                  </w14:solidFill>
                </w14:textFill>
              </w:rPr>
              <w:t>t/a。排放浓度满足《饮食业油烟排放标准（试行）》（GB18483-2001）表2饮食业单位的油烟最高允许排放浓度（2.0mg/m³）和油烟净化设施最低去除效率（</w:t>
            </w:r>
            <w:r>
              <w:rPr>
                <w:rFonts w:hint="eastAsia"/>
                <w:color w:val="000000" w:themeColor="text1"/>
                <w:sz w:val="24"/>
                <w:highlight w:val="none"/>
                <w:lang w:val="en-US" w:eastAsia="zh-CN"/>
                <w14:textFill>
                  <w14:solidFill>
                    <w14:schemeClr w14:val="tx1"/>
                  </w14:solidFill>
                </w14:textFill>
              </w:rPr>
              <w:t>60</w:t>
            </w:r>
            <w:r>
              <w:rPr>
                <w:rFonts w:hint="eastAsia"/>
                <w:color w:val="000000" w:themeColor="text1"/>
                <w:sz w:val="24"/>
                <w:highlight w:val="none"/>
                <w14:textFill>
                  <w14:solidFill>
                    <w14:schemeClr w14:val="tx1"/>
                  </w14:solidFill>
                </w14:textFill>
              </w:rPr>
              <w:t>%）的限值要求。</w:t>
            </w:r>
          </w:p>
          <w:p w14:paraId="33CD1089">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2、运营期废水防治措施</w:t>
            </w:r>
          </w:p>
          <w:p w14:paraId="5D003700">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（1）地表水环境保护措施</w:t>
            </w:r>
          </w:p>
          <w:p w14:paraId="6C4AF608">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w:t>
            </w:r>
            <w:r>
              <w:rPr>
                <w:color w:val="000000" w:themeColor="text1"/>
                <w:sz w:val="24"/>
                <w:highlight w:val="none"/>
                <w14:textFill>
                  <w14:solidFill>
                    <w14:schemeClr w14:val="tx1"/>
                  </w14:solidFill>
                </w14:textFill>
              </w:rPr>
              <w:t>项目运营期废水主要为</w:t>
            </w:r>
            <w:r>
              <w:rPr>
                <w:rFonts w:hint="eastAsia"/>
                <w:color w:val="000000" w:themeColor="text1"/>
                <w:sz w:val="24"/>
                <w:highlight w:val="none"/>
                <w14:textFill>
                  <w14:solidFill>
                    <w14:schemeClr w14:val="tx1"/>
                  </w14:solidFill>
                </w14:textFill>
              </w:rPr>
              <w:t>生活污水</w:t>
            </w:r>
            <w:r>
              <w:rPr>
                <w:color w:val="000000" w:themeColor="text1"/>
                <w:sz w:val="24"/>
                <w:highlight w:val="none"/>
                <w14:textFill>
                  <w14:solidFill>
                    <w14:schemeClr w14:val="tx1"/>
                  </w14:solidFill>
                </w14:textFill>
              </w:rPr>
              <w:t>。</w:t>
            </w:r>
          </w:p>
          <w:p w14:paraId="12CD747D">
            <w:pPr>
              <w:pStyle w:val="15"/>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本项目运营期升压站运营人员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8</w:t>
            </w:r>
            <w:r>
              <w:rPr>
                <w:rFonts w:ascii="Times New Roman" w:hAnsi="Times New Roman" w:cs="Times New Roman"/>
                <w:color w:val="000000" w:themeColor="text1"/>
                <w:sz w:val="24"/>
                <w:szCs w:val="24"/>
                <w:highlight w:val="none"/>
                <w14:textFill>
                  <w14:solidFill>
                    <w14:schemeClr w14:val="tx1"/>
                  </w14:solidFill>
                </w14:textFill>
              </w:rPr>
              <w:t>人，</w:t>
            </w:r>
            <w:r>
              <w:rPr>
                <w:rFonts w:ascii="Times New Roman" w:hAnsi="Times New Roman" w:cs="Times New Roman"/>
                <w:bCs/>
                <w:color w:val="000000" w:themeColor="text1"/>
                <w:kern w:val="0"/>
                <w:sz w:val="24"/>
                <w:highlight w:val="none"/>
                <w14:textFill>
                  <w14:solidFill>
                    <w14:schemeClr w14:val="tx1"/>
                  </w14:solidFill>
                </w14:textFill>
              </w:rPr>
              <w:t>生活污水产生量为</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0.384</w:t>
            </w:r>
            <w:r>
              <w:rPr>
                <w:rFonts w:ascii="Times New Roman" w:hAnsi="Times New Roman" w:cs="Times New Roman"/>
                <w:bCs/>
                <w:color w:val="000000" w:themeColor="text1"/>
                <w:kern w:val="0"/>
                <w:sz w:val="24"/>
                <w:highlight w:val="none"/>
                <w14:textFill>
                  <w14:solidFill>
                    <w14:schemeClr w14:val="tx1"/>
                  </w14:solidFill>
                </w14:textFill>
              </w:rPr>
              <w:t>m</w:t>
            </w:r>
            <w:r>
              <w:rPr>
                <w:rFonts w:ascii="Times New Roman" w:hAnsi="Times New Roman" w:cs="Times New Roman"/>
                <w:bCs/>
                <w:color w:val="000000" w:themeColor="text1"/>
                <w:kern w:val="0"/>
                <w:sz w:val="24"/>
                <w:highlight w:val="none"/>
                <w:vertAlign w:val="superscript"/>
                <w14:textFill>
                  <w14:solidFill>
                    <w14:schemeClr w14:val="tx1"/>
                  </w14:solidFill>
                </w14:textFill>
              </w:rPr>
              <w:t>3</w:t>
            </w:r>
            <w:r>
              <w:rPr>
                <w:rFonts w:ascii="Times New Roman" w:hAnsi="Times New Roman" w:cs="Times New Roman"/>
                <w:bCs/>
                <w:color w:val="000000" w:themeColor="text1"/>
                <w:kern w:val="0"/>
                <w:sz w:val="24"/>
                <w:highlight w:val="none"/>
                <w14:textFill>
                  <w14:solidFill>
                    <w14:schemeClr w14:val="tx1"/>
                  </w14:solidFill>
                </w14:textFill>
              </w:rPr>
              <w:t>/d（</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140.16</w:t>
            </w:r>
            <w:r>
              <w:rPr>
                <w:rFonts w:ascii="Times New Roman" w:hAnsi="Times New Roman" w:cs="Times New Roman"/>
                <w:bCs/>
                <w:color w:val="000000" w:themeColor="text1"/>
                <w:kern w:val="0"/>
                <w:sz w:val="24"/>
                <w:highlight w:val="none"/>
                <w14:textFill>
                  <w14:solidFill>
                    <w14:schemeClr w14:val="tx1"/>
                  </w14:solidFill>
                </w14:textFill>
              </w:rPr>
              <w:t>m</w:t>
            </w:r>
            <w:r>
              <w:rPr>
                <w:rFonts w:ascii="Times New Roman" w:hAnsi="Times New Roman" w:cs="Times New Roman"/>
                <w:bCs/>
                <w:color w:val="000000" w:themeColor="text1"/>
                <w:kern w:val="0"/>
                <w:sz w:val="24"/>
                <w:highlight w:val="none"/>
                <w:vertAlign w:val="superscript"/>
                <w14:textFill>
                  <w14:solidFill>
                    <w14:schemeClr w14:val="tx1"/>
                  </w14:solidFill>
                </w14:textFill>
              </w:rPr>
              <w:t>3</w:t>
            </w:r>
            <w:r>
              <w:rPr>
                <w:rFonts w:ascii="Times New Roman" w:hAnsi="Times New Roman" w:cs="Times New Roman"/>
                <w:bCs/>
                <w:color w:val="000000" w:themeColor="text1"/>
                <w:kern w:val="0"/>
                <w:sz w:val="24"/>
                <w:highlight w:val="none"/>
                <w14:textFill>
                  <w14:solidFill>
                    <w14:schemeClr w14:val="tx1"/>
                  </w14:solidFill>
                </w14:textFill>
              </w:rPr>
              <w:t>/a），</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食堂废水经隔油池处理后与其他</w:t>
            </w:r>
            <w:r>
              <w:rPr>
                <w:rFonts w:hint="eastAsia" w:ascii="Times New Roman" w:hAnsi="Times New Roman" w:cs="Times New Roman"/>
                <w:bCs/>
                <w:color w:val="000000" w:themeColor="text1"/>
                <w:kern w:val="0"/>
                <w:sz w:val="24"/>
                <w:highlight w:val="none"/>
                <w14:textFill>
                  <w14:solidFill>
                    <w14:schemeClr w14:val="tx1"/>
                  </w14:solidFill>
                </w14:textFill>
              </w:rPr>
              <w:t>生活污水</w:t>
            </w:r>
            <w:r>
              <w:rPr>
                <w:rFonts w:hint="eastAsia" w:ascii="Times New Roman" w:hAnsi="Times New Roman" w:cs="Times New Roman"/>
                <w:bCs/>
                <w:color w:val="000000" w:themeColor="text1"/>
                <w:kern w:val="0"/>
                <w:sz w:val="24"/>
                <w:highlight w:val="none"/>
                <w:lang w:val="en-US" w:eastAsia="zh-CN"/>
                <w14:textFill>
                  <w14:solidFill>
                    <w14:schemeClr w14:val="tx1"/>
                  </w14:solidFill>
                </w14:textFill>
              </w:rPr>
              <w:t>一起排入一体化污水处理设备处理，</w:t>
            </w:r>
            <w:r>
              <w:rPr>
                <w:rFonts w:hint="eastAsia" w:ascii="Times New Roman" w:hAnsi="Times New Roman" w:cs="Times New Roman"/>
                <w:color w:val="000000" w:themeColor="text1"/>
                <w:sz w:val="24"/>
                <w:szCs w:val="24"/>
                <w:highlight w:val="none"/>
                <w14:textFill>
                  <w14:solidFill>
                    <w14:schemeClr w14:val="tx1"/>
                  </w14:solidFill>
                </w14:textFill>
              </w:rPr>
              <w:t>处理后满足《农村生活污水处理排放标准》（DB654275-2019）表2中</w:t>
            </w:r>
            <w:r>
              <w:rPr>
                <w:rFonts w:hint="eastAsia" w:ascii="Times New Roman" w:hAnsi="Times New Roman" w:cs="Times New Roman"/>
                <w:color w:val="0000FF"/>
                <w:sz w:val="24"/>
                <w:szCs w:val="24"/>
                <w:highlight w:val="none"/>
                <w:lang w:val="en-US" w:eastAsia="zh-CN"/>
              </w:rPr>
              <w:t>A</w:t>
            </w:r>
            <w:r>
              <w:rPr>
                <w:rFonts w:hint="default" w:ascii="Times New Roman" w:hAnsi="Times New Roman" w:cs="Times New Roman"/>
                <w:color w:val="0000FF"/>
                <w:sz w:val="24"/>
                <w:szCs w:val="24"/>
                <w:highlight w:val="none"/>
              </w:rPr>
              <w:t>级</w:t>
            </w:r>
            <w:r>
              <w:rPr>
                <w:rFonts w:hint="default" w:ascii="Times New Roman" w:hAnsi="Times New Roman" w:cs="Times New Roman"/>
                <w:color w:val="000000" w:themeColor="text1"/>
                <w:sz w:val="24"/>
                <w:szCs w:val="24"/>
                <w:highlight w:val="none"/>
                <w14:textFill>
                  <w14:solidFill>
                    <w14:schemeClr w14:val="tx1"/>
                  </w14:solidFill>
                </w14:textFill>
              </w:rPr>
              <w:t>标准后用于</w:t>
            </w:r>
            <w:r>
              <w:rPr>
                <w:rFonts w:hint="eastAsia" w:ascii="Times New Roman" w:hAnsi="Times New Roman" w:cs="Times New Roman"/>
                <w:color w:val="0000FF"/>
                <w:sz w:val="24"/>
                <w:szCs w:val="24"/>
                <w:highlight w:val="none"/>
              </w:rPr>
              <w:t>升压站绿化及生态恢复</w:t>
            </w:r>
            <w:r>
              <w:rPr>
                <w:rFonts w:hint="eastAsia" w:ascii="Times New Roman" w:hAnsi="Times New Roman" w:cs="Times New Roman"/>
                <w:color w:val="0000FF"/>
                <w:sz w:val="24"/>
                <w:szCs w:val="24"/>
                <w:highlight w:val="none"/>
                <w:lang w:eastAsia="zh-CN"/>
              </w:rPr>
              <w:t>，</w:t>
            </w:r>
            <w:r>
              <w:rPr>
                <w:rFonts w:hint="eastAsia" w:ascii="Times New Roman" w:hAnsi="Times New Roman" w:cs="Times New Roman"/>
                <w:color w:val="0000FF"/>
                <w:sz w:val="24"/>
                <w:szCs w:val="24"/>
                <w:highlight w:val="none"/>
                <w:lang w:val="en-US" w:eastAsia="zh-CN"/>
              </w:rPr>
              <w:t>冬季出水排入新建50m</w:t>
            </w:r>
            <w:r>
              <w:rPr>
                <w:rFonts w:hint="eastAsia" w:ascii="Times New Roman" w:hAnsi="Times New Roman" w:cs="Times New Roman"/>
                <w:color w:val="0000FF"/>
                <w:sz w:val="24"/>
                <w:szCs w:val="24"/>
                <w:highlight w:val="none"/>
                <w:vertAlign w:val="superscript"/>
                <w:lang w:val="en-US" w:eastAsia="zh-CN"/>
              </w:rPr>
              <w:t>3</w:t>
            </w:r>
            <w:r>
              <w:rPr>
                <w:rFonts w:hint="eastAsia" w:ascii="Times New Roman" w:hAnsi="Times New Roman" w:cs="Times New Roman"/>
                <w:color w:val="0000FF"/>
                <w:sz w:val="24"/>
                <w:szCs w:val="24"/>
                <w:highlight w:val="none"/>
                <w:lang w:val="en-US" w:eastAsia="zh-CN"/>
              </w:rPr>
              <w:t>集水池内存储，用于下一年站址绿化及生态恢复。</w:t>
            </w:r>
          </w:p>
          <w:p w14:paraId="6EFAA252">
            <w:pPr>
              <w:pStyle w:val="13"/>
              <w:numPr>
                <w:ilvl w:val="0"/>
                <w:numId w:val="4"/>
              </w:num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地下水、土壤环境保护措施</w:t>
            </w:r>
          </w:p>
          <w:p w14:paraId="2032057F">
            <w:pPr>
              <w:pStyle w:val="41"/>
              <w:spacing w:line="360" w:lineRule="auto"/>
              <w:ind w:firstLine="480" w:firstLineChars="200"/>
              <w:jc w:val="both"/>
              <w:rPr>
                <w:rFonts w:ascii="Times New Roman" w:cs="Times New Roman"/>
                <w:b w:val="0"/>
                <w:bCs w:val="0"/>
                <w:color w:val="000000" w:themeColor="text1"/>
                <w:highlight w:val="none"/>
                <w:lang w:bidi="ar"/>
                <w14:textFill>
                  <w14:solidFill>
                    <w14:schemeClr w14:val="tx1"/>
                  </w14:solidFill>
                </w14:textFill>
              </w:rPr>
            </w:pPr>
            <w:r>
              <w:rPr>
                <w:rFonts w:hint="eastAsia"/>
                <w:b w:val="0"/>
                <w:bCs w:val="0"/>
                <w:color w:val="000000" w:themeColor="text1"/>
                <w:szCs w:val="22"/>
                <w:highlight w:val="none"/>
                <w14:textFill>
                  <w14:solidFill>
                    <w14:schemeClr w14:val="tx1"/>
                  </w14:solidFill>
                </w14:textFill>
              </w:rPr>
              <w:t>为确保本项目油类物质不会对周围地下水环境造成污染，根据地下水导则对场内防渗区域进行判定，</w:t>
            </w:r>
            <w:r>
              <w:rPr>
                <w:rFonts w:hint="eastAsia" w:ascii="Times New Roman" w:cs="Times New Roman"/>
                <w:b w:val="0"/>
                <w:bCs w:val="0"/>
                <w:color w:val="000000" w:themeColor="text1"/>
                <w:highlight w:val="none"/>
                <w14:textFill>
                  <w14:solidFill>
                    <w14:schemeClr w14:val="tx1"/>
                  </w14:solidFill>
                </w14:textFill>
              </w:rPr>
              <w:t>项目</w:t>
            </w:r>
            <w:r>
              <w:rPr>
                <w:rFonts w:ascii="Times New Roman" w:cs="Times New Roman"/>
                <w:b w:val="0"/>
                <w:bCs w:val="0"/>
                <w:color w:val="000000" w:themeColor="text1"/>
                <w:highlight w:val="none"/>
                <w:lang w:bidi="ar"/>
                <w14:textFill>
                  <w14:solidFill>
                    <w14:schemeClr w14:val="tx1"/>
                  </w14:solidFill>
                </w14:textFill>
              </w:rPr>
              <w:t>主变压器下方及周边区域、</w:t>
            </w:r>
            <w:r>
              <w:rPr>
                <w:rFonts w:hint="eastAsia" w:ascii="Times New Roman" w:cs="Times New Roman"/>
                <w:b w:val="0"/>
                <w:bCs w:val="0"/>
                <w:color w:val="000000" w:themeColor="text1"/>
                <w:highlight w:val="none"/>
                <w:lang w:bidi="ar"/>
                <w14:textFill>
                  <w14:solidFill>
                    <w14:schemeClr w14:val="tx1"/>
                  </w14:solidFill>
                </w14:textFill>
              </w:rPr>
              <w:t>排油管、储油坑</w:t>
            </w:r>
            <w:r>
              <w:rPr>
                <w:rFonts w:ascii="Times New Roman" w:cs="Times New Roman"/>
                <w:b w:val="0"/>
                <w:bCs w:val="0"/>
                <w:color w:val="000000" w:themeColor="text1"/>
                <w:highlight w:val="none"/>
                <w:lang w:bidi="ar"/>
                <w14:textFill>
                  <w14:solidFill>
                    <w14:schemeClr w14:val="tx1"/>
                  </w14:solidFill>
                </w14:textFill>
              </w:rPr>
              <w:t>及防渗</w:t>
            </w:r>
            <w:r>
              <w:rPr>
                <w:rFonts w:hint="eastAsia" w:ascii="Times New Roman" w:cs="Times New Roman"/>
                <w:b w:val="0"/>
                <w:bCs w:val="0"/>
                <w:color w:val="000000" w:themeColor="text1"/>
                <w:highlight w:val="none"/>
                <w:lang w:bidi="ar"/>
                <w14:textFill>
                  <w14:solidFill>
                    <w14:schemeClr w14:val="tx1"/>
                  </w14:solidFill>
                </w14:textFill>
              </w:rPr>
              <w:t>事故油池</w:t>
            </w:r>
            <w:r>
              <w:rPr>
                <w:rFonts w:ascii="Times New Roman" w:cs="Times New Roman"/>
                <w:b w:val="0"/>
                <w:bCs w:val="0"/>
                <w:color w:val="000000" w:themeColor="text1"/>
                <w:highlight w:val="none"/>
                <w:lang w:bidi="ar"/>
                <w14:textFill>
                  <w14:solidFill>
                    <w14:schemeClr w14:val="tx1"/>
                  </w14:solidFill>
                </w14:textFill>
              </w:rPr>
              <w:t>按照重点防渗区进行管理，防渗技术要求为等效粘土防渗层Mb</w:t>
            </w:r>
            <w:r>
              <w:rPr>
                <w:rFonts w:hint="eastAsia" w:ascii="Times New Roman" w:cs="Times New Roman"/>
                <w:b w:val="0"/>
                <w:bCs w:val="0"/>
                <w:color w:val="000000" w:themeColor="text1"/>
                <w:highlight w:val="none"/>
                <w:lang w:bidi="ar"/>
                <w14:textFill>
                  <w14:solidFill>
                    <w14:schemeClr w14:val="tx1"/>
                  </w14:solidFill>
                </w14:textFill>
              </w:rPr>
              <w:t>≥</w:t>
            </w:r>
            <w:r>
              <w:rPr>
                <w:rFonts w:ascii="Times New Roman" w:cs="Times New Roman"/>
                <w:b w:val="0"/>
                <w:bCs w:val="0"/>
                <w:color w:val="000000" w:themeColor="text1"/>
                <w:highlight w:val="none"/>
                <w:lang w:bidi="ar"/>
                <w14:textFill>
                  <w14:solidFill>
                    <w14:schemeClr w14:val="tx1"/>
                  </w14:solidFill>
                </w14:textFill>
              </w:rPr>
              <w:t>6.0m，K</w:t>
            </w:r>
            <w:r>
              <w:rPr>
                <w:rFonts w:hint="eastAsia" w:ascii="Times New Roman" w:cs="Times New Roman"/>
                <w:b w:val="0"/>
                <w:bCs w:val="0"/>
                <w:color w:val="000000" w:themeColor="text1"/>
                <w:highlight w:val="none"/>
                <w:lang w:bidi="ar"/>
                <w14:textFill>
                  <w14:solidFill>
                    <w14:schemeClr w14:val="tx1"/>
                  </w14:solidFill>
                </w14:textFill>
              </w:rPr>
              <w:t>≤</w:t>
            </w:r>
            <w:r>
              <w:rPr>
                <w:rFonts w:ascii="Times New Roman" w:cs="Times New Roman"/>
                <w:b w:val="0"/>
                <w:bCs w:val="0"/>
                <w:color w:val="000000" w:themeColor="text1"/>
                <w:highlight w:val="none"/>
                <w:lang w:bidi="ar"/>
                <w14:textFill>
                  <w14:solidFill>
                    <w14:schemeClr w14:val="tx1"/>
                  </w14:solidFill>
                </w14:textFill>
              </w:rPr>
              <w:t>1×10</w:t>
            </w:r>
            <w:r>
              <w:rPr>
                <w:rFonts w:ascii="Times New Roman" w:cs="Times New Roman"/>
                <w:b w:val="0"/>
                <w:bCs w:val="0"/>
                <w:color w:val="000000" w:themeColor="text1"/>
                <w:highlight w:val="none"/>
                <w:vertAlign w:val="superscript"/>
                <w:lang w:bidi="ar"/>
                <w14:textFill>
                  <w14:solidFill>
                    <w14:schemeClr w14:val="tx1"/>
                  </w14:solidFill>
                </w14:textFill>
              </w:rPr>
              <w:t>-7</w:t>
            </w:r>
            <w:r>
              <w:rPr>
                <w:rFonts w:ascii="Times New Roman" w:cs="Times New Roman"/>
                <w:b w:val="0"/>
                <w:bCs w:val="0"/>
                <w:color w:val="000000" w:themeColor="text1"/>
                <w:highlight w:val="none"/>
                <w:lang w:bidi="ar"/>
                <w14:textFill>
                  <w14:solidFill>
                    <w14:schemeClr w14:val="tx1"/>
                  </w14:solidFill>
                </w14:textFill>
              </w:rPr>
              <w:t>cm/s。</w:t>
            </w:r>
          </w:p>
          <w:p w14:paraId="3A09AD95">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3、运营期噪声防治措施</w:t>
            </w:r>
          </w:p>
          <w:p w14:paraId="2054FBCE">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储能站及</w:t>
            </w:r>
            <w:r>
              <w:rPr>
                <w:rFonts w:hint="eastAsia"/>
                <w:color w:val="000000" w:themeColor="text1"/>
                <w:sz w:val="24"/>
                <w:highlight w:val="none"/>
                <w14:textFill>
                  <w14:solidFill>
                    <w14:schemeClr w14:val="tx1"/>
                  </w14:solidFill>
                </w14:textFill>
              </w:rPr>
              <w:t>升压站首先选择低噪声</w:t>
            </w:r>
            <w:r>
              <w:rPr>
                <w:rFonts w:hint="eastAsia"/>
                <w:color w:val="000000" w:themeColor="text1"/>
                <w:sz w:val="24"/>
                <w:highlight w:val="none"/>
                <w:lang w:val="en-US" w:eastAsia="zh-CN"/>
                <w14:textFill>
                  <w14:solidFill>
                    <w14:schemeClr w14:val="tx1"/>
                  </w14:solidFill>
                </w14:textFill>
              </w:rPr>
              <w:t>设备</w:t>
            </w:r>
            <w:r>
              <w:rPr>
                <w:rFonts w:hint="eastAsia"/>
                <w:color w:val="000000" w:themeColor="text1"/>
                <w:sz w:val="24"/>
                <w:highlight w:val="none"/>
                <w14:textFill>
                  <w14:solidFill>
                    <w14:schemeClr w14:val="tx1"/>
                  </w14:solidFill>
                </w14:textFill>
              </w:rPr>
              <w:t>，合理布局站内电气设备及配电装置；加强站内电气设备的日常维护，避免设备异常噪声排放以减少噪声对站区环境的影响。</w:t>
            </w:r>
          </w:p>
          <w:p w14:paraId="774CDD08">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加强对</w:t>
            </w:r>
            <w:r>
              <w:rPr>
                <w:rFonts w:hint="eastAsia"/>
                <w:color w:val="000000" w:themeColor="text1"/>
                <w:kern w:val="0"/>
                <w:sz w:val="24"/>
                <w:highlight w:val="none"/>
                <w:lang w:val="en-US" w:eastAsia="zh-CN"/>
                <w14:textFill>
                  <w14:solidFill>
                    <w14:schemeClr w14:val="tx1"/>
                  </w14:solidFill>
                </w14:textFill>
              </w:rPr>
              <w:t>站址</w:t>
            </w:r>
            <w:r>
              <w:rPr>
                <w:rFonts w:hint="eastAsia"/>
                <w:color w:val="000000" w:themeColor="text1"/>
                <w:kern w:val="0"/>
                <w:sz w:val="24"/>
                <w:highlight w:val="none"/>
                <w14:textFill>
                  <w14:solidFill>
                    <w14:schemeClr w14:val="tx1"/>
                  </w14:solidFill>
                </w14:textFill>
              </w:rPr>
              <w:t>周围声环境监测，及时发现问题并按照相关要求进行处理。</w:t>
            </w:r>
          </w:p>
          <w:p w14:paraId="5AC87BE2">
            <w:pPr>
              <w:wordWrap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4、运营期固体废物防治措施</w:t>
            </w:r>
          </w:p>
          <w:p w14:paraId="5845703B">
            <w:pPr>
              <w:pStyle w:val="82"/>
              <w:ind w:firstLine="480"/>
              <w:jc w:val="both"/>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储能站产生的废磷酸铁锂电池</w:t>
            </w:r>
            <w:r>
              <w:rPr>
                <w:rFonts w:hint="eastAsia"/>
                <w:color w:val="000000" w:themeColor="text1"/>
                <w:kern w:val="0"/>
                <w:sz w:val="24"/>
                <w:highlight w:val="none"/>
                <w:lang w:val="en-US" w:eastAsia="zh-CN"/>
                <w14:textFill>
                  <w14:solidFill>
                    <w14:schemeClr w14:val="tx1"/>
                  </w14:solidFill>
                </w14:textFill>
              </w:rPr>
              <w:t>属于一般工业固体废物，归类为SW17可再生类废物，废物代码为900-012-S17，电池更换后外售资源回收公司。</w:t>
            </w:r>
            <w:r>
              <w:rPr>
                <w:rFonts w:hint="eastAsia"/>
                <w:color w:val="000000" w:themeColor="text1"/>
                <w:sz w:val="24"/>
                <w:highlight w:val="none"/>
                <w14:textFill>
                  <w14:solidFill>
                    <w14:schemeClr w14:val="tx1"/>
                  </w14:solidFill>
                </w14:textFill>
              </w:rPr>
              <w:t>根据《国家危险废物名录》（</w:t>
            </w:r>
            <w:r>
              <w:rPr>
                <w:color w:val="000000" w:themeColor="text1"/>
                <w:sz w:val="24"/>
                <w:highlight w:val="none"/>
                <w14:textFill>
                  <w14:solidFill>
                    <w14:schemeClr w14:val="tx1"/>
                  </w14:solidFill>
                </w14:textFill>
              </w:rPr>
              <w:t>202</w:t>
            </w: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年版），升压站产生的废变压器油属于危险废物，危废类别为</w:t>
            </w:r>
            <w:r>
              <w:rPr>
                <w:color w:val="000000" w:themeColor="text1"/>
                <w:sz w:val="24"/>
                <w:highlight w:val="none"/>
                <w14:textFill>
                  <w14:solidFill>
                    <w14:schemeClr w14:val="tx1"/>
                  </w14:solidFill>
                </w14:textFill>
              </w:rPr>
              <w:t>HW08</w:t>
            </w:r>
            <w:r>
              <w:rPr>
                <w:rFonts w:hint="eastAsia"/>
                <w:color w:val="000000" w:themeColor="text1"/>
                <w:sz w:val="24"/>
                <w:highlight w:val="none"/>
                <w14:textFill>
                  <w14:solidFill>
                    <w14:schemeClr w14:val="tx1"/>
                  </w14:solidFill>
                </w14:textFill>
              </w:rPr>
              <w:t>，废物代码900-220-08。废铅酸蓄电池属于危险废物，危废类别为</w:t>
            </w:r>
            <w:r>
              <w:rPr>
                <w:color w:val="000000" w:themeColor="text1"/>
                <w:sz w:val="24"/>
                <w:highlight w:val="none"/>
                <w14:textFill>
                  <w14:solidFill>
                    <w14:schemeClr w14:val="tx1"/>
                  </w14:solidFill>
                </w14:textFill>
              </w:rPr>
              <w:t>HW31</w:t>
            </w:r>
            <w:r>
              <w:rPr>
                <w:rFonts w:hint="eastAsia"/>
                <w:color w:val="000000" w:themeColor="text1"/>
                <w:sz w:val="24"/>
                <w:highlight w:val="none"/>
                <w14:textFill>
                  <w14:solidFill>
                    <w14:schemeClr w14:val="tx1"/>
                  </w14:solidFill>
                </w14:textFill>
              </w:rPr>
              <w:t>，废物代码分别为</w:t>
            </w:r>
            <w:r>
              <w:rPr>
                <w:color w:val="000000" w:themeColor="text1"/>
                <w:sz w:val="24"/>
                <w:highlight w:val="none"/>
                <w14:textFill>
                  <w14:solidFill>
                    <w14:schemeClr w14:val="tx1"/>
                  </w14:solidFill>
                </w14:textFill>
              </w:rPr>
              <w:t>900-052-31</w:t>
            </w:r>
            <w:r>
              <w:rPr>
                <w:rFonts w:hint="eastAsia"/>
                <w:color w:val="000000" w:themeColor="text1"/>
                <w:sz w:val="24"/>
                <w:highlight w:val="none"/>
                <w14:textFill>
                  <w14:solidFill>
                    <w14:schemeClr w14:val="tx1"/>
                  </w14:solidFill>
                </w14:textFill>
              </w:rPr>
              <w:t>。废油桶、含油抹布属于危险废物，危废类别为</w:t>
            </w:r>
            <w:r>
              <w:rPr>
                <w:color w:val="000000" w:themeColor="text1"/>
                <w:sz w:val="24"/>
                <w:highlight w:val="none"/>
                <w14:textFill>
                  <w14:solidFill>
                    <w14:schemeClr w14:val="tx1"/>
                  </w14:solidFill>
                </w14:textFill>
              </w:rPr>
              <w:t>HW</w:t>
            </w:r>
            <w:r>
              <w:rPr>
                <w:rFonts w:hint="eastAsia"/>
                <w:color w:val="000000" w:themeColor="text1"/>
                <w:sz w:val="24"/>
                <w:highlight w:val="none"/>
                <w14:textFill>
                  <w14:solidFill>
                    <w14:schemeClr w14:val="tx1"/>
                  </w14:solidFill>
                </w14:textFill>
              </w:rPr>
              <w:t>49，废物代码分别为900-041-49。</w:t>
            </w:r>
          </w:p>
          <w:p w14:paraId="7AEF6D2F">
            <w:pPr>
              <w:spacing w:line="360" w:lineRule="auto"/>
              <w:ind w:firstLine="480" w:firstLineChars="200"/>
              <w:rPr>
                <w:rFonts w:hint="eastAsia" w:eastAsia="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项目运营期产生的</w:t>
            </w:r>
            <w:r>
              <w:rPr>
                <w:rFonts w:hint="eastAsia"/>
                <w:color w:val="000000" w:themeColor="text1"/>
                <w:sz w:val="24"/>
                <w:highlight w:val="none"/>
                <w:lang w:val="en-US" w:eastAsia="zh-CN"/>
                <w14:textFill>
                  <w14:solidFill>
                    <w14:schemeClr w14:val="tx1"/>
                  </w14:solidFill>
                </w14:textFill>
              </w:rPr>
              <w:t>一般固废外售资源回收公司，</w:t>
            </w:r>
            <w:r>
              <w:rPr>
                <w:rFonts w:hint="eastAsia"/>
                <w:color w:val="000000" w:themeColor="text1"/>
                <w:sz w:val="24"/>
                <w:highlight w:val="none"/>
                <w14:textFill>
                  <w14:solidFill>
                    <w14:schemeClr w14:val="tx1"/>
                  </w14:solidFill>
                </w14:textFill>
              </w:rPr>
              <w:t>废旧蓄电池</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废变压器油和</w:t>
            </w:r>
            <w:r>
              <w:rPr>
                <w:color w:val="000000" w:themeColor="text1"/>
                <w:sz w:val="24"/>
                <w:highlight w:val="none"/>
                <w14:textFill>
                  <w14:solidFill>
                    <w14:schemeClr w14:val="tx1"/>
                  </w14:solidFill>
                </w14:textFill>
              </w:rPr>
              <w:t>废油桶、含油抹布分类收集至</w:t>
            </w:r>
            <w:r>
              <w:rPr>
                <w:rFonts w:hint="eastAsia"/>
                <w:color w:val="000000" w:themeColor="text1"/>
                <w:sz w:val="24"/>
                <w:highlight w:val="none"/>
                <w14:textFill>
                  <w14:solidFill>
                    <w14:schemeClr w14:val="tx1"/>
                  </w14:solidFill>
                </w14:textFill>
              </w:rPr>
              <w:t>升压站危废舱内</w:t>
            </w:r>
            <w:r>
              <w:rPr>
                <w:color w:val="000000" w:themeColor="text1"/>
                <w:sz w:val="24"/>
                <w:highlight w:val="none"/>
                <w14:textFill>
                  <w14:solidFill>
                    <w14:schemeClr w14:val="tx1"/>
                  </w14:solidFill>
                </w14:textFill>
              </w:rPr>
              <w:t>，委托有资质单位处置</w:t>
            </w:r>
            <w:r>
              <w:rPr>
                <w:rFonts w:hint="eastAsia"/>
                <w:color w:val="000000" w:themeColor="text1"/>
                <w:sz w:val="24"/>
                <w:highlight w:val="none"/>
                <w:lang w:eastAsia="zh-CN"/>
                <w14:textFill>
                  <w14:solidFill>
                    <w14:schemeClr w14:val="tx1"/>
                  </w14:solidFill>
                </w14:textFill>
              </w:rPr>
              <w:t>。</w:t>
            </w:r>
          </w:p>
          <w:p w14:paraId="4E3C978A">
            <w:pPr>
              <w:wordWrap w:val="0"/>
              <w:spacing w:line="360" w:lineRule="auto"/>
              <w:ind w:firstLine="482"/>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综上，运营期固体废物通过</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减量化、资源化、无害</w:t>
            </w:r>
            <w:r>
              <w:rPr>
                <w:rFonts w:hint="eastAsia"/>
                <w:color w:val="000000" w:themeColor="text1"/>
                <w:sz w:val="24"/>
                <w:highlight w:val="none"/>
                <w14:textFill>
                  <w14:solidFill>
                    <w14:schemeClr w14:val="tx1"/>
                  </w14:solidFill>
                </w14:textFill>
              </w:rPr>
              <w:t>化”等方式妥善处置，均不外排，对周围环境的影响可接受。</w:t>
            </w:r>
          </w:p>
          <w:p w14:paraId="058E5F87">
            <w:pPr>
              <w:pStyle w:val="18"/>
              <w:spacing w:line="360" w:lineRule="auto"/>
              <w:ind w:firstLine="480" w:firstLineChars="200"/>
              <w:rPr>
                <w:b/>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上述固体废物从产生、收集、贮存、转运、处置等各个环节都可能因管理不善而进入环境。因此必须从各个环节进行全方位管理，采取有效措施防止固废在产生、收集、贮存、运输过程中的散失，并采用有效处置的方案和技术。首先从有用物料回收再利用着眼，化废为宝，既回收一部分资源，又减轻处置负荷，对目前还不能回收利用的，应遵循无害化处置原则进行有效处置。</w:t>
            </w:r>
          </w:p>
          <w:p w14:paraId="41F38214">
            <w:pPr>
              <w:tabs>
                <w:tab w:val="left" w:pos="4586"/>
                <w:tab w:val="left" w:pos="5786"/>
              </w:tabs>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根据国家《危险废物收集贮存运输技术规范》（HJ2025-2012）和《危险废物贮存污染控制标准》（GB18597-2023）的有关规定进行危废的收集、贮存、转运、处置。具体措施如下：</w:t>
            </w:r>
          </w:p>
          <w:p w14:paraId="35D21068">
            <w:pPr>
              <w:tabs>
                <w:tab w:val="left" w:pos="4586"/>
                <w:tab w:val="left" w:pos="5786"/>
              </w:tabs>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（1）危险废物贮存场所要求</w:t>
            </w:r>
          </w:p>
          <w:p w14:paraId="56CC4923">
            <w:pPr>
              <w:pStyle w:val="18"/>
              <w:spacing w:line="240" w:lineRule="auto"/>
              <w:jc w:val="center"/>
              <w:rPr>
                <w:rFonts w:ascii="宋体"/>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表5-</w:t>
            </w:r>
            <w:r>
              <w:rPr>
                <w:rFonts w:hint="eastAsia"/>
                <w:b/>
                <w:color w:val="000000" w:themeColor="text1"/>
                <w:sz w:val="24"/>
                <w:highlight w:val="none"/>
                <w14:textFill>
                  <w14:solidFill>
                    <w14:schemeClr w14:val="tx1"/>
                  </w14:solidFill>
                </w14:textFill>
              </w:rPr>
              <w:t>3</w:t>
            </w:r>
            <w:r>
              <w:rPr>
                <w:b/>
                <w:color w:val="000000" w:themeColor="text1"/>
                <w:sz w:val="24"/>
                <w:highlight w:val="none"/>
                <w14:textFill>
                  <w14:solidFill>
                    <w14:schemeClr w14:val="tx1"/>
                  </w14:solidFill>
                </w14:textFill>
              </w:rPr>
              <w:t xml:space="preserve">  </w:t>
            </w:r>
            <w:r>
              <w:rPr>
                <w:rFonts w:hint="eastAsia"/>
                <w:b/>
                <w:color w:val="000000" w:themeColor="text1"/>
                <w:sz w:val="24"/>
                <w:highlight w:val="none"/>
                <w:lang w:val="en-US" w:eastAsia="zh-CN"/>
                <w14:textFill>
                  <w14:solidFill>
                    <w14:schemeClr w14:val="tx1"/>
                  </w14:solidFill>
                </w14:textFill>
              </w:rPr>
              <w:t>危废舱</w:t>
            </w:r>
            <w:r>
              <w:rPr>
                <w:rFonts w:hint="eastAsia" w:ascii="宋体"/>
                <w:b/>
                <w:color w:val="000000" w:themeColor="text1"/>
                <w:sz w:val="24"/>
                <w:highlight w:val="none"/>
                <w14:textFill>
                  <w14:solidFill>
                    <w14:schemeClr w14:val="tx1"/>
                  </w14:solidFill>
                </w14:textFill>
              </w:rPr>
              <w:t>建设要求</w:t>
            </w:r>
            <w:r>
              <w:rPr>
                <w:rFonts w:ascii="宋体"/>
                <w:b/>
                <w:color w:val="000000" w:themeColor="text1"/>
                <w:sz w:val="24"/>
                <w:highlight w:val="none"/>
                <w14:textFill>
                  <w14:solidFill>
                    <w14:schemeClr w14:val="tx1"/>
                  </w14:solidFill>
                </w14:textFill>
              </w:rPr>
              <w:t>一览表</w:t>
            </w:r>
          </w:p>
          <w:tbl>
            <w:tblPr>
              <w:tblStyle w:val="32"/>
              <w:tblW w:w="829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33"/>
              <w:gridCol w:w="7765"/>
            </w:tblGrid>
            <w:tr w14:paraId="20C77B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761E9802">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6</w:t>
                  </w:r>
                </w:p>
              </w:tc>
              <w:tc>
                <w:tcPr>
                  <w:tcW w:w="4678" w:type="pct"/>
                  <w:vAlign w:val="center"/>
                </w:tcPr>
                <w:p w14:paraId="0EBA6BD5">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贮存设施污染控制要求</w:t>
                  </w:r>
                </w:p>
              </w:tc>
            </w:tr>
            <w:tr w14:paraId="6A5CC2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1FD8105F">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6.1</w:t>
                  </w:r>
                </w:p>
              </w:tc>
              <w:tc>
                <w:tcPr>
                  <w:tcW w:w="4678" w:type="pct"/>
                  <w:vAlign w:val="center"/>
                </w:tcPr>
                <w:p w14:paraId="3EF8D052">
                  <w:pPr>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一般规定</w:t>
                  </w:r>
                </w:p>
              </w:tc>
            </w:tr>
            <w:tr w14:paraId="79BF3D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039A3FB0">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rStyle w:val="35"/>
                      <w:b w:val="0"/>
                      <w:bCs/>
                      <w:snapToGrid w:val="0"/>
                      <w:color w:val="000000" w:themeColor="text1"/>
                      <w:szCs w:val="21"/>
                      <w:highlight w:val="none"/>
                      <w:shd w:val="clear" w:color="auto" w:fill="FFFFFF"/>
                      <w14:textFill>
                        <w14:solidFill>
                          <w14:schemeClr w14:val="tx1"/>
                        </w14:solidFill>
                      </w14:textFill>
                    </w:rPr>
                    <w:t>6.1.1</w:t>
                  </w:r>
                </w:p>
              </w:tc>
              <w:tc>
                <w:tcPr>
                  <w:tcW w:w="4678" w:type="pct"/>
                  <w:vAlign w:val="center"/>
                </w:tcPr>
                <w:p w14:paraId="4F89EFBE">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贮存设施应根据危险废物的形态、物理化学性质、包装形式和污染物迁移途径，采取必要的防风、防晒、防雨、防漏、防渗、防腐以及其他环境污染防治措施，不应露天堆放危险废物。</w:t>
                  </w:r>
                </w:p>
              </w:tc>
            </w:tr>
            <w:tr w14:paraId="367041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38AE77D5">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rStyle w:val="35"/>
                      <w:b w:val="0"/>
                      <w:bCs/>
                      <w:snapToGrid w:val="0"/>
                      <w:color w:val="000000" w:themeColor="text1"/>
                      <w:szCs w:val="21"/>
                      <w:highlight w:val="none"/>
                      <w:shd w:val="clear" w:color="auto" w:fill="FFFFFF"/>
                      <w14:textFill>
                        <w14:solidFill>
                          <w14:schemeClr w14:val="tx1"/>
                        </w14:solidFill>
                      </w14:textFill>
                    </w:rPr>
                    <w:t>6.1.2</w:t>
                  </w:r>
                </w:p>
              </w:tc>
              <w:tc>
                <w:tcPr>
                  <w:tcW w:w="4678" w:type="pct"/>
                  <w:vAlign w:val="center"/>
                </w:tcPr>
                <w:p w14:paraId="1837F9A1">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贮存设施应根据危险废物的类别、数量、形态、物理化学性质和污染防治等要求设置必要的贮存分区，避免不相容的危险废物接触、混合。</w:t>
                  </w:r>
                </w:p>
              </w:tc>
            </w:tr>
            <w:tr w14:paraId="09D8FB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0B89AA78">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rStyle w:val="35"/>
                      <w:b w:val="0"/>
                      <w:bCs/>
                      <w:snapToGrid w:val="0"/>
                      <w:color w:val="000000" w:themeColor="text1"/>
                      <w:szCs w:val="21"/>
                      <w:highlight w:val="none"/>
                      <w:shd w:val="clear" w:color="auto" w:fill="FFFFFF"/>
                      <w14:textFill>
                        <w14:solidFill>
                          <w14:schemeClr w14:val="tx1"/>
                        </w14:solidFill>
                      </w14:textFill>
                    </w:rPr>
                    <w:t>6.1.3</w:t>
                  </w:r>
                </w:p>
              </w:tc>
              <w:tc>
                <w:tcPr>
                  <w:tcW w:w="4678" w:type="pct"/>
                  <w:vAlign w:val="center"/>
                </w:tcPr>
                <w:p w14:paraId="3B5D6ADA">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贮存设施或贮存分区内地面、墙面裙脚、堵截泄漏的围堰、接触危险废物的隔板和墙体等应采用坚固的材料建造，表面无裂缝。</w:t>
                  </w:r>
                </w:p>
              </w:tc>
            </w:tr>
            <w:tr w14:paraId="653608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64464914">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rStyle w:val="35"/>
                      <w:b w:val="0"/>
                      <w:bCs/>
                      <w:snapToGrid w:val="0"/>
                      <w:color w:val="000000" w:themeColor="text1"/>
                      <w:szCs w:val="21"/>
                      <w:highlight w:val="none"/>
                      <w:shd w:val="clear" w:color="auto" w:fill="FFFFFF"/>
                      <w14:textFill>
                        <w14:solidFill>
                          <w14:schemeClr w14:val="tx1"/>
                        </w14:solidFill>
                      </w14:textFill>
                    </w:rPr>
                    <w:t>6.1.4</w:t>
                  </w:r>
                </w:p>
              </w:tc>
              <w:tc>
                <w:tcPr>
                  <w:tcW w:w="4678" w:type="pct"/>
                  <w:vAlign w:val="center"/>
                </w:tcPr>
                <w:p w14:paraId="776E801E">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bCs/>
                      <w:snapToGrid w:val="0"/>
                      <w:color w:val="000000" w:themeColor="text1"/>
                      <w:kern w:val="0"/>
                      <w:szCs w:val="21"/>
                      <w:highlight w:val="none"/>
                      <w:vertAlign w:val="superscript"/>
                      <w:lang w:bidi="ar"/>
                      <w14:textFill>
                        <w14:solidFill>
                          <w14:schemeClr w14:val="tx1"/>
                        </w14:solidFill>
                      </w14:textFill>
                    </w:rPr>
                    <w:t>-7</w:t>
                  </w:r>
                  <w:r>
                    <w:rPr>
                      <w:bCs/>
                      <w:snapToGrid w:val="0"/>
                      <w:color w:val="000000" w:themeColor="text1"/>
                      <w:kern w:val="0"/>
                      <w:szCs w:val="21"/>
                      <w:highlight w:val="none"/>
                      <w:lang w:bidi="ar"/>
                      <w14:textFill>
                        <w14:solidFill>
                          <w14:schemeClr w14:val="tx1"/>
                        </w14:solidFill>
                      </w14:textFill>
                    </w:rPr>
                    <w:t>cm/s），或至少2mm厚高密度聚乙烯膜等人工防渗材料（渗透系数不大于10</w:t>
                  </w:r>
                  <w:r>
                    <w:rPr>
                      <w:bCs/>
                      <w:snapToGrid w:val="0"/>
                      <w:color w:val="000000" w:themeColor="text1"/>
                      <w:kern w:val="0"/>
                      <w:szCs w:val="21"/>
                      <w:highlight w:val="none"/>
                      <w:vertAlign w:val="superscript"/>
                      <w:lang w:bidi="ar"/>
                      <w14:textFill>
                        <w14:solidFill>
                          <w14:schemeClr w14:val="tx1"/>
                        </w14:solidFill>
                      </w14:textFill>
                    </w:rPr>
                    <w:t>-10</w:t>
                  </w:r>
                  <w:r>
                    <w:rPr>
                      <w:bCs/>
                      <w:snapToGrid w:val="0"/>
                      <w:color w:val="000000" w:themeColor="text1"/>
                      <w:kern w:val="0"/>
                      <w:szCs w:val="21"/>
                      <w:highlight w:val="none"/>
                      <w:lang w:bidi="ar"/>
                      <w14:textFill>
                        <w14:solidFill>
                          <w14:schemeClr w14:val="tx1"/>
                        </w14:solidFill>
                      </w14:textFill>
                    </w:rPr>
                    <w:t>cm/s），或其他防渗性能等效的材料。</w:t>
                  </w:r>
                </w:p>
              </w:tc>
            </w:tr>
            <w:tr w14:paraId="2369F1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64FB296F">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rStyle w:val="35"/>
                      <w:b w:val="0"/>
                      <w:bCs/>
                      <w:snapToGrid w:val="0"/>
                      <w:color w:val="000000" w:themeColor="text1"/>
                      <w:szCs w:val="21"/>
                      <w:highlight w:val="none"/>
                      <w:shd w:val="clear" w:color="auto" w:fill="FFFFFF"/>
                      <w14:textFill>
                        <w14:solidFill>
                          <w14:schemeClr w14:val="tx1"/>
                        </w14:solidFill>
                      </w14:textFill>
                    </w:rPr>
                    <w:t>6.1.5</w:t>
                  </w:r>
                </w:p>
              </w:tc>
              <w:tc>
                <w:tcPr>
                  <w:tcW w:w="4678" w:type="pct"/>
                  <w:vAlign w:val="center"/>
                </w:tcPr>
                <w:p w14:paraId="12716630">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同一贮存设施宜采用相同的防渗、防腐工艺（包括防渗、防腐结构或材料），防渗、防腐材料应覆盖所有可能与废物及其渗滤液、渗漏液等接触的构筑物表面；采用不同防渗、防腐工艺应分别建设贮存分区。</w:t>
                  </w:r>
                </w:p>
              </w:tc>
            </w:tr>
            <w:tr w14:paraId="3354E5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32598F87">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rStyle w:val="35"/>
                      <w:b w:val="0"/>
                      <w:bCs/>
                      <w:snapToGrid w:val="0"/>
                      <w:color w:val="000000" w:themeColor="text1"/>
                      <w:szCs w:val="21"/>
                      <w:highlight w:val="none"/>
                      <w:shd w:val="clear" w:color="auto" w:fill="FFFFFF"/>
                      <w14:textFill>
                        <w14:solidFill>
                          <w14:schemeClr w14:val="tx1"/>
                        </w14:solidFill>
                      </w14:textFill>
                    </w:rPr>
                    <w:t>6.1.6</w:t>
                  </w:r>
                </w:p>
              </w:tc>
              <w:tc>
                <w:tcPr>
                  <w:tcW w:w="4678" w:type="pct"/>
                  <w:vAlign w:val="center"/>
                </w:tcPr>
                <w:p w14:paraId="30E3EF02">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贮存设施应采取技术和管理措施防止无关人员进入。</w:t>
                  </w:r>
                </w:p>
              </w:tc>
            </w:tr>
            <w:tr w14:paraId="4E535D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AFD439E">
                  <w:pPr>
                    <w:widowControl/>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6.2</w:t>
                  </w:r>
                </w:p>
              </w:tc>
              <w:tc>
                <w:tcPr>
                  <w:tcW w:w="4678" w:type="pct"/>
                  <w:vAlign w:val="center"/>
                </w:tcPr>
                <w:p w14:paraId="4117EFB2">
                  <w:pPr>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贮存库</w:t>
                  </w:r>
                </w:p>
              </w:tc>
            </w:tr>
            <w:tr w14:paraId="05BF4E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6F3E744A">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6.2.1</w:t>
                  </w:r>
                </w:p>
              </w:tc>
              <w:tc>
                <w:tcPr>
                  <w:tcW w:w="4678" w:type="pct"/>
                  <w:vAlign w:val="center"/>
                </w:tcPr>
                <w:p w14:paraId="4A003A09">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贮存库内不同贮存分区之间应采取隔离措施。隔离措施可根据危险废物特性采用过道、隔板或隔墙等方式。</w:t>
                  </w:r>
                </w:p>
              </w:tc>
            </w:tr>
            <w:tr w14:paraId="468AEE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1735448D">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6.2.2</w:t>
                  </w:r>
                </w:p>
              </w:tc>
              <w:tc>
                <w:tcPr>
                  <w:tcW w:w="4678" w:type="pct"/>
                  <w:vAlign w:val="center"/>
                </w:tcPr>
                <w:p w14:paraId="71939A14">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tc>
            </w:tr>
            <w:tr w14:paraId="4BF6EF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AF3FF33">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6.2.3</w:t>
                  </w:r>
                </w:p>
              </w:tc>
              <w:tc>
                <w:tcPr>
                  <w:tcW w:w="4678" w:type="pct"/>
                  <w:vAlign w:val="center"/>
                </w:tcPr>
                <w:p w14:paraId="5D922DE1">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贮存易产生粉尘、VOCs、酸雾、有毒有害大气污染物和刺激性气味气体的危险废物贮存库，应设置气体收集装置和气体净化设施；气体净化设施的排气筒高度应符合GB16297要求。</w:t>
                  </w:r>
                </w:p>
              </w:tc>
            </w:tr>
            <w:tr w14:paraId="4DBADD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B44396B">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7</w:t>
                  </w:r>
                </w:p>
              </w:tc>
              <w:tc>
                <w:tcPr>
                  <w:tcW w:w="4678" w:type="pct"/>
                  <w:vAlign w:val="center"/>
                </w:tcPr>
                <w:p w14:paraId="635BA44C">
                  <w:pPr>
                    <w:widowControl/>
                    <w:adjustRightInd w:val="0"/>
                    <w:snapToGrid w:val="0"/>
                    <w:ind w:left="-63" w:leftChars="-30" w:right="-63" w:rightChars="-30"/>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容器和包装物污染控制要求</w:t>
                  </w:r>
                </w:p>
              </w:tc>
            </w:tr>
            <w:tr w14:paraId="5372BA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14BF8668">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7.1</w:t>
                  </w:r>
                </w:p>
              </w:tc>
              <w:tc>
                <w:tcPr>
                  <w:tcW w:w="4678" w:type="pct"/>
                  <w:vAlign w:val="center"/>
                </w:tcPr>
                <w:p w14:paraId="12940439">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容器和包装物材质、内衬应与盛装的危险废物相容。</w:t>
                  </w:r>
                </w:p>
              </w:tc>
            </w:tr>
            <w:tr w14:paraId="078E44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7360F8C7">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7.2</w:t>
                  </w:r>
                </w:p>
              </w:tc>
              <w:tc>
                <w:tcPr>
                  <w:tcW w:w="4678" w:type="pct"/>
                  <w:vAlign w:val="center"/>
                </w:tcPr>
                <w:p w14:paraId="6A34D2F7">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针对不同类别、形态、物理化学性质的危险废物，其容器和包装物应满足相应的防渗、防漏、防腐和强度等要求。</w:t>
                  </w:r>
                </w:p>
              </w:tc>
            </w:tr>
            <w:tr w14:paraId="7944FF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77E66BCA">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7.3</w:t>
                  </w:r>
                </w:p>
              </w:tc>
              <w:tc>
                <w:tcPr>
                  <w:tcW w:w="4678" w:type="pct"/>
                  <w:vAlign w:val="center"/>
                </w:tcPr>
                <w:p w14:paraId="5DC2124D">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硬质容器和包装物及其支护结构堆叠码放时不应有明显变形，无破损泄漏。</w:t>
                  </w:r>
                </w:p>
              </w:tc>
            </w:tr>
            <w:tr w14:paraId="685151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6715F732">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7.4</w:t>
                  </w:r>
                </w:p>
              </w:tc>
              <w:tc>
                <w:tcPr>
                  <w:tcW w:w="4678" w:type="pct"/>
                  <w:vAlign w:val="center"/>
                </w:tcPr>
                <w:p w14:paraId="50B91B18">
                  <w:pPr>
                    <w:widowControl/>
                    <w:adjustRightInd w:val="0"/>
                    <w:snapToGrid w:val="0"/>
                    <w:ind w:left="-63" w:leftChars="-30" w:right="-63" w:rightChars="-30"/>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柔性容器和包装物堆叠码放时应封口严密，无破损泄漏。</w:t>
                  </w:r>
                </w:p>
              </w:tc>
            </w:tr>
            <w:tr w14:paraId="428D1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129FE1DB">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7.5</w:t>
                  </w:r>
                </w:p>
              </w:tc>
              <w:tc>
                <w:tcPr>
                  <w:tcW w:w="4678" w:type="pct"/>
                  <w:vAlign w:val="center"/>
                </w:tcPr>
                <w:p w14:paraId="1AA83885">
                  <w:pPr>
                    <w:widowControl/>
                    <w:adjustRightInd w:val="0"/>
                    <w:snapToGrid w:val="0"/>
                    <w:ind w:left="-63" w:leftChars="-30" w:right="-63" w:rightChars="-30"/>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使用容器盛装液态、半固态危险废物时，容器内部应留有适当的空间，以适应因温度变化等可能引发的收缩和膨胀，防止其导致容器渗漏或永久变形。</w:t>
                  </w:r>
                </w:p>
              </w:tc>
            </w:tr>
            <w:tr w14:paraId="6A18F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397982D4">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7.6</w:t>
                  </w:r>
                </w:p>
              </w:tc>
              <w:tc>
                <w:tcPr>
                  <w:tcW w:w="4678" w:type="pct"/>
                  <w:vAlign w:val="center"/>
                </w:tcPr>
                <w:p w14:paraId="059CC407">
                  <w:pPr>
                    <w:widowControl/>
                    <w:adjustRightInd w:val="0"/>
                    <w:snapToGrid w:val="0"/>
                    <w:ind w:left="-63" w:leftChars="-30" w:right="-63" w:rightChars="-30"/>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容器和包装物外表面应保持清洁。</w:t>
                  </w:r>
                </w:p>
              </w:tc>
            </w:tr>
            <w:tr w14:paraId="2ED79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C028238">
                  <w:pPr>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szCs w:val="21"/>
                      <w:highlight w:val="none"/>
                      <w14:textFill>
                        <w14:solidFill>
                          <w14:schemeClr w14:val="tx1"/>
                        </w14:solidFill>
                      </w14:textFill>
                    </w:rPr>
                    <w:t>8</w:t>
                  </w:r>
                </w:p>
              </w:tc>
              <w:tc>
                <w:tcPr>
                  <w:tcW w:w="4678" w:type="pct"/>
                  <w:vAlign w:val="center"/>
                </w:tcPr>
                <w:p w14:paraId="674A7782">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贮存过程污染控制要求</w:t>
                  </w:r>
                </w:p>
              </w:tc>
            </w:tr>
            <w:tr w14:paraId="3433C3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1F9EE3C3">
                  <w:pPr>
                    <w:widowControl/>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8.1</w:t>
                  </w:r>
                </w:p>
              </w:tc>
              <w:tc>
                <w:tcPr>
                  <w:tcW w:w="4678" w:type="pct"/>
                  <w:vAlign w:val="center"/>
                </w:tcPr>
                <w:p w14:paraId="2D947AB2">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一般规定</w:t>
                  </w:r>
                </w:p>
              </w:tc>
            </w:tr>
            <w:tr w14:paraId="491575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40E9625C">
                  <w:pPr>
                    <w:widowControl/>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8.1.1</w:t>
                  </w:r>
                </w:p>
              </w:tc>
              <w:tc>
                <w:tcPr>
                  <w:tcW w:w="4678" w:type="pct"/>
                  <w:vAlign w:val="center"/>
                </w:tcPr>
                <w:p w14:paraId="546F3372">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在常温常压下不易水解、不易挥发的固态危险废物可分类堆放贮存，其他固态危险废物应装入容器或包装物内贮存。</w:t>
                  </w:r>
                </w:p>
              </w:tc>
            </w:tr>
            <w:tr w14:paraId="7E5D12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75AEDCD">
                  <w:pPr>
                    <w:widowControl/>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8.1.2</w:t>
                  </w:r>
                </w:p>
              </w:tc>
              <w:tc>
                <w:tcPr>
                  <w:tcW w:w="4678" w:type="pct"/>
                  <w:vAlign w:val="center"/>
                </w:tcPr>
                <w:p w14:paraId="5661BB58">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液态危险废物应装入容器内贮存，或直接采用贮存池、贮存罐区贮存。</w:t>
                  </w:r>
                </w:p>
              </w:tc>
            </w:tr>
            <w:tr w14:paraId="0E7543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38AA34A">
                  <w:pPr>
                    <w:widowControl/>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8.1.3</w:t>
                  </w:r>
                </w:p>
              </w:tc>
              <w:tc>
                <w:tcPr>
                  <w:tcW w:w="4678" w:type="pct"/>
                  <w:vAlign w:val="center"/>
                </w:tcPr>
                <w:p w14:paraId="08A71FA2">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半固态危险废物应装入容器或包装袋内贮存，或直接采用贮存池贮存。</w:t>
                  </w:r>
                </w:p>
              </w:tc>
            </w:tr>
            <w:tr w14:paraId="518C4F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43B8A5F0">
                  <w:pPr>
                    <w:widowControl/>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8.1.4</w:t>
                  </w:r>
                </w:p>
              </w:tc>
              <w:tc>
                <w:tcPr>
                  <w:tcW w:w="4678" w:type="pct"/>
                  <w:vAlign w:val="center"/>
                </w:tcPr>
                <w:p w14:paraId="1DC2B451">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具有热塑性的危险废物应装入容器或包装袋内进行贮存。</w:t>
                  </w:r>
                </w:p>
              </w:tc>
            </w:tr>
            <w:tr w14:paraId="77CB92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0EE15D62">
                  <w:pPr>
                    <w:widowControl/>
                    <w:adjustRightInd w:val="0"/>
                    <w:snapToGrid w:val="0"/>
                    <w:ind w:left="-63" w:leftChars="-30" w:right="-63" w:rightChars="-30"/>
                    <w:jc w:val="center"/>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8.1.5</w:t>
                  </w:r>
                </w:p>
              </w:tc>
              <w:tc>
                <w:tcPr>
                  <w:tcW w:w="4678" w:type="pct"/>
                  <w:vAlign w:val="center"/>
                </w:tcPr>
                <w:p w14:paraId="76C828A1">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易产生粉尘、VOCs、酸雾、有毒有害大气污染物和刺激性气味气体的危险废物应装入闭口容器或包装物内贮存。</w:t>
                  </w:r>
                </w:p>
              </w:tc>
            </w:tr>
            <w:tr w14:paraId="5F1883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7CEE59B">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8.1.6</w:t>
                  </w:r>
                </w:p>
              </w:tc>
              <w:tc>
                <w:tcPr>
                  <w:tcW w:w="4678" w:type="pct"/>
                  <w:vAlign w:val="center"/>
                </w:tcPr>
                <w:p w14:paraId="374B4EBD">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危险废物贮存过程中易产生粉尘等无组织排放的，应采取抑尘等有效措施。</w:t>
                  </w:r>
                </w:p>
              </w:tc>
            </w:tr>
            <w:tr w14:paraId="25C5BB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4A89D7B7">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w:t>
                  </w:r>
                </w:p>
              </w:tc>
              <w:tc>
                <w:tcPr>
                  <w:tcW w:w="4678" w:type="pct"/>
                  <w:vAlign w:val="center"/>
                </w:tcPr>
                <w:p w14:paraId="25255F4C">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贮存设施运行环境管理要求</w:t>
                  </w:r>
                </w:p>
              </w:tc>
            </w:tr>
            <w:tr w14:paraId="4E4A09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2DC85536">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8.2.1</w:t>
                  </w:r>
                </w:p>
              </w:tc>
              <w:tc>
                <w:tcPr>
                  <w:tcW w:w="4678" w:type="pct"/>
                  <w:vAlign w:val="center"/>
                </w:tcPr>
                <w:p w14:paraId="7979BCB9">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危险废物存入贮存设施前应对危险废物类别和特性与危险废物标签等危险废物识别标志的一致性进行核验，不一致的或类别、特性不明的不应存入。</w:t>
                  </w:r>
                </w:p>
              </w:tc>
            </w:tr>
            <w:tr w14:paraId="4F623A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09623773">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8.2.2</w:t>
                  </w:r>
                </w:p>
              </w:tc>
              <w:tc>
                <w:tcPr>
                  <w:tcW w:w="4678" w:type="pct"/>
                  <w:vAlign w:val="center"/>
                </w:tcPr>
                <w:p w14:paraId="17F5E516">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 xml:space="preserve">应定期检查危险废物的贮存状况，及时清理贮存设施地面，更换破损泄漏的危险废物贮存容器和包装物，保证堆存危险废物的防雨、防风、防扬尘等设施功能完好。 </w:t>
                  </w:r>
                </w:p>
              </w:tc>
            </w:tr>
            <w:tr w14:paraId="589EA8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065FEC75">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8.2.3</w:t>
                  </w:r>
                </w:p>
              </w:tc>
              <w:tc>
                <w:tcPr>
                  <w:tcW w:w="4678" w:type="pct"/>
                  <w:vAlign w:val="center"/>
                </w:tcPr>
                <w:p w14:paraId="28FEF8E1">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作业设备及车辆等结束作业离开贮存设施时，应对其残留的危险废物进行清理，清理的废物或清洗废水应收集处理。</w:t>
                  </w:r>
                </w:p>
              </w:tc>
            </w:tr>
            <w:tr w14:paraId="02ACD8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9AB86A2">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8.2.4</w:t>
                  </w:r>
                </w:p>
              </w:tc>
              <w:tc>
                <w:tcPr>
                  <w:tcW w:w="4678" w:type="pct"/>
                  <w:vAlign w:val="center"/>
                </w:tcPr>
                <w:p w14:paraId="2458EDF0">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 xml:space="preserve">贮存设施运行期间，应按国家有关标准和规定建立危险废物管理台账并保存。 </w:t>
                  </w:r>
                </w:p>
              </w:tc>
            </w:tr>
            <w:tr w14:paraId="1A9D2C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3BE8FF41">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8.2.5</w:t>
                  </w:r>
                </w:p>
              </w:tc>
              <w:tc>
                <w:tcPr>
                  <w:tcW w:w="4678" w:type="pct"/>
                  <w:vAlign w:val="center"/>
                </w:tcPr>
                <w:p w14:paraId="7495319C">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贮存设施所有者或运营者应建立贮存设施环境管理制度、管理人员岗位职责制度、设施运行操作制度、人员岗位培训制度等。</w:t>
                  </w:r>
                </w:p>
              </w:tc>
            </w:tr>
            <w:tr w14:paraId="15D506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1AB0BF3A">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8.2.6</w:t>
                  </w:r>
                </w:p>
              </w:tc>
              <w:tc>
                <w:tcPr>
                  <w:tcW w:w="4678" w:type="pct"/>
                  <w:vAlign w:val="center"/>
                </w:tcPr>
                <w:p w14:paraId="09A4E43F">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贮存设施所有者或运营者应依据国家土壤和地下水污染防治的有关规定，结合贮存设施特点建立土壤和地下水污染隐患排查制度，并定期开展隐患排查；发现隐患应及时采取措施消除隐患，并建立档案。</w:t>
                  </w:r>
                </w:p>
              </w:tc>
            </w:tr>
            <w:tr w14:paraId="0E46C2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285401EC">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8.2.7</w:t>
                  </w:r>
                </w:p>
              </w:tc>
              <w:tc>
                <w:tcPr>
                  <w:tcW w:w="4678" w:type="pct"/>
                  <w:vAlign w:val="center"/>
                </w:tcPr>
                <w:p w14:paraId="39DA7EFF">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贮存设施所有者或运营者应建立贮存设施全部档案，包括设计、施工、验收、运行、监测和环境应急等，应按国家有关档案管理的法律法规进行整理和归档。</w:t>
                  </w:r>
                </w:p>
              </w:tc>
            </w:tr>
            <w:tr w14:paraId="7C7C75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4B999AC8">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8.3</w:t>
                  </w:r>
                </w:p>
              </w:tc>
              <w:tc>
                <w:tcPr>
                  <w:tcW w:w="4678" w:type="pct"/>
                  <w:vAlign w:val="center"/>
                </w:tcPr>
                <w:p w14:paraId="5ED3C013">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贮存点环境管理要求</w:t>
                  </w:r>
                </w:p>
              </w:tc>
            </w:tr>
            <w:tr w14:paraId="6F9AF0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4DB2300A">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8.3.1</w:t>
                  </w:r>
                </w:p>
              </w:tc>
              <w:tc>
                <w:tcPr>
                  <w:tcW w:w="4678" w:type="pct"/>
                  <w:vAlign w:val="center"/>
                </w:tcPr>
                <w:p w14:paraId="47E9CE44">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贮存点应具有固定的区域边界，并应采取与其他区域进行隔离的措施。</w:t>
                  </w:r>
                </w:p>
              </w:tc>
            </w:tr>
            <w:tr w14:paraId="521A30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26038AE2">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8.3.2</w:t>
                  </w:r>
                </w:p>
              </w:tc>
              <w:tc>
                <w:tcPr>
                  <w:tcW w:w="4678" w:type="pct"/>
                  <w:vAlign w:val="center"/>
                </w:tcPr>
                <w:p w14:paraId="70F3C003">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贮存点应采取防风、防雨、防晒和防止危险废物流失、扬散等措施。</w:t>
                  </w:r>
                </w:p>
              </w:tc>
            </w:tr>
            <w:tr w14:paraId="4D561D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51D579ED">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8.3.3</w:t>
                  </w:r>
                </w:p>
              </w:tc>
              <w:tc>
                <w:tcPr>
                  <w:tcW w:w="4678" w:type="pct"/>
                  <w:vAlign w:val="center"/>
                </w:tcPr>
                <w:p w14:paraId="05B35F27">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贮存点贮存的危险废物应置于容器或包装物中，不应直接散堆。</w:t>
                  </w:r>
                </w:p>
              </w:tc>
            </w:tr>
            <w:tr w14:paraId="7C82B5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7BC1477C">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8.3.4</w:t>
                  </w:r>
                </w:p>
              </w:tc>
              <w:tc>
                <w:tcPr>
                  <w:tcW w:w="4678" w:type="pct"/>
                  <w:vAlign w:val="center"/>
                </w:tcPr>
                <w:p w14:paraId="40E06B57">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贮存点应根据危险废物的形态、物理化学性质、包装形式等，采取防渗、防漏等污染防治措施或采用具有相应功能的装置。</w:t>
                  </w:r>
                </w:p>
              </w:tc>
            </w:tr>
            <w:tr w14:paraId="5E8B35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321" w:type="pct"/>
                  <w:vAlign w:val="center"/>
                </w:tcPr>
                <w:p w14:paraId="3D8776D0">
                  <w:pPr>
                    <w:widowControl/>
                    <w:adjustRightInd w:val="0"/>
                    <w:snapToGrid w:val="0"/>
                    <w:ind w:left="-63" w:leftChars="-30" w:right="-63" w:rightChars="-30"/>
                    <w:jc w:val="center"/>
                    <w:rPr>
                      <w:bCs/>
                      <w:snapToGrid w:val="0"/>
                      <w:color w:val="000000" w:themeColor="text1"/>
                      <w:kern w:val="0"/>
                      <w:szCs w:val="21"/>
                      <w:highlight w:val="none"/>
                      <w:lang w:bidi="ar"/>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8.3.5</w:t>
                  </w:r>
                </w:p>
              </w:tc>
              <w:tc>
                <w:tcPr>
                  <w:tcW w:w="4678" w:type="pct"/>
                  <w:vAlign w:val="center"/>
                </w:tcPr>
                <w:p w14:paraId="10E5E4E7">
                  <w:pPr>
                    <w:widowControl/>
                    <w:adjustRightInd w:val="0"/>
                    <w:snapToGrid w:val="0"/>
                    <w:ind w:left="-63" w:leftChars="-30" w:right="-63" w:rightChars="-30"/>
                    <w:rPr>
                      <w:bCs/>
                      <w:snapToGrid w:val="0"/>
                      <w:color w:val="000000" w:themeColor="text1"/>
                      <w:szCs w:val="21"/>
                      <w:highlight w:val="none"/>
                      <w14:textFill>
                        <w14:solidFill>
                          <w14:schemeClr w14:val="tx1"/>
                        </w14:solidFill>
                      </w14:textFill>
                    </w:rPr>
                  </w:pPr>
                  <w:r>
                    <w:rPr>
                      <w:bCs/>
                      <w:snapToGrid w:val="0"/>
                      <w:color w:val="000000" w:themeColor="text1"/>
                      <w:kern w:val="0"/>
                      <w:szCs w:val="21"/>
                      <w:highlight w:val="none"/>
                      <w:lang w:bidi="ar"/>
                      <w14:textFill>
                        <w14:solidFill>
                          <w14:schemeClr w14:val="tx1"/>
                        </w14:solidFill>
                      </w14:textFill>
                    </w:rPr>
                    <w:t>贮存点应及时清运贮存的危险废物，实时贮存量不应超过3吨。</w:t>
                  </w:r>
                </w:p>
              </w:tc>
            </w:tr>
          </w:tbl>
          <w:p w14:paraId="1D906990">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（2）危险废物转移要求</w:t>
            </w:r>
          </w:p>
          <w:p w14:paraId="482E68AB">
            <w:pPr>
              <w:wordWrap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根据国务院令第645号《危险化学品安全管理条例》《危险废物收集贮存运输技术规范》（HJ2025-2012）和《危险废物转移管理办法》（生态环境部公安部交通运</w:t>
            </w:r>
            <w:r>
              <w:rPr>
                <w:color w:val="000000" w:themeColor="text1"/>
                <w:sz w:val="24"/>
                <w:highlight w:val="none"/>
                <w14:textFill>
                  <w14:solidFill>
                    <w14:schemeClr w14:val="tx1"/>
                  </w14:solidFill>
                </w14:textFill>
              </w:rPr>
              <w:t>输部令第23号）的有关规定，在危险废物外运至处置单位时必须严格遵守表5-</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要求。</w:t>
            </w:r>
          </w:p>
          <w:p w14:paraId="37723A2B">
            <w:pPr>
              <w:pStyle w:val="18"/>
              <w:spacing w:line="240" w:lineRule="auto"/>
              <w:jc w:val="center"/>
              <w:rPr>
                <w:rFonts w:ascii="宋体"/>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表5-</w:t>
            </w:r>
            <w:r>
              <w:rPr>
                <w:rFonts w:hint="eastAsia"/>
                <w:b/>
                <w:color w:val="000000" w:themeColor="text1"/>
                <w:sz w:val="24"/>
                <w:highlight w:val="none"/>
                <w14:textFill>
                  <w14:solidFill>
                    <w14:schemeClr w14:val="tx1"/>
                  </w14:solidFill>
                </w14:textFill>
              </w:rPr>
              <w:t>4</w:t>
            </w:r>
            <w:r>
              <w:rPr>
                <w:b/>
                <w:color w:val="000000" w:themeColor="text1"/>
                <w:sz w:val="24"/>
                <w:highlight w:val="none"/>
                <w14:textFill>
                  <w14:solidFill>
                    <w14:schemeClr w14:val="tx1"/>
                  </w14:solidFill>
                </w14:textFill>
              </w:rPr>
              <w:t xml:space="preserve">  危险废</w:t>
            </w:r>
            <w:r>
              <w:rPr>
                <w:rFonts w:ascii="宋体"/>
                <w:b/>
                <w:color w:val="000000" w:themeColor="text1"/>
                <w:sz w:val="24"/>
                <w:highlight w:val="none"/>
                <w14:textFill>
                  <w14:solidFill>
                    <w14:schemeClr w14:val="tx1"/>
                  </w14:solidFill>
                </w14:textFill>
              </w:rPr>
              <w:t>物</w:t>
            </w:r>
            <w:r>
              <w:rPr>
                <w:rFonts w:hint="eastAsia" w:ascii="宋体"/>
                <w:b/>
                <w:color w:val="000000" w:themeColor="text1"/>
                <w:sz w:val="24"/>
                <w:highlight w:val="none"/>
                <w14:textFill>
                  <w14:solidFill>
                    <w14:schemeClr w14:val="tx1"/>
                  </w14:solidFill>
                </w14:textFill>
              </w:rPr>
              <w:t>转运要求</w:t>
            </w:r>
            <w:r>
              <w:rPr>
                <w:rFonts w:ascii="宋体"/>
                <w:b/>
                <w:color w:val="000000" w:themeColor="text1"/>
                <w:sz w:val="24"/>
                <w:highlight w:val="none"/>
                <w14:textFill>
                  <w14:solidFill>
                    <w14:schemeClr w14:val="tx1"/>
                  </w14:solidFill>
                </w14:textFill>
              </w:rPr>
              <w:t>一览表</w:t>
            </w:r>
          </w:p>
          <w:tbl>
            <w:tblPr>
              <w:tblStyle w:val="32"/>
              <w:tblW w:w="828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56"/>
              <w:gridCol w:w="7724"/>
            </w:tblGrid>
            <w:tr w14:paraId="712BF0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5000" w:type="pct"/>
                  <w:gridSpan w:val="2"/>
                  <w:vAlign w:val="center"/>
                </w:tcPr>
                <w:p w14:paraId="342E597D">
                  <w:pPr>
                    <w:adjustRightInd w:val="0"/>
                    <w:snapToGrid w:val="0"/>
                    <w:jc w:val="center"/>
                    <w:rPr>
                      <w:bCs/>
                      <w:color w:val="000000" w:themeColor="text1"/>
                      <w:szCs w:val="21"/>
                      <w:highlight w:val="none"/>
                      <w14:textFill>
                        <w14:solidFill>
                          <w14:schemeClr w14:val="tx1"/>
                        </w14:solidFill>
                      </w14:textFill>
                    </w:rPr>
                  </w:pPr>
                  <w:r>
                    <w:rPr>
                      <w:b/>
                      <w:color w:val="000000" w:themeColor="text1"/>
                      <w:spacing w:val="10"/>
                      <w:kern w:val="0"/>
                      <w:szCs w:val="21"/>
                      <w:highlight w:val="none"/>
                      <w14:textFill>
                        <w14:solidFill>
                          <w14:schemeClr w14:val="tx1"/>
                        </w14:solidFill>
                      </w14:textFill>
                    </w:rPr>
                    <w:t>《危险废物收集贮存运输技术规范》（HJ2025-2012）</w:t>
                  </w:r>
                </w:p>
              </w:tc>
            </w:tr>
            <w:tr w14:paraId="7C3C7F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3DB22051">
                  <w:pPr>
                    <w:widowControl/>
                    <w:adjustRightInd w:val="0"/>
                    <w:snapToGrid w:val="0"/>
                    <w:ind w:left="-42" w:leftChars="-20" w:right="-42" w:rightChars="-2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7</w:t>
                  </w:r>
                </w:p>
              </w:tc>
              <w:tc>
                <w:tcPr>
                  <w:tcW w:w="4663" w:type="pct"/>
                  <w:vAlign w:val="center"/>
                </w:tcPr>
                <w:p w14:paraId="758EA428">
                  <w:pPr>
                    <w:adjustRightInd w:val="0"/>
                    <w:snapToGrid w:val="0"/>
                    <w:jc w:val="center"/>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危险废物的运输</w:t>
                  </w:r>
                </w:p>
              </w:tc>
            </w:tr>
            <w:tr w14:paraId="63E628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37F3495B">
                  <w:pPr>
                    <w:adjustRightInd w:val="0"/>
                    <w:snapToGrid w:val="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7.1</w:t>
                  </w:r>
                </w:p>
              </w:tc>
              <w:tc>
                <w:tcPr>
                  <w:tcW w:w="4663" w:type="pct"/>
                  <w:vAlign w:val="center"/>
                </w:tcPr>
                <w:p w14:paraId="0B520067">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危险废物运输应由持有危险废物经营许可证的单位按照其许可证的经营范围组织实施，承担危险废物运输的单位应获得交通运输部门颁发的危险货物运输资质。</w:t>
                  </w:r>
                </w:p>
              </w:tc>
            </w:tr>
            <w:tr w14:paraId="183A92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0FB892A6">
                  <w:pPr>
                    <w:adjustRightInd w:val="0"/>
                    <w:snapToGrid w:val="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7.2</w:t>
                  </w:r>
                </w:p>
              </w:tc>
              <w:tc>
                <w:tcPr>
                  <w:tcW w:w="4663" w:type="pct"/>
                  <w:vAlign w:val="center"/>
                </w:tcPr>
                <w:p w14:paraId="36DEB10A">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危险废物公路运输应按照《道路危险货物运输管理规定》（交通部令</w:t>
                  </w:r>
                  <w:r>
                    <w:rPr>
                      <w:rFonts w:hint="eastAsia"/>
                      <w:bCs/>
                      <w:color w:val="000000" w:themeColor="text1"/>
                      <w:kern w:val="0"/>
                      <w:szCs w:val="21"/>
                      <w:highlight w:val="none"/>
                      <w:lang w:bidi="ar"/>
                      <w14:textFill>
                        <w14:solidFill>
                          <w14:schemeClr w14:val="tx1"/>
                        </w14:solidFill>
                      </w14:textFill>
                    </w:rPr>
                    <w:t>〔</w:t>
                  </w:r>
                  <w:r>
                    <w:rPr>
                      <w:bCs/>
                      <w:color w:val="000000" w:themeColor="text1"/>
                      <w:kern w:val="0"/>
                      <w:szCs w:val="21"/>
                      <w:highlight w:val="none"/>
                      <w:lang w:bidi="ar"/>
                      <w14:textFill>
                        <w14:solidFill>
                          <w14:schemeClr w14:val="tx1"/>
                        </w14:solidFill>
                      </w14:textFill>
                    </w:rPr>
                    <w:t>2005年</w:t>
                  </w:r>
                  <w:r>
                    <w:rPr>
                      <w:rFonts w:hint="eastAsia"/>
                      <w:bCs/>
                      <w:color w:val="000000" w:themeColor="text1"/>
                      <w:kern w:val="0"/>
                      <w:szCs w:val="21"/>
                      <w:highlight w:val="none"/>
                      <w:lang w:bidi="ar"/>
                      <w14:textFill>
                        <w14:solidFill>
                          <w14:schemeClr w14:val="tx1"/>
                        </w14:solidFill>
                      </w14:textFill>
                    </w:rPr>
                    <w:t>〕</w:t>
                  </w:r>
                  <w:r>
                    <w:rPr>
                      <w:bCs/>
                      <w:color w:val="000000" w:themeColor="text1"/>
                      <w:kern w:val="0"/>
                      <w:szCs w:val="21"/>
                      <w:highlight w:val="none"/>
                      <w:lang w:bidi="ar"/>
                      <w14:textFill>
                        <w14:solidFill>
                          <w14:schemeClr w14:val="tx1"/>
                        </w14:solidFill>
                      </w14:textFill>
                    </w:rPr>
                    <w:t>第9号）、JT617以及JT618执行。</w:t>
                  </w:r>
                </w:p>
              </w:tc>
            </w:tr>
            <w:tr w14:paraId="0206CC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1A0364CF">
                  <w:pPr>
                    <w:adjustRightInd w:val="0"/>
                    <w:snapToGrid w:val="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7.3</w:t>
                  </w:r>
                </w:p>
              </w:tc>
              <w:tc>
                <w:tcPr>
                  <w:tcW w:w="4663" w:type="pct"/>
                  <w:vAlign w:val="center"/>
                </w:tcPr>
                <w:p w14:paraId="0F3F149F">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废弃危险化学品的运输应执行《危险化学品安全管理条例》有关运输的规定。</w:t>
                  </w:r>
                </w:p>
              </w:tc>
            </w:tr>
            <w:tr w14:paraId="53A087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59EC121D">
                  <w:pPr>
                    <w:adjustRightInd w:val="0"/>
                    <w:snapToGrid w:val="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7.4</w:t>
                  </w:r>
                </w:p>
              </w:tc>
              <w:tc>
                <w:tcPr>
                  <w:tcW w:w="4663" w:type="pct"/>
                  <w:vAlign w:val="center"/>
                </w:tcPr>
                <w:p w14:paraId="507FD879">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运输单位承运危险废物时，应在危险废物包装上按照GB18597附录A设置标志，其中医疗废物包装容器上的标志应按HJ421要求设置。</w:t>
                  </w:r>
                </w:p>
              </w:tc>
            </w:tr>
            <w:tr w14:paraId="238762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5069E98B">
                  <w:pPr>
                    <w:adjustRightInd w:val="0"/>
                    <w:snapToGrid w:val="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7.5</w:t>
                  </w:r>
                </w:p>
              </w:tc>
              <w:tc>
                <w:tcPr>
                  <w:tcW w:w="4663" w:type="pct"/>
                  <w:vAlign w:val="center"/>
                </w:tcPr>
                <w:p w14:paraId="0A3161F3">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危险废物公路运输时，运输车辆应按GB13392设置车辆标志。</w:t>
                  </w:r>
                </w:p>
              </w:tc>
            </w:tr>
            <w:tr w14:paraId="06A725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1BE22214">
                  <w:pPr>
                    <w:adjustRightInd w:val="0"/>
                    <w:snapToGrid w:val="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7.6</w:t>
                  </w:r>
                </w:p>
              </w:tc>
              <w:tc>
                <w:tcPr>
                  <w:tcW w:w="4663" w:type="pct"/>
                  <w:vAlign w:val="center"/>
                </w:tcPr>
                <w:p w14:paraId="4D4223D2">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危险废物运输时的中转、装卸过程应遵守如下技术要求：</w:t>
                  </w:r>
                </w:p>
                <w:p w14:paraId="7D64FEDC">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（1）卸载区的工作人员应熟悉废物的危险特性，并配备适当的个人防护装备，装卸剧毒废物应配备特殊的防护装备。</w:t>
                  </w:r>
                </w:p>
                <w:p w14:paraId="26923A61">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（2）卸载区应配备必要的消防设备和设施，并设置明显的指示标志。</w:t>
                  </w:r>
                </w:p>
                <w:p w14:paraId="52D669D6">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（3）危险废物装卸区应设置隔离设施，液态废物卸载区应设置收集槽和缓冲罐。</w:t>
                  </w:r>
                </w:p>
              </w:tc>
            </w:tr>
            <w:tr w14:paraId="009A26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5000" w:type="pct"/>
                  <w:gridSpan w:val="2"/>
                  <w:vAlign w:val="center"/>
                </w:tcPr>
                <w:p w14:paraId="555031FA">
                  <w:pPr>
                    <w:adjustRightInd w:val="0"/>
                    <w:snapToGrid w:val="0"/>
                    <w:jc w:val="center"/>
                    <w:rPr>
                      <w:bCs/>
                      <w:color w:val="000000" w:themeColor="text1"/>
                      <w:szCs w:val="21"/>
                      <w:highlight w:val="none"/>
                      <w14:textFill>
                        <w14:solidFill>
                          <w14:schemeClr w14:val="tx1"/>
                        </w14:solidFill>
                      </w14:textFill>
                    </w:rPr>
                  </w:pPr>
                  <w:r>
                    <w:rPr>
                      <w:b/>
                      <w:color w:val="000000" w:themeColor="text1"/>
                      <w:spacing w:val="10"/>
                      <w:kern w:val="0"/>
                      <w:szCs w:val="21"/>
                      <w:highlight w:val="none"/>
                      <w14:textFill>
                        <w14:solidFill>
                          <w14:schemeClr w14:val="tx1"/>
                        </w14:solidFill>
                      </w14:textFill>
                    </w:rPr>
                    <w:t>《危险废物转移管理办法》（生态环境部公安部交通运输部</w:t>
                  </w:r>
                  <w:r>
                    <w:rPr>
                      <w:rFonts w:hint="eastAsia"/>
                      <w:b/>
                      <w:color w:val="000000" w:themeColor="text1"/>
                      <w:spacing w:val="10"/>
                      <w:kern w:val="0"/>
                      <w:szCs w:val="21"/>
                      <w:highlight w:val="none"/>
                      <w14:textFill>
                        <w14:solidFill>
                          <w14:schemeClr w14:val="tx1"/>
                        </w14:solidFill>
                      </w14:textFill>
                    </w:rPr>
                    <w:t xml:space="preserve"> </w:t>
                  </w:r>
                  <w:r>
                    <w:rPr>
                      <w:b/>
                      <w:color w:val="000000" w:themeColor="text1"/>
                      <w:spacing w:val="10"/>
                      <w:kern w:val="0"/>
                      <w:szCs w:val="21"/>
                      <w:highlight w:val="none"/>
                      <w14:textFill>
                        <w14:solidFill>
                          <w14:schemeClr w14:val="tx1"/>
                        </w14:solidFill>
                      </w14:textFill>
                    </w:rPr>
                    <w:t>部令第23号）</w:t>
                  </w:r>
                </w:p>
              </w:tc>
            </w:tr>
            <w:tr w14:paraId="27202B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34C6BEAD">
                  <w:pPr>
                    <w:adjustRightInd w:val="0"/>
                    <w:snapToGrid w:val="0"/>
                    <w:ind w:left="-63" w:leftChars="-30" w:right="-63" w:rightChars="-30"/>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第三条</w:t>
                  </w:r>
                </w:p>
              </w:tc>
              <w:tc>
                <w:tcPr>
                  <w:tcW w:w="4663" w:type="pct"/>
                  <w:vAlign w:val="center"/>
                </w:tcPr>
                <w:p w14:paraId="478DD48E">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危险废物转移应当遵循就近原则。</w:t>
                  </w:r>
                </w:p>
              </w:tc>
            </w:tr>
            <w:tr w14:paraId="2FD0DC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1832DDC5">
                  <w:pPr>
                    <w:widowControl/>
                    <w:adjustRightInd w:val="0"/>
                    <w:snapToGrid w:val="0"/>
                    <w:ind w:left="-63" w:leftChars="-30" w:right="-63" w:rightChars="-30"/>
                    <w:jc w:val="center"/>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第六条</w:t>
                  </w:r>
                </w:p>
              </w:tc>
              <w:tc>
                <w:tcPr>
                  <w:tcW w:w="4663" w:type="pct"/>
                  <w:vAlign w:val="center"/>
                </w:tcPr>
                <w:p w14:paraId="72728E7A">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转移危险废物的，应当执行危险废物转移联单制度，法律法规另有规定的除外。</w:t>
                  </w:r>
                </w:p>
              </w:tc>
            </w:tr>
            <w:tr w14:paraId="3D4E8E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7A9C705B">
                  <w:pPr>
                    <w:widowControl/>
                    <w:adjustRightInd w:val="0"/>
                    <w:snapToGrid w:val="0"/>
                    <w:ind w:left="-63" w:leftChars="-30" w:right="-63" w:rightChars="-30"/>
                    <w:jc w:val="center"/>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第七条</w:t>
                  </w:r>
                </w:p>
              </w:tc>
              <w:tc>
                <w:tcPr>
                  <w:tcW w:w="4663" w:type="pct"/>
                  <w:vAlign w:val="center"/>
                </w:tcPr>
                <w:p w14:paraId="5E8F5F79">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转移危险废物的，应当通过国家危险废物信息管理系统（以下简称信息系统）填写、运行危险废物电子转移联单，并依照国家有关规定公开危险废物转移相关污染环境防治信息。</w:t>
                  </w:r>
                </w:p>
              </w:tc>
            </w:tr>
            <w:tr w14:paraId="0EB8FE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09AD8F67">
                  <w:pPr>
                    <w:widowControl/>
                    <w:adjustRightInd w:val="0"/>
                    <w:snapToGrid w:val="0"/>
                    <w:ind w:left="-63" w:leftChars="-30" w:right="-63" w:rightChars="-30"/>
                    <w:jc w:val="center"/>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第八条</w:t>
                  </w:r>
                </w:p>
              </w:tc>
              <w:tc>
                <w:tcPr>
                  <w:tcW w:w="4663" w:type="pct"/>
                  <w:vAlign w:val="center"/>
                </w:tcPr>
                <w:p w14:paraId="626318BD">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运输危险废物的，应当遵守国家有关危险货物运输管理的规定。未经公安机关批准，危险废物运输车辆不得进入危险货物运输车辆限制通行的区域。</w:t>
                  </w:r>
                </w:p>
              </w:tc>
            </w:tr>
            <w:tr w14:paraId="7CFF54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6A198684">
                  <w:pPr>
                    <w:widowControl/>
                    <w:adjustRightInd w:val="0"/>
                    <w:snapToGrid w:val="0"/>
                    <w:ind w:left="-63" w:leftChars="-30" w:right="-63" w:rightChars="-30"/>
                    <w:jc w:val="center"/>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第九条</w:t>
                  </w:r>
                </w:p>
              </w:tc>
              <w:tc>
                <w:tcPr>
                  <w:tcW w:w="4663" w:type="pct"/>
                  <w:vAlign w:val="center"/>
                </w:tcPr>
                <w:p w14:paraId="704A78C6">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危险废物移出人、危险废物承运人、危险废物接受人（以下分别简称移出人、承运人和接受人）在危险废物转移过程中应当采取防扬散、防流失、防渗漏或者其他防止污染环境的措施，不得擅自倾倒、堆放、丢弃、遗撒危险废物，并对所造成的环境污染及生态破坏依法承担责任。</w:t>
                  </w:r>
                </w:p>
                <w:p w14:paraId="740849AD">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移出人、承运人、接受人应当依法制定突发环境事件的防范措施和应急预案，并报有关部门备案；发生危险废物突发环境事件时，应当立即采取有效措施消除或者减轻对环境的污染危害，并按相关规定向事故发生地有关部门报告，接受调查处理。</w:t>
                  </w:r>
                </w:p>
              </w:tc>
            </w:tr>
            <w:tr w14:paraId="04951F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6A5AA16C">
                  <w:pPr>
                    <w:widowControl/>
                    <w:adjustRightInd w:val="0"/>
                    <w:snapToGrid w:val="0"/>
                    <w:ind w:left="-63" w:leftChars="-30" w:right="-63" w:rightChars="-30"/>
                    <w:jc w:val="center"/>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第十条</w:t>
                  </w:r>
                </w:p>
              </w:tc>
              <w:tc>
                <w:tcPr>
                  <w:tcW w:w="4663" w:type="pct"/>
                  <w:vAlign w:val="center"/>
                </w:tcPr>
                <w:p w14:paraId="31EF991B">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移出人应当履行以下义务：</w:t>
                  </w:r>
                </w:p>
                <w:p w14:paraId="4FD177BA">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（一）对承运人或者接受人的主体资格和技术能力进行核实，依法签订书面合同，并在合同中约定运输、贮存、利用、处置危险废物的污染防治要求及相关责任；</w:t>
                  </w:r>
                </w:p>
                <w:p w14:paraId="31EAE905">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（二）制定危险废物管理计划，明确拟转移危险废物的种类、重量（数量）和流向等信息；</w:t>
                  </w:r>
                </w:p>
                <w:p w14:paraId="1BFA457A">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（三）建立危险废物管理台账，对转移的危险废物进行计量称重，如实记录、妥善保管转移危险废物的种类、重量（数量）和接收人等相关信息；</w:t>
                  </w:r>
                </w:p>
                <w:p w14:paraId="6B4818EF">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（四）填写、运行危险废物转移联单，在危险废物转移联单中如实填写移出人、承运人、</w:t>
                  </w:r>
                  <w:r>
                    <w:rPr>
                      <w:rFonts w:hint="eastAsia"/>
                      <w:bCs/>
                      <w:color w:val="000000" w:themeColor="text1"/>
                      <w:kern w:val="0"/>
                      <w:szCs w:val="21"/>
                      <w:highlight w:val="none"/>
                      <w:lang w:bidi="ar"/>
                      <w14:textFill>
                        <w14:solidFill>
                          <w14:schemeClr w14:val="tx1"/>
                        </w14:solidFill>
                      </w14:textFill>
                    </w:rPr>
                    <w:t>接收</w:t>
                  </w:r>
                  <w:r>
                    <w:rPr>
                      <w:bCs/>
                      <w:color w:val="000000" w:themeColor="text1"/>
                      <w:kern w:val="0"/>
                      <w:szCs w:val="21"/>
                      <w:highlight w:val="none"/>
                      <w:lang w:bidi="ar"/>
                      <w14:textFill>
                        <w14:solidFill>
                          <w14:schemeClr w14:val="tx1"/>
                        </w14:solidFill>
                      </w14:textFill>
                    </w:rPr>
                    <w:t>人信息，转移危险废物的种类、重量（数量）、危险特性等信息，以及突发环境事件的防范措施等；</w:t>
                  </w:r>
                </w:p>
                <w:p w14:paraId="47F16AD5">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（五）及时核实</w:t>
                  </w:r>
                  <w:r>
                    <w:rPr>
                      <w:rFonts w:hint="eastAsia"/>
                      <w:bCs/>
                      <w:color w:val="000000" w:themeColor="text1"/>
                      <w:kern w:val="0"/>
                      <w:szCs w:val="21"/>
                      <w:highlight w:val="none"/>
                      <w:lang w:bidi="ar"/>
                      <w14:textFill>
                        <w14:solidFill>
                          <w14:schemeClr w14:val="tx1"/>
                        </w14:solidFill>
                      </w14:textFill>
                    </w:rPr>
                    <w:t>接收</w:t>
                  </w:r>
                  <w:r>
                    <w:rPr>
                      <w:bCs/>
                      <w:color w:val="000000" w:themeColor="text1"/>
                      <w:kern w:val="0"/>
                      <w:szCs w:val="21"/>
                      <w:highlight w:val="none"/>
                      <w:lang w:bidi="ar"/>
                      <w14:textFill>
                        <w14:solidFill>
                          <w14:schemeClr w14:val="tx1"/>
                        </w14:solidFill>
                      </w14:textFill>
                    </w:rPr>
                    <w:t>人贮存、利用或者处置相关危险废物情况；</w:t>
                  </w:r>
                </w:p>
                <w:p w14:paraId="139C3756">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（六）法律法规规定的其他义务。</w:t>
                  </w:r>
                </w:p>
                <w:p w14:paraId="6B039C6E">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移出人应当按照国家有关要求开展危险废物鉴别。禁止将危险废物以副产品等名义提供或者委托给无危险废物经营许可证的单位或者其他生产经营者从事收集、贮存、利用、处置活动。</w:t>
                  </w:r>
                </w:p>
              </w:tc>
            </w:tr>
            <w:tr w14:paraId="6520A0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jc w:val="center"/>
              </w:trPr>
              <w:tc>
                <w:tcPr>
                  <w:tcW w:w="336" w:type="pct"/>
                  <w:vAlign w:val="center"/>
                </w:tcPr>
                <w:p w14:paraId="67D3F4C8">
                  <w:pPr>
                    <w:widowControl/>
                    <w:adjustRightInd w:val="0"/>
                    <w:snapToGrid w:val="0"/>
                    <w:ind w:left="-63" w:leftChars="-30" w:right="-63" w:rightChars="-30"/>
                    <w:jc w:val="center"/>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第十一条</w:t>
                  </w:r>
                </w:p>
              </w:tc>
              <w:tc>
                <w:tcPr>
                  <w:tcW w:w="4663" w:type="pct"/>
                  <w:vAlign w:val="center"/>
                </w:tcPr>
                <w:p w14:paraId="4962810F">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承运人应当履行以下义务：</w:t>
                  </w:r>
                </w:p>
                <w:p w14:paraId="62FE0592">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（一）核实危险废物转移联单，没有转移联单的，应当拒绝运输；</w:t>
                  </w:r>
                </w:p>
                <w:p w14:paraId="4628AC2C">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（二）填写、运行危险废物转移联单，在危险废物转移联单中如实填写承运人名称、运输工具及其营运证件号，以及运输起点和终点等运输相关信息，并与危险货物运单一并随运输工具携带；</w:t>
                  </w:r>
                </w:p>
                <w:p w14:paraId="2161F0AC">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（三）按照危险废物污染环境防治和危险货物运输相关规定运输危险废物，记录运输轨迹，防范危险废物丢失、包装破损、泄漏或者发生突发环境事件；</w:t>
                  </w:r>
                </w:p>
                <w:p w14:paraId="455AC469">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（四）将运输的危险废物运抵接受人地址，交付给危险废物转移联单上指定的接受人，并将运输情况及时告知移出人；</w:t>
                  </w:r>
                </w:p>
                <w:p w14:paraId="462DC663">
                  <w:pPr>
                    <w:widowControl/>
                    <w:adjustRightInd w:val="0"/>
                    <w:snapToGrid w:val="0"/>
                    <w:rPr>
                      <w:bCs/>
                      <w:color w:val="000000" w:themeColor="text1"/>
                      <w:szCs w:val="21"/>
                      <w:highlight w:val="none"/>
                      <w14:textFill>
                        <w14:solidFill>
                          <w14:schemeClr w14:val="tx1"/>
                        </w14:solidFill>
                      </w14:textFill>
                    </w:rPr>
                  </w:pPr>
                  <w:r>
                    <w:rPr>
                      <w:bCs/>
                      <w:color w:val="000000" w:themeColor="text1"/>
                      <w:kern w:val="0"/>
                      <w:szCs w:val="21"/>
                      <w:highlight w:val="none"/>
                      <w:lang w:bidi="ar"/>
                      <w14:textFill>
                        <w14:solidFill>
                          <w14:schemeClr w14:val="tx1"/>
                        </w14:solidFill>
                      </w14:textFill>
                    </w:rPr>
                    <w:t>（五）法律法规规定的其他义务。</w:t>
                  </w:r>
                </w:p>
              </w:tc>
            </w:tr>
          </w:tbl>
          <w:p w14:paraId="2FB754FC">
            <w:pPr>
              <w:adjustRightInd w:val="0"/>
              <w:snapToGrid w:val="0"/>
              <w:spacing w:line="360" w:lineRule="auto"/>
              <w:ind w:firstLine="480" w:firstLineChars="200"/>
              <w:textAlignment w:val="baseline"/>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通过以上措施要求，可以保证本项目产生危险废物，在收集、运输、储存时达到环保要求，不会造成二次污染及对当地环境造成不利影响。以上措施</w:t>
            </w:r>
            <w:r>
              <w:rPr>
                <w:rFonts w:hint="eastAsia"/>
                <w:color w:val="000000" w:themeColor="text1"/>
                <w:sz w:val="24"/>
                <w:highlight w:val="none"/>
                <w14:textFill>
                  <w14:solidFill>
                    <w14:schemeClr w14:val="tx1"/>
                  </w14:solidFill>
                </w14:textFill>
              </w:rPr>
              <w:t>按照《</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"https://www.mee.gov.cn/ywgz/fgbz/bz/bzwb/gthw/qtxgbz/202206/W020220630455255137316.pdf" </w:instrText>
            </w:r>
            <w:r>
              <w:rPr>
                <w:color w:val="000000" w:themeColor="text1"/>
                <w:highlight w:val="none"/>
                <w14:textFill>
                  <w14:solidFill>
                    <w14:schemeClr w14:val="tx1"/>
                  </w14:solidFill>
                </w14:textFill>
              </w:rPr>
              <w:fldChar w:fldCharType="separate"/>
            </w:r>
            <w:r>
              <w:rPr>
                <w:rFonts w:hint="eastAsia"/>
                <w:color w:val="000000" w:themeColor="text1"/>
                <w:sz w:val="24"/>
                <w:highlight w:val="none"/>
                <w14:textFill>
                  <w14:solidFill>
                    <w14:schemeClr w14:val="tx1"/>
                  </w14:solidFill>
                </w14:textFill>
              </w:rPr>
              <w:t>危险废物管理计划和管理台账制定技术导则》（HJ 1259-2022）</w:t>
            </w:r>
            <w:r>
              <w:rPr>
                <w:rFonts w:hint="eastAsia"/>
                <w:color w:val="000000" w:themeColor="text1"/>
                <w:sz w:val="24"/>
                <w:highlight w:val="none"/>
                <w14:textFill>
                  <w14:solidFill>
                    <w14:schemeClr w14:val="tx1"/>
                  </w14:solidFill>
                </w14:textFill>
              </w:rPr>
              <w:fldChar w:fldCharType="end"/>
            </w:r>
            <w:r>
              <w:rPr>
                <w:rFonts w:hint="eastAsia"/>
                <w:color w:val="000000" w:themeColor="text1"/>
                <w:sz w:val="24"/>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"https://www.mee.gov.cn/ywgz/fgbz/bz/bzwb/gthw/wxfwjbffbz/202302/W020230224650971041729.pdf" </w:instrText>
            </w:r>
            <w:r>
              <w:rPr>
                <w:color w:val="000000" w:themeColor="text1"/>
                <w:highlight w:val="none"/>
                <w14:textFill>
                  <w14:solidFill>
                    <w14:schemeClr w14:val="tx1"/>
                  </w14:solidFill>
                </w14:textFill>
              </w:rPr>
              <w:fldChar w:fldCharType="separate"/>
            </w:r>
            <w:r>
              <w:rPr>
                <w:rFonts w:hint="eastAsia"/>
                <w:color w:val="000000" w:themeColor="text1"/>
                <w:sz w:val="24"/>
                <w:highlight w:val="none"/>
                <w14:textFill>
                  <w14:solidFill>
                    <w14:schemeClr w14:val="tx1"/>
                  </w14:solidFill>
                </w14:textFill>
              </w:rPr>
              <w:t>危险废物识别标志设置技术规范》（HJ 1276-2022）</w:t>
            </w:r>
            <w:r>
              <w:rPr>
                <w:rFonts w:hint="eastAsia"/>
                <w:color w:val="000000" w:themeColor="text1"/>
                <w:sz w:val="24"/>
                <w:highlight w:val="none"/>
                <w14:textFill>
                  <w14:solidFill>
                    <w14:schemeClr w14:val="tx1"/>
                  </w14:solidFill>
                </w14:textFill>
              </w:rPr>
              <w:fldChar w:fldCharType="end"/>
            </w:r>
            <w:r>
              <w:rPr>
                <w:rFonts w:hint="eastAsia"/>
                <w:color w:val="000000" w:themeColor="text1"/>
                <w:sz w:val="24"/>
                <w:highlight w:val="none"/>
                <w14:textFill>
                  <w14:solidFill>
                    <w14:schemeClr w14:val="tx1"/>
                  </w14:solidFill>
                </w14:textFill>
              </w:rPr>
              <w:t>、《危险废物收集 贮存 运输技术规范》（HJ 2025-2012）及《危险废物转移管理办法》（2022年1月1日起施行）相关要求</w:t>
            </w:r>
            <w:r>
              <w:rPr>
                <w:color w:val="000000" w:themeColor="text1"/>
                <w:sz w:val="24"/>
                <w:highlight w:val="none"/>
                <w14:textFill>
                  <w14:solidFill>
                    <w14:schemeClr w14:val="tx1"/>
                  </w14:solidFill>
                </w14:textFill>
              </w:rPr>
              <w:t>是可行的。</w:t>
            </w:r>
          </w:p>
          <w:p w14:paraId="274403CB">
            <w:pPr>
              <w:pStyle w:val="23"/>
              <w:spacing w:line="360" w:lineRule="auto"/>
              <w:ind w:left="482" w:hanging="482"/>
              <w:rPr>
                <w:color w:val="000000" w:themeColor="text1"/>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5、运营期生态保护措施</w:t>
            </w:r>
          </w:p>
          <w:p w14:paraId="775237B8">
            <w:pPr>
              <w:wordWrap w:val="0"/>
              <w:spacing w:line="360" w:lineRule="auto"/>
              <w:ind w:firstLine="480" w:firstLineChars="200"/>
              <w:jc w:val="left"/>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在项目运行期间，要坚持利用与管护相结合的原则，经常检查。完善施工期未实施到位的植被保护措施及水土保持的工程措施。确保项目建设区内（除永久占地）地貌恢复，及植被自然恢复程度。</w:t>
            </w:r>
            <w:r>
              <w:rPr>
                <w:rFonts w:hint="eastAsia"/>
                <w:color w:val="000000" w:themeColor="text1"/>
                <w:sz w:val="24"/>
                <w:highlight w:val="none"/>
                <w14:textFill>
                  <w14:solidFill>
                    <w14:schemeClr w14:val="tx1"/>
                  </w14:solidFill>
                </w14:textFill>
              </w:rPr>
              <w:t>项目建成后，应及时对施工运输机械碾压过的土地进行恢复</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以减轻水土流失。</w:t>
            </w:r>
            <w:r>
              <w:rPr>
                <w:color w:val="000000" w:themeColor="text1"/>
                <w:sz w:val="24"/>
                <w:highlight w:val="none"/>
                <w14:textFill>
                  <w14:solidFill>
                    <w14:schemeClr w14:val="tx1"/>
                  </w14:solidFill>
                </w14:textFill>
              </w:rPr>
              <w:t>保证主体工程完成后生态恢复费用的落实和兑现。</w:t>
            </w:r>
            <w:r>
              <w:rPr>
                <w:rFonts w:hint="eastAsia" w:ascii="宋体" w:hAnsi="宋体" w:cs="宋体"/>
                <w:color w:val="000000" w:themeColor="text1"/>
                <w:kern w:val="0"/>
                <w:sz w:val="24"/>
                <w:highlight w:val="none"/>
                <w14:textFill>
                  <w14:solidFill>
                    <w14:schemeClr w14:val="tx1"/>
                  </w14:solidFill>
                </w14:textFill>
              </w:rPr>
              <w:t>建设单位在认真落实本报告提出的环境保护措施后，可达到生态保护及恢复的效果。</w:t>
            </w:r>
          </w:p>
          <w:p w14:paraId="283077CB">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6、运营期电磁环境保护措施</w:t>
            </w:r>
          </w:p>
          <w:p w14:paraId="66707A97">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（1）制定安全操作规程，加强职工安全教育，加强电磁水平监测；</w:t>
            </w:r>
          </w:p>
          <w:p w14:paraId="041BD684">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（2）对员工进行电磁环境基础知识培训，在巡检带电维修过程中，尽可能减少暴露在电磁场中的时间；</w:t>
            </w:r>
          </w:p>
          <w:p w14:paraId="3B012965">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（3）设立电磁防护安全警示标志，禁止无关人员靠近带电构架等。</w:t>
            </w:r>
          </w:p>
          <w:p w14:paraId="369DDE4F">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运营期电磁环境保护措施具体见“附录 电磁环境影响专题评价”。</w:t>
            </w:r>
          </w:p>
          <w:p w14:paraId="616655A3">
            <w:pPr>
              <w:pStyle w:val="26"/>
              <w:widowControl/>
              <w:spacing w:line="360" w:lineRule="auto"/>
              <w:rPr>
                <w:rFonts w:hint="default" w:ascii="Times New Roman" w:hAnsi="Times New Roman"/>
                <w:b/>
                <w:bCs/>
                <w:color w:val="000000" w:themeColor="text1"/>
                <w:highlight w:val="none"/>
                <w14:textFill>
                  <w14:solidFill>
                    <w14:schemeClr w14:val="tx1"/>
                  </w14:solidFill>
                </w14:textFill>
              </w:rPr>
            </w:pPr>
            <w:r>
              <w:rPr>
                <w:rFonts w:ascii="Times New Roman" w:hAnsi="Times New Roman"/>
                <w:b/>
                <w:bCs/>
                <w:color w:val="000000" w:themeColor="text1"/>
                <w:highlight w:val="none"/>
                <w14:textFill>
                  <w14:solidFill>
                    <w14:schemeClr w14:val="tx1"/>
                  </w14:solidFill>
                </w14:textFill>
              </w:rPr>
              <w:t>7、</w:t>
            </w:r>
            <w:r>
              <w:rPr>
                <w:b/>
                <w:bCs/>
                <w:color w:val="000000" w:themeColor="text1"/>
                <w:szCs w:val="32"/>
                <w:highlight w:val="none"/>
                <w14:textFill>
                  <w14:solidFill>
                    <w14:schemeClr w14:val="tx1"/>
                  </w14:solidFill>
                </w14:textFill>
              </w:rPr>
              <w:t>运营期</w:t>
            </w:r>
            <w:r>
              <w:rPr>
                <w:rFonts w:hint="default" w:ascii="Times New Roman" w:hAnsi="Times New Roman"/>
                <w:b/>
                <w:bCs/>
                <w:color w:val="000000" w:themeColor="text1"/>
                <w:highlight w:val="none"/>
                <w14:textFill>
                  <w14:solidFill>
                    <w14:schemeClr w14:val="tx1"/>
                  </w14:solidFill>
                </w14:textFill>
              </w:rPr>
              <w:t>环境风险防范措施</w:t>
            </w:r>
          </w:p>
          <w:p w14:paraId="2DF03F5C">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①</w:t>
            </w:r>
            <w:r>
              <w:rPr>
                <w:rFonts w:hint="eastAsia"/>
                <w:color w:val="000000" w:themeColor="text1"/>
                <w:sz w:val="24"/>
                <w:highlight w:val="none"/>
                <w14:textFill>
                  <w14:solidFill>
                    <w14:schemeClr w14:val="tx1"/>
                  </w14:solidFill>
                </w14:textFill>
              </w:rPr>
              <w:t>项目主变下方设置1</w:t>
            </w:r>
            <w:r>
              <w:rPr>
                <w:rFonts w:hint="eastAsia"/>
                <w:color w:val="000000" w:themeColor="text1"/>
                <w:sz w:val="24"/>
                <w:highlight w:val="none"/>
                <w:lang w:val="en-US" w:eastAsia="zh-CN"/>
                <w14:textFill>
                  <w14:solidFill>
                    <w14:schemeClr w14:val="tx1"/>
                  </w14:solidFill>
                </w14:textFill>
              </w:rPr>
              <w:t>0</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储油坑，储油坑内铺设鹅卵石，厚度大于250mm；</w:t>
            </w:r>
          </w:p>
          <w:p w14:paraId="74BB6A8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②</w:t>
            </w:r>
            <w:r>
              <w:rPr>
                <w:rFonts w:hint="eastAsia"/>
                <w:color w:val="000000" w:themeColor="text1"/>
                <w:sz w:val="24"/>
                <w:highlight w:val="none"/>
                <w14:textFill>
                  <w14:solidFill>
                    <w14:schemeClr w14:val="tx1"/>
                  </w14:solidFill>
                </w14:textFill>
              </w:rPr>
              <w:t>设置1</w:t>
            </w:r>
            <w:r>
              <w:rPr>
                <w:color w:val="000000" w:themeColor="text1"/>
                <w:sz w:val="24"/>
                <w:highlight w:val="none"/>
                <w14:textFill>
                  <w14:solidFill>
                    <w14:schemeClr w14:val="tx1"/>
                  </w14:solidFill>
                </w14:textFill>
              </w:rPr>
              <w:t>座</w:t>
            </w:r>
            <w:r>
              <w:rPr>
                <w:rFonts w:hint="eastAsia"/>
                <w:color w:val="000000" w:themeColor="text1"/>
                <w:sz w:val="24"/>
                <w:highlight w:val="none"/>
                <w:lang w:val="en-US" w:eastAsia="zh-CN"/>
                <w14:textFill>
                  <w14:solidFill>
                    <w14:schemeClr w14:val="tx1"/>
                  </w14:solidFill>
                </w14:textFill>
              </w:rPr>
              <w:t>有效</w:t>
            </w:r>
            <w:r>
              <w:rPr>
                <w:color w:val="000000" w:themeColor="text1"/>
                <w:sz w:val="24"/>
                <w:highlight w:val="none"/>
                <w14:textFill>
                  <w14:solidFill>
                    <w14:schemeClr w14:val="tx1"/>
                  </w14:solidFill>
                </w14:textFill>
              </w:rPr>
              <w:t>容积为</w:t>
            </w:r>
            <w:r>
              <w:rPr>
                <w:rFonts w:hint="eastAsia"/>
                <w:color w:val="000000" w:themeColor="text1"/>
                <w:sz w:val="24"/>
                <w:highlight w:val="none"/>
                <w:lang w:val="en-US" w:eastAsia="zh-CN"/>
                <w14:textFill>
                  <w14:solidFill>
                    <w14:schemeClr w14:val="tx1"/>
                  </w14:solidFill>
                </w14:textFill>
              </w:rPr>
              <w:t>40</w:t>
            </w:r>
            <w:r>
              <w:rPr>
                <w:color w:val="000000" w:themeColor="text1"/>
                <w:sz w:val="24"/>
                <w:highlight w:val="none"/>
                <w14:textFill>
                  <w14:solidFill>
                    <w14:schemeClr w14:val="tx1"/>
                  </w14:solidFill>
                </w14:textFill>
              </w:rPr>
              <w:t>m</w:t>
            </w:r>
            <w:r>
              <w:rPr>
                <w:color w:val="000000" w:themeColor="text1"/>
                <w:sz w:val="24"/>
                <w:highlight w:val="none"/>
                <w:vertAlign w:val="superscript"/>
                <w14:textFill>
                  <w14:solidFill>
                    <w14:schemeClr w14:val="tx1"/>
                  </w14:solidFill>
                </w14:textFill>
              </w:rPr>
              <w:t>3</w:t>
            </w:r>
            <w:r>
              <w:rPr>
                <w:color w:val="000000" w:themeColor="text1"/>
                <w:sz w:val="24"/>
                <w:highlight w:val="none"/>
                <w14:textFill>
                  <w14:solidFill>
                    <w14:schemeClr w14:val="tx1"/>
                  </w14:solidFill>
                </w14:textFill>
              </w:rPr>
              <w:t>的事故油池，</w:t>
            </w:r>
            <w:r>
              <w:rPr>
                <w:rFonts w:hint="eastAsia"/>
                <w:color w:val="000000" w:themeColor="text1"/>
                <w:sz w:val="24"/>
                <w:highlight w:val="none"/>
                <w:lang w:bidi="ar"/>
                <w14:textFill>
                  <w14:solidFill>
                    <w14:schemeClr w14:val="tx1"/>
                  </w14:solidFill>
                </w14:textFill>
              </w:rPr>
              <w:t>本工程升压站建设规模</w:t>
            </w:r>
            <w:r>
              <w:rPr>
                <w:rFonts w:hint="eastAsia"/>
                <w:color w:val="000000" w:themeColor="text1"/>
                <w:sz w:val="24"/>
                <w:highlight w:val="none"/>
                <w:lang w:val="en-US" w:eastAsia="zh-CN" w:bidi="ar"/>
                <w14:textFill>
                  <w14:solidFill>
                    <w14:schemeClr w14:val="tx1"/>
                  </w14:solidFill>
                </w14:textFill>
              </w:rPr>
              <w:t>1</w:t>
            </w:r>
            <w:r>
              <w:rPr>
                <w:rFonts w:hint="eastAsia"/>
                <w:color w:val="000000" w:themeColor="text1"/>
                <w:sz w:val="24"/>
                <w:highlight w:val="none"/>
                <w:lang w:bidi="ar"/>
                <w14:textFill>
                  <w14:solidFill>
                    <w14:schemeClr w14:val="tx1"/>
                  </w14:solidFill>
                </w14:textFill>
              </w:rPr>
              <w:t>×</w:t>
            </w:r>
            <w:r>
              <w:rPr>
                <w:rFonts w:hint="eastAsia"/>
                <w:color w:val="000000" w:themeColor="text1"/>
                <w:sz w:val="24"/>
                <w:highlight w:val="none"/>
                <w:lang w:val="en-US" w:eastAsia="zh-CN" w:bidi="ar"/>
                <w14:textFill>
                  <w14:solidFill>
                    <w14:schemeClr w14:val="tx1"/>
                  </w14:solidFill>
                </w14:textFill>
              </w:rPr>
              <w:t>12</w:t>
            </w:r>
            <w:r>
              <w:rPr>
                <w:rFonts w:hint="eastAsia"/>
                <w:color w:val="000000" w:themeColor="text1"/>
                <w:sz w:val="24"/>
                <w:highlight w:val="none"/>
                <w:lang w:bidi="ar"/>
                <w14:textFill>
                  <w14:solidFill>
                    <w14:schemeClr w14:val="tx1"/>
                  </w14:solidFill>
                </w14:textFill>
              </w:rPr>
              <w:t>0MVA主变压器，变压器</w:t>
            </w:r>
            <w:r>
              <w:rPr>
                <w:color w:val="000000" w:themeColor="text1"/>
                <w:sz w:val="24"/>
                <w:highlight w:val="none"/>
                <w:lang w:bidi="ar"/>
                <w14:textFill>
                  <w14:solidFill>
                    <w14:schemeClr w14:val="tx1"/>
                  </w14:solidFill>
                </w14:textFill>
              </w:rPr>
              <w:t>充油量</w:t>
            </w:r>
            <w:r>
              <w:rPr>
                <w:rFonts w:hint="eastAsia"/>
                <w:color w:val="000000" w:themeColor="text1"/>
                <w:sz w:val="24"/>
                <w:highlight w:val="none"/>
                <w:lang w:val="en-US" w:eastAsia="zh-CN" w:bidi="ar"/>
                <w14:textFill>
                  <w14:solidFill>
                    <w14:schemeClr w14:val="tx1"/>
                  </w14:solidFill>
                </w14:textFill>
              </w:rPr>
              <w:t>35</w:t>
            </w:r>
            <w:r>
              <w:rPr>
                <w:color w:val="000000" w:themeColor="text1"/>
                <w:sz w:val="24"/>
                <w:highlight w:val="none"/>
                <w:lang w:bidi="ar"/>
                <w14:textFill>
                  <w14:solidFill>
                    <w14:schemeClr w14:val="tx1"/>
                  </w14:solidFill>
                </w14:textFill>
              </w:rPr>
              <w:t>t，按照变压器油密度895kg/m</w:t>
            </w:r>
            <w:r>
              <w:rPr>
                <w:color w:val="000000" w:themeColor="text1"/>
                <w:sz w:val="24"/>
                <w:highlight w:val="none"/>
                <w:vertAlign w:val="superscript"/>
                <w:lang w:bidi="ar"/>
                <w14:textFill>
                  <w14:solidFill>
                    <w14:schemeClr w14:val="tx1"/>
                  </w14:solidFill>
                </w14:textFill>
              </w:rPr>
              <w:t>3</w:t>
            </w:r>
            <w:r>
              <w:rPr>
                <w:color w:val="000000" w:themeColor="text1"/>
                <w:sz w:val="24"/>
                <w:highlight w:val="none"/>
                <w:lang w:bidi="ar"/>
                <w14:textFill>
                  <w14:solidFill>
                    <w14:schemeClr w14:val="tx1"/>
                  </w14:solidFill>
                </w14:textFill>
              </w:rPr>
              <w:t>进行估算，约</w:t>
            </w:r>
            <w:r>
              <w:rPr>
                <w:rFonts w:hint="eastAsia"/>
                <w:color w:val="000000" w:themeColor="text1"/>
                <w:sz w:val="24"/>
                <w:highlight w:val="none"/>
                <w:lang w:val="en-US" w:eastAsia="zh-CN" w:bidi="ar"/>
                <w14:textFill>
                  <w14:solidFill>
                    <w14:schemeClr w14:val="tx1"/>
                  </w14:solidFill>
                </w14:textFill>
              </w:rPr>
              <w:t>39.11</w:t>
            </w:r>
            <w:r>
              <w:rPr>
                <w:color w:val="000000" w:themeColor="text1"/>
                <w:sz w:val="24"/>
                <w:highlight w:val="none"/>
                <w:lang w:bidi="ar"/>
                <w14:textFill>
                  <w14:solidFill>
                    <w14:schemeClr w14:val="tx1"/>
                  </w14:solidFill>
                </w14:textFill>
              </w:rPr>
              <w:t>m</w:t>
            </w:r>
            <w:r>
              <w:rPr>
                <w:color w:val="000000" w:themeColor="text1"/>
                <w:sz w:val="24"/>
                <w:highlight w:val="none"/>
                <w:vertAlign w:val="superscript"/>
                <w:lang w:bidi="ar"/>
                <w14:textFill>
                  <w14:solidFill>
                    <w14:schemeClr w14:val="tx1"/>
                  </w14:solidFill>
                </w14:textFill>
              </w:rPr>
              <w:t>3</w:t>
            </w:r>
            <w:r>
              <w:rPr>
                <w:rFonts w:hint="eastAsia"/>
                <w:color w:val="000000" w:themeColor="text1"/>
                <w:sz w:val="24"/>
                <w:highlight w:val="none"/>
                <w:lang w:eastAsia="zh-CN" w:bidi="ar"/>
                <w14:textFill>
                  <w14:solidFill>
                    <w14:schemeClr w14:val="tx1"/>
                  </w14:solidFill>
                </w14:textFill>
              </w:rPr>
              <w:t>，</w:t>
            </w:r>
            <w:r>
              <w:rPr>
                <w:rFonts w:hint="eastAsia"/>
                <w:color w:val="000000" w:themeColor="text1"/>
                <w:sz w:val="24"/>
                <w:highlight w:val="none"/>
                <w:lang w:val="en-US" w:eastAsia="zh-CN" w:bidi="ar"/>
                <w14:textFill>
                  <w14:solidFill>
                    <w14:schemeClr w14:val="tx1"/>
                  </w14:solidFill>
                </w14:textFill>
              </w:rPr>
              <w:t>项目事故油池</w:t>
            </w:r>
            <w:r>
              <w:rPr>
                <w:rFonts w:hint="eastAsia" w:ascii="Times New Roman" w:hAnsi="Times New Roman" w:cs="Times New Roman"/>
                <w:color w:val="000000" w:themeColor="text1"/>
                <w:kern w:val="0"/>
                <w:sz w:val="24"/>
                <w:highlight w:val="none"/>
                <w:lang w:bidi="ar"/>
                <w14:textFill>
                  <w14:solidFill>
                    <w14:schemeClr w14:val="tx1"/>
                  </w14:solidFill>
                </w14:textFill>
              </w:rPr>
              <w:t>能够满足单台变压器100%排油量储存需求</w:t>
            </w:r>
            <w:r>
              <w:rPr>
                <w:rFonts w:hint="eastAsia" w:ascii="Times New Roman" w:hAnsi="Times New Roman" w:cs="Times New Roman"/>
                <w:color w:val="000000" w:themeColor="text1"/>
                <w:kern w:val="0"/>
                <w:sz w:val="24"/>
                <w:highlight w:val="none"/>
                <w:lang w:eastAsia="zh-CN" w:bidi="ar"/>
                <w14:textFill>
                  <w14:solidFill>
                    <w14:schemeClr w14:val="tx1"/>
                  </w14:solidFill>
                </w14:textFill>
              </w:rPr>
              <w:t>，</w:t>
            </w:r>
            <w:r>
              <w:rPr>
                <w:color w:val="000000" w:themeColor="text1"/>
                <w:sz w:val="24"/>
                <w:highlight w:val="none"/>
                <w14:textFill>
                  <w14:solidFill>
                    <w14:schemeClr w14:val="tx1"/>
                  </w14:solidFill>
                </w14:textFill>
              </w:rPr>
              <w:t>钢筋混凝土结构，布置于地下</w:t>
            </w:r>
            <w:r>
              <w:rPr>
                <w:rFonts w:hint="eastAsia"/>
                <w:color w:val="000000" w:themeColor="text1"/>
                <w:sz w:val="24"/>
                <w:highlight w:val="none"/>
                <w14:textFill>
                  <w14:solidFill>
                    <w14:schemeClr w14:val="tx1"/>
                  </w14:solidFill>
                </w14:textFill>
              </w:rPr>
              <w:t>。</w:t>
            </w:r>
          </w:p>
          <w:p w14:paraId="54F2F9DC">
            <w:pPr>
              <w:spacing w:line="360" w:lineRule="auto"/>
              <w:ind w:firstLine="480" w:firstLineChars="200"/>
              <w:rPr>
                <w:rFonts w:ascii="Calibri" w:hAnsi="Calibri" w:cs="Calibri"/>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③事故油池</w:t>
            </w:r>
            <w:r>
              <w:rPr>
                <w:rFonts w:hint="eastAsia"/>
                <w:color w:val="000000" w:themeColor="text1"/>
                <w:sz w:val="24"/>
                <w:highlight w:val="none"/>
                <w14:textFill>
                  <w14:solidFill>
                    <w14:schemeClr w14:val="tx1"/>
                  </w14:solidFill>
                </w14:textFill>
              </w:rPr>
              <w:t>及储油池</w:t>
            </w:r>
            <w:r>
              <w:rPr>
                <w:color w:val="000000" w:themeColor="text1"/>
                <w:sz w:val="24"/>
                <w:highlight w:val="none"/>
                <w14:textFill>
                  <w14:solidFill>
                    <w14:schemeClr w14:val="tx1"/>
                  </w14:solidFill>
                </w14:textFill>
              </w:rPr>
              <w:t>采用现浇钢筋混凝土结构，池底板及池壁采用标号不小于C30的混凝土，并涂刷水泥基渗透结晶型防水涂料，确保防渗等级不低于P8，以杜绝渗漏。防渗层为至少1m厚黏土层（渗透系数</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10</w:t>
            </w:r>
            <w:r>
              <w:rPr>
                <w:color w:val="000000" w:themeColor="text1"/>
                <w:sz w:val="24"/>
                <w:highlight w:val="none"/>
                <w:vertAlign w:val="superscript"/>
                <w14:textFill>
                  <w14:solidFill>
                    <w14:schemeClr w14:val="tx1"/>
                  </w14:solidFill>
                </w14:textFill>
              </w:rPr>
              <w:t>-7</w:t>
            </w:r>
            <w:r>
              <w:rPr>
                <w:color w:val="000000" w:themeColor="text1"/>
                <w:sz w:val="24"/>
                <w:highlight w:val="none"/>
                <w14:textFill>
                  <w14:solidFill>
                    <w14:schemeClr w14:val="tx1"/>
                  </w14:solidFill>
                </w14:textFill>
              </w:rPr>
              <w:t>cm/s）或至少2mm厚高密度聚乙烯，或至少2mm厚的其他人工材料，渗透系数</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10</w:t>
            </w:r>
            <w:r>
              <w:rPr>
                <w:color w:val="000000" w:themeColor="text1"/>
                <w:sz w:val="24"/>
                <w:highlight w:val="none"/>
                <w:vertAlign w:val="superscript"/>
                <w14:textFill>
                  <w14:solidFill>
                    <w14:schemeClr w14:val="tx1"/>
                  </w14:solidFill>
                </w14:textFill>
              </w:rPr>
              <w:t>-10</w:t>
            </w:r>
            <w:r>
              <w:rPr>
                <w:color w:val="000000" w:themeColor="text1"/>
                <w:sz w:val="24"/>
                <w:highlight w:val="none"/>
                <w14:textFill>
                  <w14:solidFill>
                    <w14:schemeClr w14:val="tx1"/>
                  </w14:solidFill>
                </w14:textFill>
              </w:rPr>
              <w:t>cm/s。</w:t>
            </w:r>
          </w:p>
          <w:p w14:paraId="086862F0">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③配备必要的应急</w:t>
            </w:r>
            <w:r>
              <w:rPr>
                <w:rFonts w:hint="eastAsia"/>
                <w:color w:val="000000" w:themeColor="text1"/>
                <w:sz w:val="24"/>
                <w:highlight w:val="none"/>
                <w:lang w:eastAsia="zh-CN"/>
                <w14:textFill>
                  <w14:solidFill>
                    <w14:schemeClr w14:val="tx1"/>
                  </w14:solidFill>
                </w14:textFill>
              </w:rPr>
              <w:t>物资</w:t>
            </w:r>
            <w:r>
              <w:rPr>
                <w:color w:val="000000" w:themeColor="text1"/>
                <w:sz w:val="24"/>
                <w:highlight w:val="none"/>
                <w14:textFill>
                  <w14:solidFill>
                    <w14:schemeClr w14:val="tx1"/>
                  </w14:solidFill>
                </w14:textFill>
              </w:rPr>
              <w:t>，如灭火器等。</w:t>
            </w:r>
          </w:p>
          <w:p w14:paraId="27A847E3">
            <w:pPr>
              <w:spacing w:line="360" w:lineRule="auto"/>
              <w:ind w:firstLine="480" w:firstLineChars="200"/>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④</w:t>
            </w:r>
            <w:r>
              <w:rPr>
                <w:rFonts w:hint="eastAsia"/>
                <w:color w:val="000000" w:themeColor="text1"/>
                <w:sz w:val="24"/>
                <w:highlight w:val="none"/>
                <w14:textFill>
                  <w14:solidFill>
                    <w14:schemeClr w14:val="tx1"/>
                  </w14:solidFill>
                </w14:textFill>
              </w:rPr>
              <w:t>加强对主变压器的事故排查，一旦发现变压器油泄漏，立即采取阻断措施。</w:t>
            </w:r>
          </w:p>
          <w:p w14:paraId="235E635D">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bidi="ar"/>
                <w14:textFill>
                  <w14:solidFill>
                    <w14:schemeClr w14:val="tx1"/>
                  </w14:solidFill>
                </w14:textFill>
              </w:rPr>
              <w:t>⑤</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项目储能舱选用高密封性、IP67及以上防护等级，从源头降低电解液泄漏概率；</w:t>
            </w:r>
          </w:p>
          <w:p w14:paraId="658F9E88">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bidi="ar"/>
                <w14:textFill>
                  <w14:solidFill>
                    <w14:schemeClr w14:val="tx1"/>
                  </w14:solidFill>
                </w14:textFill>
              </w:rPr>
              <w:t>⑥储能区设置电解液泄漏传感器</w:t>
            </w:r>
            <w:r>
              <w:rPr>
                <w:rFonts w:hint="default" w:ascii="Times New Roman" w:hAnsi="Times New Roman" w:eastAsia="宋体" w:cs="Times New Roman"/>
                <w:color w:val="000000" w:themeColor="text1"/>
                <w:sz w:val="24"/>
                <w:szCs w:val="36"/>
                <w:highlight w:val="none"/>
                <w:lang w:eastAsia="zh-CN" w:bidi="ar"/>
                <w14:textFill>
                  <w14:solidFill>
                    <w14:schemeClr w14:val="tx1"/>
                  </w14:solidFill>
                </w14:textFill>
              </w:rPr>
              <w:t>，实现24小时自动预警；</w:t>
            </w:r>
          </w:p>
          <w:p w14:paraId="007A1A43">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val="zh-CN" w:bidi="ar"/>
                <w14:textFill>
                  <w14:solidFill>
                    <w14:schemeClr w14:val="tx1"/>
                  </w14:solidFill>
                </w14:textFill>
              </w:rPr>
              <w:t>⑦</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整体储能站消防系统的组成包括储能集装箱、二次舱集装箱、消防联动控制器。二次</w:t>
            </w:r>
            <w:r>
              <w:rPr>
                <w:rFonts w:hint="eastAsia" w:cs="Times New Roman"/>
                <w:color w:val="000000" w:themeColor="text1"/>
                <w:sz w:val="24"/>
                <w:szCs w:val="36"/>
                <w:highlight w:val="none"/>
                <w:lang w:val="en-US" w:eastAsia="zh-CN" w:bidi="ar"/>
                <w14:textFill>
                  <w14:solidFill>
                    <w14:schemeClr w14:val="tx1"/>
                  </w14:solidFill>
                </w14:textFill>
              </w:rPr>
              <w:t>控制</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室配置一台消防联动控制器，与储能箱气体灭火主机通过CAN通讯的方式联网，与二</w:t>
            </w:r>
            <w:r>
              <w:rPr>
                <w:rFonts w:hint="eastAsia" w:cs="Times New Roman"/>
                <w:color w:val="000000" w:themeColor="text1"/>
                <w:sz w:val="24"/>
                <w:szCs w:val="36"/>
                <w:highlight w:val="none"/>
                <w:lang w:val="en-US" w:eastAsia="zh-CN" w:bidi="ar"/>
                <w14:textFill>
                  <w14:solidFill>
                    <w14:schemeClr w14:val="tx1"/>
                  </w14:solidFill>
                </w14:textFill>
              </w:rPr>
              <w:t>次控制室</w:t>
            </w:r>
            <w:r>
              <w:rPr>
                <w:rFonts w:hint="default" w:ascii="Times New Roman" w:hAnsi="Times New Roman" w:eastAsia="宋体" w:cs="Times New Roman"/>
                <w:color w:val="000000" w:themeColor="text1"/>
                <w:sz w:val="24"/>
                <w:szCs w:val="36"/>
                <w:highlight w:val="none"/>
                <w:lang w:val="en-US" w:eastAsia="zh-CN" w:bidi="ar"/>
                <w14:textFill>
                  <w14:solidFill>
                    <w14:schemeClr w14:val="tx1"/>
                  </w14:solidFill>
                </w14:textFill>
              </w:rPr>
              <w:t>通过消防系统内部总线方式连接。当储能站任意一处探测器触发动作或任意一处发生故障，消防联动控制器均能接收到火警或故障信息。</w:t>
            </w:r>
          </w:p>
          <w:p w14:paraId="520E8E25">
            <w:pPr>
              <w:pStyle w:val="30"/>
              <w:adjustRightInd w:val="0"/>
              <w:spacing w:before="0" w:after="0" w:line="360" w:lineRule="auto"/>
              <w:ind w:right="0" w:firstLine="480" w:firstLineChars="200"/>
              <w:rPr>
                <w:rFonts w:hint="default" w:ascii="Times New Roman" w:hAnsi="Times New Roman" w:eastAsia="宋体" w:cs="Times New Roman"/>
                <w:color w:val="000000" w:themeColor="text1"/>
                <w:sz w:val="24"/>
                <w:szCs w:val="36"/>
                <w:highlight w:val="none"/>
                <w:lang w:val="zh-CN" w:bidi="ar"/>
                <w14:textFill>
                  <w14:solidFill>
                    <w14:schemeClr w14:val="tx1"/>
                  </w14:solidFill>
                </w14:textFill>
              </w:rPr>
            </w:pPr>
            <w:r>
              <w:rPr>
                <w:rFonts w:hint="default" w:ascii="Times New Roman" w:hAnsi="Times New Roman" w:eastAsia="宋体" w:cs="Times New Roman"/>
                <w:color w:val="000000" w:themeColor="text1"/>
                <w:sz w:val="24"/>
                <w:szCs w:val="36"/>
                <w:highlight w:val="none"/>
                <w:lang w:val="zh-CN" w:bidi="ar"/>
                <w14:textFill>
                  <w14:solidFill>
                    <w14:schemeClr w14:val="tx1"/>
                  </w14:solidFill>
                </w14:textFill>
              </w:rPr>
              <w:t>⑧每台储能集装箱均设置一套全氟己酮气体灭火系统，气体灭火主机与消防联动控制器联网的同时，可另外提供系统故障信号(常开触点，有故障时闭合)、火警信号输出(有火警动作时启动输出24VDC信号)。</w:t>
            </w:r>
          </w:p>
          <w:p w14:paraId="108B00B6">
            <w:pPr>
              <w:spacing w:line="360" w:lineRule="auto"/>
              <w:ind w:firstLine="480" w:firstLineChars="200"/>
              <w:rPr>
                <w:rFonts w:hint="eastAsia" w:eastAsia="宋体"/>
                <w:b/>
                <w:bCs/>
                <w:color w:val="000000" w:themeColor="text1"/>
                <w:kern w:val="0"/>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本项目主要事故风险类型为</w:t>
            </w:r>
            <w:r>
              <w:rPr>
                <w:rFonts w:hint="eastAsia"/>
                <w:color w:val="000000" w:themeColor="text1"/>
                <w:sz w:val="24"/>
                <w:highlight w:val="none"/>
                <w:lang w:val="en-US" w:eastAsia="zh-CN"/>
                <w14:textFill>
                  <w14:solidFill>
                    <w14:schemeClr w14:val="tx1"/>
                  </w14:solidFill>
                </w14:textFill>
              </w:rPr>
              <w:t>油</w:t>
            </w:r>
            <w:r>
              <w:rPr>
                <w:rFonts w:hint="eastAsia"/>
                <w:color w:val="000000" w:themeColor="text1"/>
                <w:sz w:val="24"/>
                <w:highlight w:val="none"/>
                <w14:textFill>
                  <w14:solidFill>
                    <w14:schemeClr w14:val="tx1"/>
                  </w14:solidFill>
                </w14:textFill>
              </w:rPr>
              <w:t>泄漏事故</w:t>
            </w:r>
            <w:r>
              <w:rPr>
                <w:rFonts w:hint="eastAsia"/>
                <w:color w:val="000000" w:themeColor="text1"/>
                <w:sz w:val="24"/>
                <w:highlight w:val="none"/>
                <w:lang w:val="en-US" w:eastAsia="zh-CN"/>
                <w14:textFill>
                  <w14:solidFill>
                    <w14:schemeClr w14:val="tx1"/>
                  </w14:solidFill>
                </w14:textFill>
              </w:rPr>
              <w:t>及储能部分热失控事故</w:t>
            </w:r>
            <w:r>
              <w:rPr>
                <w:rFonts w:hint="eastAsia"/>
                <w:color w:val="000000" w:themeColor="text1"/>
                <w:sz w:val="24"/>
                <w:highlight w:val="none"/>
                <w14:textFill>
                  <w14:solidFill>
                    <w14:schemeClr w14:val="tx1"/>
                  </w14:solidFill>
                </w14:textFill>
              </w:rPr>
              <w:t>，主要是</w:t>
            </w:r>
            <w:r>
              <w:rPr>
                <w:rFonts w:hint="eastAsia"/>
                <w:color w:val="000000" w:themeColor="text1"/>
                <w:sz w:val="24"/>
                <w:highlight w:val="none"/>
                <w:lang w:val="en-US" w:eastAsia="zh-CN"/>
                <w14:textFill>
                  <w14:solidFill>
                    <w14:schemeClr w14:val="tx1"/>
                  </w14:solidFill>
                </w14:textFill>
              </w:rPr>
              <w:t>电解液及</w:t>
            </w:r>
            <w:r>
              <w:rPr>
                <w:rFonts w:hint="eastAsia"/>
                <w:color w:val="000000" w:themeColor="text1"/>
                <w:sz w:val="24"/>
                <w:highlight w:val="none"/>
                <w14:textFill>
                  <w14:solidFill>
                    <w14:schemeClr w14:val="tx1"/>
                  </w14:solidFill>
                </w14:textFill>
              </w:rPr>
              <w:t>变压器油泄漏</w:t>
            </w:r>
            <w:r>
              <w:rPr>
                <w:rFonts w:hint="eastAsia"/>
                <w:color w:val="000000" w:themeColor="text1"/>
                <w:sz w:val="24"/>
                <w:highlight w:val="none"/>
                <w:lang w:val="en-US" w:eastAsia="zh-CN"/>
                <w14:textFill>
                  <w14:solidFill>
                    <w14:schemeClr w14:val="tx1"/>
                  </w14:solidFill>
                </w14:textFill>
              </w:rPr>
              <w:t>及储能电池高热自燃事故</w:t>
            </w:r>
            <w:r>
              <w:rPr>
                <w:rFonts w:hint="eastAsia"/>
                <w:color w:val="000000" w:themeColor="text1"/>
                <w:sz w:val="24"/>
                <w:highlight w:val="none"/>
                <w14:textFill>
                  <w14:solidFill>
                    <w14:schemeClr w14:val="tx1"/>
                  </w14:solidFill>
                </w14:textFill>
              </w:rPr>
              <w:t>，通过采取本报告中的一些措施后，可在较大程度上避免风险的产生。同时，项目建设运行后通过建立环境风险事故应急响应机制，编制突发环境事件应急预案，可对突发环境事件及时采取应对措施，将可能的风险产生及影响降到最低。</w:t>
            </w:r>
            <w:r>
              <w:rPr>
                <w:rFonts w:hint="eastAsia"/>
                <w:b/>
                <w:bCs/>
                <w:color w:val="000000" w:themeColor="text1"/>
                <w:kern w:val="0"/>
                <w:sz w:val="24"/>
                <w:highlight w:val="none"/>
                <w:lang w:eastAsia="zh-CN"/>
                <w14:textFill>
                  <w14:solidFill>
                    <w14:schemeClr w14:val="tx1"/>
                  </w14:solidFill>
                </w14:textFill>
              </w:rPr>
              <w:tab/>
            </w:r>
          </w:p>
          <w:p w14:paraId="464DC1A6">
            <w:pPr>
              <w:spacing w:line="360" w:lineRule="auto"/>
              <w:rPr>
                <w:b/>
                <w:bCs/>
                <w:color w:val="000000" w:themeColor="text1"/>
                <w:kern w:val="0"/>
                <w:sz w:val="24"/>
                <w:highlight w:val="none"/>
                <w14:textFill>
                  <w14:solidFill>
                    <w14:schemeClr w14:val="tx1"/>
                  </w14:solidFill>
                </w14:textFill>
              </w:rPr>
            </w:pPr>
            <w:r>
              <w:rPr>
                <w:rFonts w:hint="eastAsia"/>
                <w:b/>
                <w:bCs/>
                <w:color w:val="000000" w:themeColor="text1"/>
                <w:kern w:val="0"/>
                <w:sz w:val="24"/>
                <w:highlight w:val="none"/>
                <w14:textFill>
                  <w14:solidFill>
                    <w14:schemeClr w14:val="tx1"/>
                  </w14:solidFill>
                </w14:textFill>
              </w:rPr>
              <w:t>8、运营期</w:t>
            </w:r>
            <w:r>
              <w:rPr>
                <w:rFonts w:hint="eastAsia"/>
                <w:b/>
                <w:bCs/>
                <w:color w:val="000000" w:themeColor="text1"/>
                <w:kern w:val="0"/>
                <w:sz w:val="24"/>
                <w:highlight w:val="none"/>
                <w:lang w:eastAsia="zh-CN"/>
                <w14:textFill>
                  <w14:solidFill>
                    <w14:schemeClr w14:val="tx1"/>
                  </w14:solidFill>
                </w14:textFill>
              </w:rPr>
              <w:t>生态</w:t>
            </w:r>
            <w:r>
              <w:rPr>
                <w:rFonts w:hint="eastAsia"/>
                <w:b/>
                <w:bCs/>
                <w:color w:val="000000" w:themeColor="text1"/>
                <w:kern w:val="0"/>
                <w:sz w:val="24"/>
                <w:highlight w:val="none"/>
                <w14:textFill>
                  <w14:solidFill>
                    <w14:schemeClr w14:val="tx1"/>
                  </w14:solidFill>
                </w14:textFill>
              </w:rPr>
              <w:t>环境保护措施及预期效果</w:t>
            </w:r>
          </w:p>
          <w:p w14:paraId="300ADBA4">
            <w:pPr>
              <w:spacing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本项目运营期主要生态环境保护措施及预期效果详见表5-5。</w:t>
            </w:r>
          </w:p>
          <w:p w14:paraId="2B98F05B">
            <w:pPr>
              <w:spacing w:before="120" w:beforeLines="50"/>
              <w:jc w:val="center"/>
              <w:rPr>
                <w:b/>
                <w:bCs/>
                <w:color w:val="000000" w:themeColor="text1"/>
                <w:spacing w:val="10"/>
                <w:sz w:val="24"/>
                <w:highlight w:val="none"/>
                <w14:textFill>
                  <w14:solidFill>
                    <w14:schemeClr w14:val="tx1"/>
                  </w14:solidFill>
                </w14:textFill>
              </w:rPr>
            </w:pPr>
            <w:r>
              <w:rPr>
                <w:b/>
                <w:bCs/>
                <w:color w:val="000000" w:themeColor="text1"/>
                <w:kern w:val="0"/>
                <w:sz w:val="24"/>
                <w:highlight w:val="none"/>
                <w14:textFill>
                  <w14:solidFill>
                    <w14:schemeClr w14:val="tx1"/>
                  </w14:solidFill>
                </w14:textFill>
              </w:rPr>
              <w:t>表5-</w:t>
            </w:r>
            <w:r>
              <w:rPr>
                <w:rFonts w:hint="eastAsia"/>
                <w:b/>
                <w:bCs/>
                <w:color w:val="000000" w:themeColor="text1"/>
                <w:kern w:val="0"/>
                <w:sz w:val="24"/>
                <w:highlight w:val="none"/>
                <w14:textFill>
                  <w14:solidFill>
                    <w14:schemeClr w14:val="tx1"/>
                  </w14:solidFill>
                </w14:textFill>
              </w:rPr>
              <w:t>5</w:t>
            </w:r>
            <w:r>
              <w:rPr>
                <w:b/>
                <w:bCs/>
                <w:color w:val="000000" w:themeColor="text1"/>
                <w:kern w:val="0"/>
                <w:sz w:val="24"/>
                <w:highlight w:val="none"/>
                <w14:textFill>
                  <w14:solidFill>
                    <w14:schemeClr w14:val="tx1"/>
                  </w14:solidFill>
                </w14:textFill>
              </w:rPr>
              <w:t xml:space="preserve"> </w:t>
            </w:r>
            <w:r>
              <w:rPr>
                <w:rFonts w:hint="eastAsia"/>
                <w:b/>
                <w:bCs/>
                <w:color w:val="000000" w:themeColor="text1"/>
                <w:kern w:val="0"/>
                <w:sz w:val="24"/>
                <w:highlight w:val="none"/>
                <w14:textFill>
                  <w14:solidFill>
                    <w14:schemeClr w14:val="tx1"/>
                  </w14:solidFill>
                </w14:textFill>
              </w:rPr>
              <w:t xml:space="preserve"> </w:t>
            </w:r>
            <w:r>
              <w:rPr>
                <w:b/>
                <w:bCs/>
                <w:color w:val="000000" w:themeColor="text1"/>
                <w:kern w:val="0"/>
                <w:sz w:val="24"/>
                <w:highlight w:val="none"/>
                <w14:textFill>
                  <w14:solidFill>
                    <w14:schemeClr w14:val="tx1"/>
                  </w14:solidFill>
                </w14:textFill>
              </w:rPr>
              <w:t>运营期</w:t>
            </w:r>
            <w:r>
              <w:rPr>
                <w:rFonts w:hint="eastAsia"/>
                <w:b/>
                <w:bCs/>
                <w:color w:val="000000" w:themeColor="text1"/>
                <w:kern w:val="0"/>
                <w:sz w:val="24"/>
                <w:highlight w:val="none"/>
                <w14:textFill>
                  <w14:solidFill>
                    <w14:schemeClr w14:val="tx1"/>
                  </w14:solidFill>
                </w14:textFill>
              </w:rPr>
              <w:t>生态环境保护措施及预期效果一览表</w:t>
            </w:r>
          </w:p>
          <w:tbl>
            <w:tblPr>
              <w:tblStyle w:val="33"/>
              <w:tblW w:w="82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3"/>
              <w:gridCol w:w="531"/>
              <w:gridCol w:w="727"/>
              <w:gridCol w:w="576"/>
              <w:gridCol w:w="1339"/>
              <w:gridCol w:w="2235"/>
            </w:tblGrid>
            <w:tr w14:paraId="4706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Borders>
                    <w:tl2br w:val="nil"/>
                    <w:tr2bl w:val="nil"/>
                  </w:tcBorders>
                  <w:vAlign w:val="center"/>
                </w:tcPr>
                <w:p w14:paraId="25499B5E">
                  <w:pPr>
                    <w:ind w:left="-63" w:leftChars="-30" w:right="-63" w:rightChars="-30"/>
                    <w:jc w:val="center"/>
                    <w:rPr>
                      <w:b/>
                      <w:bCs/>
                      <w:color w:val="000000" w:themeColor="text1"/>
                      <w:spacing w:val="10"/>
                      <w:szCs w:val="21"/>
                      <w:highlight w:val="none"/>
                      <w14:textFill>
                        <w14:solidFill>
                          <w14:schemeClr w14:val="tx1"/>
                        </w14:solidFill>
                      </w14:textFill>
                    </w:rPr>
                  </w:pPr>
                  <w:r>
                    <w:rPr>
                      <w:b/>
                      <w:bCs/>
                      <w:color w:val="000000" w:themeColor="text1"/>
                      <w:spacing w:val="10"/>
                      <w:szCs w:val="21"/>
                      <w:highlight w:val="none"/>
                      <w14:textFill>
                        <w14:solidFill>
                          <w14:schemeClr w14:val="tx1"/>
                        </w14:solidFill>
                      </w14:textFill>
                    </w:rPr>
                    <w:t>生态保护措施要求</w:t>
                  </w:r>
                </w:p>
              </w:tc>
              <w:tc>
                <w:tcPr>
                  <w:tcW w:w="531" w:type="dxa"/>
                  <w:tcBorders>
                    <w:tl2br w:val="nil"/>
                    <w:tr2bl w:val="nil"/>
                  </w:tcBorders>
                  <w:vAlign w:val="center"/>
                </w:tcPr>
                <w:p w14:paraId="13DA237E">
                  <w:pPr>
                    <w:ind w:left="-105" w:leftChars="-50" w:right="-105" w:rightChars="-50"/>
                    <w:jc w:val="center"/>
                    <w:rPr>
                      <w:b/>
                      <w:bCs/>
                      <w:color w:val="000000" w:themeColor="text1"/>
                      <w:spacing w:val="10"/>
                      <w:szCs w:val="21"/>
                      <w:highlight w:val="none"/>
                      <w14:textFill>
                        <w14:solidFill>
                          <w14:schemeClr w14:val="tx1"/>
                        </w14:solidFill>
                      </w14:textFill>
                    </w:rPr>
                  </w:pPr>
                  <w:r>
                    <w:rPr>
                      <w:b/>
                      <w:bCs/>
                      <w:color w:val="000000" w:themeColor="text1"/>
                      <w:spacing w:val="10"/>
                      <w:szCs w:val="21"/>
                      <w:highlight w:val="none"/>
                      <w14:textFill>
                        <w14:solidFill>
                          <w14:schemeClr w14:val="tx1"/>
                        </w14:solidFill>
                      </w14:textFill>
                    </w:rPr>
                    <w:t>实施部位</w:t>
                  </w:r>
                </w:p>
              </w:tc>
              <w:tc>
                <w:tcPr>
                  <w:tcW w:w="727" w:type="dxa"/>
                  <w:tcBorders>
                    <w:tl2br w:val="nil"/>
                    <w:tr2bl w:val="nil"/>
                  </w:tcBorders>
                  <w:vAlign w:val="center"/>
                </w:tcPr>
                <w:p w14:paraId="3290510C">
                  <w:pPr>
                    <w:ind w:left="-63" w:leftChars="-30" w:right="-63" w:rightChars="-30"/>
                    <w:jc w:val="center"/>
                    <w:rPr>
                      <w:b/>
                      <w:bCs/>
                      <w:color w:val="000000" w:themeColor="text1"/>
                      <w:spacing w:val="10"/>
                      <w:szCs w:val="21"/>
                      <w:highlight w:val="none"/>
                      <w14:textFill>
                        <w14:solidFill>
                          <w14:schemeClr w14:val="tx1"/>
                        </w14:solidFill>
                      </w14:textFill>
                    </w:rPr>
                  </w:pPr>
                  <w:r>
                    <w:rPr>
                      <w:b/>
                      <w:bCs/>
                      <w:color w:val="000000" w:themeColor="text1"/>
                      <w:spacing w:val="10"/>
                      <w:szCs w:val="21"/>
                      <w:highlight w:val="none"/>
                      <w14:textFill>
                        <w14:solidFill>
                          <w14:schemeClr w14:val="tx1"/>
                        </w14:solidFill>
                      </w14:textFill>
                    </w:rPr>
                    <w:t>实施时间</w:t>
                  </w:r>
                </w:p>
              </w:tc>
              <w:tc>
                <w:tcPr>
                  <w:tcW w:w="576" w:type="dxa"/>
                  <w:tcBorders>
                    <w:tl2br w:val="nil"/>
                    <w:tr2bl w:val="nil"/>
                  </w:tcBorders>
                  <w:vAlign w:val="center"/>
                </w:tcPr>
                <w:p w14:paraId="6581FCA5">
                  <w:pPr>
                    <w:ind w:left="-63" w:leftChars="-30" w:right="-63" w:rightChars="-30"/>
                    <w:jc w:val="center"/>
                    <w:rPr>
                      <w:b/>
                      <w:bCs/>
                      <w:color w:val="000000" w:themeColor="text1"/>
                      <w:spacing w:val="10"/>
                      <w:szCs w:val="21"/>
                      <w:highlight w:val="none"/>
                      <w14:textFill>
                        <w14:solidFill>
                          <w14:schemeClr w14:val="tx1"/>
                        </w14:solidFill>
                      </w14:textFill>
                    </w:rPr>
                  </w:pPr>
                  <w:r>
                    <w:rPr>
                      <w:b/>
                      <w:bCs/>
                      <w:color w:val="000000" w:themeColor="text1"/>
                      <w:spacing w:val="10"/>
                      <w:szCs w:val="21"/>
                      <w:highlight w:val="none"/>
                      <w14:textFill>
                        <w14:solidFill>
                          <w14:schemeClr w14:val="tx1"/>
                        </w14:solidFill>
                      </w14:textFill>
                    </w:rPr>
                    <w:t>责任主体</w:t>
                  </w:r>
                </w:p>
              </w:tc>
              <w:tc>
                <w:tcPr>
                  <w:tcW w:w="1339" w:type="dxa"/>
                  <w:tcBorders>
                    <w:tl2br w:val="nil"/>
                    <w:tr2bl w:val="nil"/>
                  </w:tcBorders>
                  <w:vAlign w:val="center"/>
                </w:tcPr>
                <w:p w14:paraId="46C62420">
                  <w:pPr>
                    <w:ind w:left="-63" w:leftChars="-30" w:right="-63" w:rightChars="-30"/>
                    <w:jc w:val="center"/>
                    <w:rPr>
                      <w:b/>
                      <w:bCs/>
                      <w:color w:val="000000" w:themeColor="text1"/>
                      <w:spacing w:val="10"/>
                      <w:szCs w:val="21"/>
                      <w:highlight w:val="none"/>
                      <w14:textFill>
                        <w14:solidFill>
                          <w14:schemeClr w14:val="tx1"/>
                        </w14:solidFill>
                      </w14:textFill>
                    </w:rPr>
                  </w:pPr>
                  <w:r>
                    <w:rPr>
                      <w:b/>
                      <w:bCs/>
                      <w:color w:val="000000" w:themeColor="text1"/>
                      <w:spacing w:val="10"/>
                      <w:szCs w:val="21"/>
                      <w:highlight w:val="none"/>
                      <w14:textFill>
                        <w14:solidFill>
                          <w14:schemeClr w14:val="tx1"/>
                        </w14:solidFill>
                      </w14:textFill>
                    </w:rPr>
                    <w:t>实施保障</w:t>
                  </w:r>
                </w:p>
              </w:tc>
              <w:tc>
                <w:tcPr>
                  <w:tcW w:w="2235" w:type="dxa"/>
                  <w:tcBorders>
                    <w:tl2br w:val="nil"/>
                    <w:tr2bl w:val="nil"/>
                  </w:tcBorders>
                  <w:vAlign w:val="center"/>
                </w:tcPr>
                <w:p w14:paraId="3A64C5D4">
                  <w:pPr>
                    <w:ind w:left="-63" w:leftChars="-30" w:right="-63" w:rightChars="-30"/>
                    <w:jc w:val="center"/>
                    <w:rPr>
                      <w:b/>
                      <w:bCs/>
                      <w:color w:val="000000" w:themeColor="text1"/>
                      <w:spacing w:val="10"/>
                      <w:szCs w:val="21"/>
                      <w:highlight w:val="none"/>
                      <w14:textFill>
                        <w14:solidFill>
                          <w14:schemeClr w14:val="tx1"/>
                        </w14:solidFill>
                      </w14:textFill>
                    </w:rPr>
                  </w:pPr>
                  <w:r>
                    <w:rPr>
                      <w:b/>
                      <w:bCs/>
                      <w:color w:val="000000" w:themeColor="text1"/>
                      <w:spacing w:val="10"/>
                      <w:szCs w:val="21"/>
                      <w:highlight w:val="none"/>
                      <w14:textFill>
                        <w14:solidFill>
                          <w14:schemeClr w14:val="tx1"/>
                        </w14:solidFill>
                      </w14:textFill>
                    </w:rPr>
                    <w:t>实施效果</w:t>
                  </w:r>
                </w:p>
              </w:tc>
            </w:tr>
            <w:tr w14:paraId="57C2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833" w:type="dxa"/>
                  <w:tcBorders>
                    <w:tl2br w:val="nil"/>
                    <w:tr2bl w:val="nil"/>
                  </w:tcBorders>
                  <w:vAlign w:val="center"/>
                </w:tcPr>
                <w:p w14:paraId="52024644">
                  <w:pPr>
                    <w:ind w:left="-63" w:leftChars="-30" w:right="-63" w:rightChars="-30"/>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制定安全操作规程，加强职工安全教育，加强电磁水平监测；对员工进行电磁环境基础知识培训，在巡检带电维修过程中，尽可能减少暴露在电磁场中的时间；设立电磁防护安全警示标志，禁止无关人员靠近带电构架等</w:t>
                  </w:r>
                </w:p>
              </w:tc>
              <w:tc>
                <w:tcPr>
                  <w:tcW w:w="531" w:type="dxa"/>
                  <w:vMerge w:val="restart"/>
                  <w:tcBorders>
                    <w:tl2br w:val="nil"/>
                    <w:tr2bl w:val="nil"/>
                  </w:tcBorders>
                  <w:vAlign w:val="center"/>
                </w:tcPr>
                <w:p w14:paraId="3C4E8462">
                  <w:pPr>
                    <w:ind w:left="-105" w:leftChars="-50" w:right="-105" w:rightChars="-50"/>
                    <w:jc w:val="left"/>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建设项目生产运营场所及区域</w:t>
                  </w:r>
                </w:p>
              </w:tc>
              <w:tc>
                <w:tcPr>
                  <w:tcW w:w="727" w:type="dxa"/>
                  <w:vMerge w:val="restart"/>
                  <w:tcBorders>
                    <w:tl2br w:val="nil"/>
                    <w:tr2bl w:val="nil"/>
                  </w:tcBorders>
                  <w:vAlign w:val="center"/>
                </w:tcPr>
                <w:p w14:paraId="2B3969BC">
                  <w:pPr>
                    <w:ind w:left="-105" w:leftChars="-50" w:right="-105" w:rightChars="-50"/>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运营期</w:t>
                  </w:r>
                </w:p>
              </w:tc>
              <w:tc>
                <w:tcPr>
                  <w:tcW w:w="576" w:type="dxa"/>
                  <w:vMerge w:val="restart"/>
                  <w:tcBorders>
                    <w:tl2br w:val="nil"/>
                    <w:tr2bl w:val="nil"/>
                  </w:tcBorders>
                  <w:vAlign w:val="center"/>
                </w:tcPr>
                <w:p w14:paraId="549A2BBC">
                  <w:pPr>
                    <w:ind w:left="-63" w:leftChars="-30" w:right="-63" w:rightChars="-30"/>
                    <w:jc w:val="center"/>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建设</w:t>
                  </w:r>
                </w:p>
                <w:p w14:paraId="398CAE5A">
                  <w:pPr>
                    <w:ind w:left="-63" w:leftChars="-30" w:right="-63" w:rightChars="-30"/>
                    <w:jc w:val="center"/>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单位</w:t>
                  </w:r>
                </w:p>
              </w:tc>
              <w:tc>
                <w:tcPr>
                  <w:tcW w:w="1339" w:type="dxa"/>
                  <w:vMerge w:val="restart"/>
                  <w:tcBorders>
                    <w:tl2br w:val="nil"/>
                    <w:tr2bl w:val="nil"/>
                  </w:tcBorders>
                  <w:vAlign w:val="center"/>
                </w:tcPr>
                <w:p w14:paraId="6509917A">
                  <w:pPr>
                    <w:ind w:left="-63" w:leftChars="-30" w:right="-63" w:rightChars="-30"/>
                    <w:jc w:val="left"/>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①建立环境管理机构，配备专职或兼职环保管理人员；</w:t>
                  </w:r>
                </w:p>
                <w:p w14:paraId="3B1EECE8">
                  <w:pPr>
                    <w:ind w:left="-63" w:leftChars="-30" w:right="-63" w:rightChars="-30"/>
                    <w:jc w:val="left"/>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②制定相关方环境管理条例、质量管理规定；</w:t>
                  </w:r>
                </w:p>
                <w:p w14:paraId="2C73563A">
                  <w:pPr>
                    <w:ind w:left="-63" w:leftChars="-30" w:right="-63" w:rightChars="-30"/>
                    <w:jc w:val="left"/>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③开展经常性检查、监督，发现问题及时解决、纠正</w:t>
                  </w:r>
                </w:p>
              </w:tc>
              <w:tc>
                <w:tcPr>
                  <w:tcW w:w="2235" w:type="dxa"/>
                  <w:tcBorders>
                    <w:tl2br w:val="nil"/>
                    <w:tr2bl w:val="nil"/>
                  </w:tcBorders>
                  <w:vAlign w:val="center"/>
                </w:tcPr>
                <w:p w14:paraId="5FBFAFA8">
                  <w:pPr>
                    <w:ind w:left="-63" w:leftChars="-30" w:right="-63" w:rightChars="-30"/>
                    <w:rPr>
                      <w:color w:val="000000" w:themeColor="text1"/>
                      <w:spacing w:val="10"/>
                      <w:szCs w:val="21"/>
                      <w:highlight w:val="none"/>
                      <w14:textFill>
                        <w14:solidFill>
                          <w14:schemeClr w14:val="tx1"/>
                        </w14:solidFill>
                      </w14:textFill>
                    </w:rPr>
                  </w:pPr>
                  <w:r>
                    <w:rPr>
                      <w:rFonts w:hint="eastAsia"/>
                      <w:color w:val="000000" w:themeColor="text1"/>
                      <w:spacing w:val="10"/>
                      <w:szCs w:val="21"/>
                      <w:highlight w:val="none"/>
                      <w14:textFill>
                        <w14:solidFill>
                          <w14:schemeClr w14:val="tx1"/>
                        </w14:solidFill>
                      </w14:textFill>
                    </w:rPr>
                    <w:t>减低升压站运营期对职工的电磁环境影响</w:t>
                  </w:r>
                </w:p>
              </w:tc>
            </w:tr>
            <w:tr w14:paraId="74E3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Borders>
                    <w:tl2br w:val="nil"/>
                    <w:tr2bl w:val="nil"/>
                  </w:tcBorders>
                  <w:vAlign w:val="center"/>
                </w:tcPr>
                <w:p w14:paraId="62E2EBA9">
                  <w:pPr>
                    <w:ind w:left="-63" w:leftChars="-30" w:right="-63" w:rightChars="-30"/>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选择低噪声主变，合理布局站内电气设备及配电装置；加强站内电气设备的日常维护，避免设备异常噪声排放以减少噪声对站区环境的影响</w:t>
                  </w:r>
                  <w:r>
                    <w:rPr>
                      <w:rFonts w:hint="eastAsia"/>
                      <w:color w:val="000000" w:themeColor="text1"/>
                      <w:spacing w:val="10"/>
                      <w:szCs w:val="21"/>
                      <w:highlight w:val="none"/>
                      <w14:textFill>
                        <w14:solidFill>
                          <w14:schemeClr w14:val="tx1"/>
                        </w14:solidFill>
                      </w14:textFill>
                    </w:rPr>
                    <w:t>；</w:t>
                  </w:r>
                  <w:r>
                    <w:rPr>
                      <w:color w:val="000000" w:themeColor="text1"/>
                      <w:spacing w:val="10"/>
                      <w:szCs w:val="21"/>
                      <w:highlight w:val="none"/>
                      <w14:textFill>
                        <w14:solidFill>
                          <w14:schemeClr w14:val="tx1"/>
                        </w14:solidFill>
                      </w14:textFill>
                    </w:rPr>
                    <w:t>加强对线路沿线声环境监测，及时发现问题并按照相关要求进行处理</w:t>
                  </w:r>
                </w:p>
              </w:tc>
              <w:tc>
                <w:tcPr>
                  <w:tcW w:w="531" w:type="dxa"/>
                  <w:vMerge w:val="continue"/>
                  <w:tcBorders>
                    <w:tl2br w:val="nil"/>
                    <w:tr2bl w:val="nil"/>
                  </w:tcBorders>
                  <w:vAlign w:val="center"/>
                </w:tcPr>
                <w:p w14:paraId="36779BD2">
                  <w:pPr>
                    <w:ind w:left="-63" w:leftChars="-30" w:right="-63" w:rightChars="-30"/>
                    <w:rPr>
                      <w:color w:val="000000" w:themeColor="text1"/>
                      <w:spacing w:val="10"/>
                      <w:szCs w:val="21"/>
                      <w:highlight w:val="none"/>
                      <w14:textFill>
                        <w14:solidFill>
                          <w14:schemeClr w14:val="tx1"/>
                        </w14:solidFill>
                      </w14:textFill>
                    </w:rPr>
                  </w:pPr>
                </w:p>
              </w:tc>
              <w:tc>
                <w:tcPr>
                  <w:tcW w:w="727" w:type="dxa"/>
                  <w:vMerge w:val="continue"/>
                  <w:tcBorders>
                    <w:tl2br w:val="nil"/>
                    <w:tr2bl w:val="nil"/>
                  </w:tcBorders>
                  <w:vAlign w:val="center"/>
                </w:tcPr>
                <w:p w14:paraId="25A19092">
                  <w:pPr>
                    <w:ind w:left="-63" w:leftChars="-30" w:right="-63" w:rightChars="-30"/>
                    <w:rPr>
                      <w:color w:val="000000" w:themeColor="text1"/>
                      <w:spacing w:val="10"/>
                      <w:szCs w:val="21"/>
                      <w:highlight w:val="none"/>
                      <w14:textFill>
                        <w14:solidFill>
                          <w14:schemeClr w14:val="tx1"/>
                        </w14:solidFill>
                      </w14:textFill>
                    </w:rPr>
                  </w:pPr>
                </w:p>
              </w:tc>
              <w:tc>
                <w:tcPr>
                  <w:tcW w:w="576" w:type="dxa"/>
                  <w:vMerge w:val="continue"/>
                  <w:tcBorders>
                    <w:tl2br w:val="nil"/>
                    <w:tr2bl w:val="nil"/>
                  </w:tcBorders>
                  <w:vAlign w:val="center"/>
                </w:tcPr>
                <w:p w14:paraId="4233FD3E">
                  <w:pPr>
                    <w:ind w:left="-63" w:leftChars="-30" w:right="-63" w:rightChars="-30"/>
                    <w:rPr>
                      <w:color w:val="000000" w:themeColor="text1"/>
                      <w:spacing w:val="10"/>
                      <w:szCs w:val="21"/>
                      <w:highlight w:val="none"/>
                      <w14:textFill>
                        <w14:solidFill>
                          <w14:schemeClr w14:val="tx1"/>
                        </w14:solidFill>
                      </w14:textFill>
                    </w:rPr>
                  </w:pPr>
                </w:p>
              </w:tc>
              <w:tc>
                <w:tcPr>
                  <w:tcW w:w="1339" w:type="dxa"/>
                  <w:vMerge w:val="continue"/>
                  <w:tcBorders>
                    <w:tl2br w:val="nil"/>
                    <w:tr2bl w:val="nil"/>
                  </w:tcBorders>
                  <w:vAlign w:val="center"/>
                </w:tcPr>
                <w:p w14:paraId="5F8702F2">
                  <w:pPr>
                    <w:ind w:left="-63" w:leftChars="-30" w:right="-63" w:rightChars="-30"/>
                    <w:rPr>
                      <w:color w:val="000000" w:themeColor="text1"/>
                      <w:spacing w:val="10"/>
                      <w:szCs w:val="21"/>
                      <w:highlight w:val="none"/>
                      <w14:textFill>
                        <w14:solidFill>
                          <w14:schemeClr w14:val="tx1"/>
                        </w14:solidFill>
                      </w14:textFill>
                    </w:rPr>
                  </w:pPr>
                </w:p>
              </w:tc>
              <w:tc>
                <w:tcPr>
                  <w:tcW w:w="2235" w:type="dxa"/>
                  <w:tcBorders>
                    <w:tl2br w:val="nil"/>
                    <w:tr2bl w:val="nil"/>
                  </w:tcBorders>
                  <w:vAlign w:val="center"/>
                </w:tcPr>
                <w:p w14:paraId="5988EC6F">
                  <w:pPr>
                    <w:ind w:left="-63" w:leftChars="-30" w:right="-63" w:rightChars="-30"/>
                    <w:rPr>
                      <w:color w:val="000000" w:themeColor="text1"/>
                      <w:spacing w:val="10"/>
                      <w:szCs w:val="21"/>
                      <w:highlight w:val="none"/>
                      <w14:textFill>
                        <w14:solidFill>
                          <w14:schemeClr w14:val="tx1"/>
                        </w14:solidFill>
                      </w14:textFill>
                    </w:rPr>
                  </w:pPr>
                  <w:r>
                    <w:rPr>
                      <w:rFonts w:hint="eastAsia"/>
                      <w:color w:val="000000" w:themeColor="text1"/>
                      <w:spacing w:val="10"/>
                      <w:szCs w:val="21"/>
                      <w:highlight w:val="none"/>
                      <w:lang w:val="en-US" w:eastAsia="zh-CN"/>
                      <w14:textFill>
                        <w14:solidFill>
                          <w14:schemeClr w14:val="tx1"/>
                        </w14:solidFill>
                      </w14:textFill>
                    </w:rPr>
                    <w:t>站址</w:t>
                  </w:r>
                  <w:r>
                    <w:rPr>
                      <w:rFonts w:hint="eastAsia"/>
                      <w:color w:val="000000" w:themeColor="text1"/>
                      <w:spacing w:val="10"/>
                      <w:szCs w:val="21"/>
                      <w:highlight w:val="none"/>
                      <w14:textFill>
                        <w14:solidFill>
                          <w14:schemeClr w14:val="tx1"/>
                        </w14:solidFill>
                      </w14:textFill>
                    </w:rPr>
                    <w:t>四周声环境达标</w:t>
                  </w:r>
                </w:p>
              </w:tc>
            </w:tr>
            <w:tr w14:paraId="20CC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Borders>
                    <w:tl2br w:val="nil"/>
                    <w:tr2bl w:val="nil"/>
                  </w:tcBorders>
                  <w:vAlign w:val="center"/>
                </w:tcPr>
                <w:p w14:paraId="4B789A3B">
                  <w:pPr>
                    <w:ind w:left="-63" w:leftChars="-30" w:right="-63" w:rightChars="-30"/>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严格按照《危险废物贮存污染控制标准》（GB18597-</w:t>
                  </w:r>
                  <w:r>
                    <w:rPr>
                      <w:rFonts w:hint="eastAsia"/>
                      <w:color w:val="000000" w:themeColor="text1"/>
                      <w:spacing w:val="10"/>
                      <w:szCs w:val="21"/>
                      <w:highlight w:val="none"/>
                      <w14:textFill>
                        <w14:solidFill>
                          <w14:schemeClr w14:val="tx1"/>
                        </w14:solidFill>
                      </w14:textFill>
                    </w:rPr>
                    <w:t xml:space="preserve"> </w:t>
                  </w:r>
                  <w:r>
                    <w:rPr>
                      <w:color w:val="000000" w:themeColor="text1"/>
                      <w:spacing w:val="10"/>
                      <w:szCs w:val="21"/>
                      <w:highlight w:val="none"/>
                      <w14:textFill>
                        <w14:solidFill>
                          <w14:schemeClr w14:val="tx1"/>
                        </w14:solidFill>
                      </w14:textFill>
                    </w:rPr>
                    <w:t>2023）和《危险废物转移管理办法》（部令第23号）相关要求，对废铅酸蓄电池</w:t>
                  </w:r>
                  <w:r>
                    <w:rPr>
                      <w:rFonts w:hint="eastAsia"/>
                      <w:color w:val="000000" w:themeColor="text1"/>
                      <w:spacing w:val="10"/>
                      <w:szCs w:val="21"/>
                      <w:highlight w:val="none"/>
                      <w:lang w:eastAsia="zh-CN"/>
                      <w14:textFill>
                        <w14:solidFill>
                          <w14:schemeClr w14:val="tx1"/>
                        </w14:solidFill>
                      </w14:textFill>
                    </w:rPr>
                    <w:t>、</w:t>
                  </w:r>
                  <w:r>
                    <w:rPr>
                      <w:color w:val="000000" w:themeColor="text1"/>
                      <w:spacing w:val="10"/>
                      <w:szCs w:val="21"/>
                      <w:highlight w:val="none"/>
                      <w14:textFill>
                        <w14:solidFill>
                          <w14:schemeClr w14:val="tx1"/>
                        </w14:solidFill>
                      </w14:textFill>
                    </w:rPr>
                    <w:t>废油进行暂存、转移</w:t>
                  </w:r>
                  <w:r>
                    <w:rPr>
                      <w:rFonts w:hint="eastAsia"/>
                      <w:color w:val="000000" w:themeColor="text1"/>
                      <w:spacing w:val="10"/>
                      <w:szCs w:val="21"/>
                      <w:highlight w:val="none"/>
                      <w14:textFill>
                        <w14:solidFill>
                          <w14:schemeClr w14:val="tx1"/>
                        </w14:solidFill>
                      </w14:textFill>
                    </w:rPr>
                    <w:t>。</w:t>
                  </w:r>
                </w:p>
              </w:tc>
              <w:tc>
                <w:tcPr>
                  <w:tcW w:w="531" w:type="dxa"/>
                  <w:vMerge w:val="continue"/>
                  <w:tcBorders>
                    <w:tl2br w:val="nil"/>
                    <w:tr2bl w:val="nil"/>
                  </w:tcBorders>
                  <w:vAlign w:val="center"/>
                </w:tcPr>
                <w:p w14:paraId="6CC1B268">
                  <w:pPr>
                    <w:ind w:left="-63" w:leftChars="-30" w:right="-63" w:rightChars="-30"/>
                    <w:rPr>
                      <w:color w:val="000000" w:themeColor="text1"/>
                      <w:spacing w:val="10"/>
                      <w:szCs w:val="21"/>
                      <w:highlight w:val="none"/>
                      <w14:textFill>
                        <w14:solidFill>
                          <w14:schemeClr w14:val="tx1"/>
                        </w14:solidFill>
                      </w14:textFill>
                    </w:rPr>
                  </w:pPr>
                </w:p>
              </w:tc>
              <w:tc>
                <w:tcPr>
                  <w:tcW w:w="727" w:type="dxa"/>
                  <w:vMerge w:val="continue"/>
                  <w:tcBorders>
                    <w:tl2br w:val="nil"/>
                    <w:tr2bl w:val="nil"/>
                  </w:tcBorders>
                  <w:vAlign w:val="center"/>
                </w:tcPr>
                <w:p w14:paraId="5DE62BFA">
                  <w:pPr>
                    <w:ind w:left="-63" w:leftChars="-30" w:right="-63" w:rightChars="-30"/>
                    <w:rPr>
                      <w:color w:val="000000" w:themeColor="text1"/>
                      <w:spacing w:val="10"/>
                      <w:szCs w:val="21"/>
                      <w:highlight w:val="none"/>
                      <w14:textFill>
                        <w14:solidFill>
                          <w14:schemeClr w14:val="tx1"/>
                        </w14:solidFill>
                      </w14:textFill>
                    </w:rPr>
                  </w:pPr>
                </w:p>
              </w:tc>
              <w:tc>
                <w:tcPr>
                  <w:tcW w:w="576" w:type="dxa"/>
                  <w:vMerge w:val="continue"/>
                  <w:tcBorders>
                    <w:tl2br w:val="nil"/>
                    <w:tr2bl w:val="nil"/>
                  </w:tcBorders>
                  <w:vAlign w:val="center"/>
                </w:tcPr>
                <w:p w14:paraId="6231FABF">
                  <w:pPr>
                    <w:ind w:left="-63" w:leftChars="-30" w:right="-63" w:rightChars="-30"/>
                    <w:rPr>
                      <w:color w:val="000000" w:themeColor="text1"/>
                      <w:spacing w:val="10"/>
                      <w:szCs w:val="21"/>
                      <w:highlight w:val="none"/>
                      <w14:textFill>
                        <w14:solidFill>
                          <w14:schemeClr w14:val="tx1"/>
                        </w14:solidFill>
                      </w14:textFill>
                    </w:rPr>
                  </w:pPr>
                </w:p>
              </w:tc>
              <w:tc>
                <w:tcPr>
                  <w:tcW w:w="1339" w:type="dxa"/>
                  <w:vMerge w:val="continue"/>
                  <w:tcBorders>
                    <w:tl2br w:val="nil"/>
                    <w:tr2bl w:val="nil"/>
                  </w:tcBorders>
                  <w:vAlign w:val="center"/>
                </w:tcPr>
                <w:p w14:paraId="326D64ED">
                  <w:pPr>
                    <w:ind w:left="-63" w:leftChars="-30" w:right="-63" w:rightChars="-30"/>
                    <w:rPr>
                      <w:color w:val="000000" w:themeColor="text1"/>
                      <w:spacing w:val="10"/>
                      <w:szCs w:val="21"/>
                      <w:highlight w:val="none"/>
                      <w14:textFill>
                        <w14:solidFill>
                          <w14:schemeClr w14:val="tx1"/>
                        </w14:solidFill>
                      </w14:textFill>
                    </w:rPr>
                  </w:pPr>
                </w:p>
              </w:tc>
              <w:tc>
                <w:tcPr>
                  <w:tcW w:w="2235" w:type="dxa"/>
                  <w:tcBorders>
                    <w:tl2br w:val="nil"/>
                    <w:tr2bl w:val="nil"/>
                  </w:tcBorders>
                  <w:vAlign w:val="center"/>
                </w:tcPr>
                <w:p w14:paraId="29C5B563">
                  <w:pPr>
                    <w:ind w:left="-63" w:leftChars="-30" w:right="-63" w:rightChars="-30"/>
                    <w:rPr>
                      <w:color w:val="000000" w:themeColor="text1"/>
                      <w:spacing w:val="10"/>
                      <w:szCs w:val="21"/>
                      <w:highlight w:val="none"/>
                      <w14:textFill>
                        <w14:solidFill>
                          <w14:schemeClr w14:val="tx1"/>
                        </w14:solidFill>
                      </w14:textFill>
                    </w:rPr>
                  </w:pPr>
                  <w:r>
                    <w:rPr>
                      <w:rFonts w:hint="eastAsia"/>
                      <w:color w:val="000000" w:themeColor="text1"/>
                      <w:spacing w:val="10"/>
                      <w:szCs w:val="21"/>
                      <w:highlight w:val="none"/>
                      <w14:textFill>
                        <w14:solidFill>
                          <w14:schemeClr w14:val="tx1"/>
                        </w14:solidFill>
                      </w14:textFill>
                    </w:rPr>
                    <w:t>各类固体废弃物能够得到妥善处置</w:t>
                  </w:r>
                </w:p>
              </w:tc>
            </w:tr>
            <w:tr w14:paraId="4EA3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Borders>
                    <w:tl2br w:val="nil"/>
                    <w:tr2bl w:val="nil"/>
                  </w:tcBorders>
                  <w:vAlign w:val="center"/>
                </w:tcPr>
                <w:p w14:paraId="59227948">
                  <w:pPr>
                    <w:ind w:left="-63" w:leftChars="-30" w:right="-63" w:rightChars="-30"/>
                    <w:rPr>
                      <w:color w:val="000000" w:themeColor="text1"/>
                      <w:spacing w:val="10"/>
                      <w:szCs w:val="21"/>
                      <w:highlight w:val="none"/>
                      <w14:textFill>
                        <w14:solidFill>
                          <w14:schemeClr w14:val="tx1"/>
                        </w14:solidFill>
                      </w14:textFill>
                    </w:rPr>
                  </w:pPr>
                  <w:r>
                    <w:rPr>
                      <w:color w:val="000000" w:themeColor="text1"/>
                      <w:spacing w:val="10"/>
                      <w:szCs w:val="21"/>
                      <w:highlight w:val="none"/>
                      <w14:textFill>
                        <w14:solidFill>
                          <w14:schemeClr w14:val="tx1"/>
                        </w14:solidFill>
                      </w14:textFill>
                    </w:rPr>
                    <w:t>工程环保竣工验收监测一次，建设单位组织开展定期监测</w:t>
                  </w:r>
                </w:p>
              </w:tc>
              <w:tc>
                <w:tcPr>
                  <w:tcW w:w="531" w:type="dxa"/>
                  <w:vMerge w:val="continue"/>
                  <w:tcBorders>
                    <w:tl2br w:val="nil"/>
                    <w:tr2bl w:val="nil"/>
                  </w:tcBorders>
                  <w:vAlign w:val="center"/>
                </w:tcPr>
                <w:p w14:paraId="1A939E9E">
                  <w:pPr>
                    <w:ind w:left="-63" w:leftChars="-30" w:right="-63" w:rightChars="-30"/>
                    <w:rPr>
                      <w:color w:val="000000" w:themeColor="text1"/>
                      <w:spacing w:val="10"/>
                      <w:szCs w:val="21"/>
                      <w:highlight w:val="none"/>
                      <w14:textFill>
                        <w14:solidFill>
                          <w14:schemeClr w14:val="tx1"/>
                        </w14:solidFill>
                      </w14:textFill>
                    </w:rPr>
                  </w:pPr>
                </w:p>
              </w:tc>
              <w:tc>
                <w:tcPr>
                  <w:tcW w:w="727" w:type="dxa"/>
                  <w:vMerge w:val="continue"/>
                  <w:tcBorders>
                    <w:tl2br w:val="nil"/>
                    <w:tr2bl w:val="nil"/>
                  </w:tcBorders>
                  <w:vAlign w:val="center"/>
                </w:tcPr>
                <w:p w14:paraId="2C38D69C">
                  <w:pPr>
                    <w:ind w:left="-63" w:leftChars="-30" w:right="-63" w:rightChars="-30"/>
                    <w:rPr>
                      <w:color w:val="000000" w:themeColor="text1"/>
                      <w:spacing w:val="10"/>
                      <w:szCs w:val="21"/>
                      <w:highlight w:val="none"/>
                      <w14:textFill>
                        <w14:solidFill>
                          <w14:schemeClr w14:val="tx1"/>
                        </w14:solidFill>
                      </w14:textFill>
                    </w:rPr>
                  </w:pPr>
                </w:p>
              </w:tc>
              <w:tc>
                <w:tcPr>
                  <w:tcW w:w="576" w:type="dxa"/>
                  <w:vMerge w:val="continue"/>
                  <w:tcBorders>
                    <w:tl2br w:val="nil"/>
                    <w:tr2bl w:val="nil"/>
                  </w:tcBorders>
                  <w:vAlign w:val="center"/>
                </w:tcPr>
                <w:p w14:paraId="1B8DF5E4">
                  <w:pPr>
                    <w:ind w:left="-63" w:leftChars="-30" w:right="-63" w:rightChars="-30"/>
                    <w:rPr>
                      <w:color w:val="000000" w:themeColor="text1"/>
                      <w:spacing w:val="10"/>
                      <w:szCs w:val="21"/>
                      <w:highlight w:val="none"/>
                      <w14:textFill>
                        <w14:solidFill>
                          <w14:schemeClr w14:val="tx1"/>
                        </w14:solidFill>
                      </w14:textFill>
                    </w:rPr>
                  </w:pPr>
                </w:p>
              </w:tc>
              <w:tc>
                <w:tcPr>
                  <w:tcW w:w="1339" w:type="dxa"/>
                  <w:vMerge w:val="continue"/>
                  <w:tcBorders>
                    <w:tl2br w:val="nil"/>
                    <w:tr2bl w:val="nil"/>
                  </w:tcBorders>
                  <w:vAlign w:val="center"/>
                </w:tcPr>
                <w:p w14:paraId="301EEFCA">
                  <w:pPr>
                    <w:ind w:left="-63" w:leftChars="-30" w:right="-63" w:rightChars="-30"/>
                    <w:rPr>
                      <w:color w:val="000000" w:themeColor="text1"/>
                      <w:spacing w:val="10"/>
                      <w:szCs w:val="21"/>
                      <w:highlight w:val="none"/>
                      <w14:textFill>
                        <w14:solidFill>
                          <w14:schemeClr w14:val="tx1"/>
                        </w14:solidFill>
                      </w14:textFill>
                    </w:rPr>
                  </w:pPr>
                </w:p>
              </w:tc>
              <w:tc>
                <w:tcPr>
                  <w:tcW w:w="2235" w:type="dxa"/>
                  <w:tcBorders>
                    <w:tl2br w:val="nil"/>
                    <w:tr2bl w:val="nil"/>
                  </w:tcBorders>
                  <w:vAlign w:val="center"/>
                </w:tcPr>
                <w:p w14:paraId="2DE1E88F">
                  <w:pPr>
                    <w:ind w:left="-63" w:leftChars="-30" w:right="-63" w:rightChars="-30"/>
                    <w:jc w:val="center"/>
                    <w:rPr>
                      <w:color w:val="000000" w:themeColor="text1"/>
                      <w:spacing w:val="10"/>
                      <w:szCs w:val="21"/>
                      <w:highlight w:val="none"/>
                      <w14:textFill>
                        <w14:solidFill>
                          <w14:schemeClr w14:val="tx1"/>
                        </w14:solidFill>
                      </w14:textFill>
                    </w:rPr>
                  </w:pPr>
                  <w:r>
                    <w:rPr>
                      <w:rFonts w:hint="eastAsia"/>
                      <w:color w:val="000000" w:themeColor="text1"/>
                      <w:spacing w:val="10"/>
                      <w:szCs w:val="21"/>
                      <w:highlight w:val="none"/>
                      <w14:textFill>
                        <w14:solidFill>
                          <w14:schemeClr w14:val="tx1"/>
                        </w14:solidFill>
                      </w14:textFill>
                    </w:rPr>
                    <w:t>监测结果达标</w:t>
                  </w:r>
                </w:p>
              </w:tc>
            </w:tr>
          </w:tbl>
          <w:p w14:paraId="701B74BB">
            <w:pPr>
              <w:spacing w:line="360" w:lineRule="auto"/>
              <w:ind w:firstLine="460" w:firstLineChars="200"/>
              <w:rPr>
                <w:rFonts w:hint="eastAsia" w:ascii="宋体" w:hAnsi="宋体" w:cs="宋体"/>
                <w:color w:val="000000" w:themeColor="text1"/>
                <w:spacing w:val="10"/>
                <w:szCs w:val="21"/>
                <w:highlight w:val="none"/>
                <w14:textFill>
                  <w14:solidFill>
                    <w14:schemeClr w14:val="tx1"/>
                  </w14:solidFill>
                </w14:textFill>
              </w:rPr>
            </w:pPr>
          </w:p>
        </w:tc>
      </w:tr>
      <w:tr w14:paraId="419DF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50" w:hRule="atLeast"/>
          <w:jc w:val="center"/>
        </w:trPr>
        <w:tc>
          <w:tcPr>
            <w:tcW w:w="777" w:type="dxa"/>
            <w:vAlign w:val="center"/>
          </w:tcPr>
          <w:p w14:paraId="62D377B5">
            <w:pPr>
              <w:adjustRightInd w:val="0"/>
              <w:snapToGrid w:val="0"/>
              <w:jc w:val="center"/>
              <w:rPr>
                <w:rFonts w:hint="eastAsia" w:ascii="宋体" w:hAnsi="宋体" w:cs="宋体"/>
                <w:bCs/>
                <w:color w:val="000000" w:themeColor="text1"/>
                <w:spacing w:val="10"/>
                <w:szCs w:val="21"/>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其他</w:t>
            </w:r>
          </w:p>
        </w:tc>
        <w:tc>
          <w:tcPr>
            <w:tcW w:w="8457" w:type="dxa"/>
          </w:tcPr>
          <w:p w14:paraId="65A438B6">
            <w:pPr>
              <w:pStyle w:val="3"/>
              <w:spacing w:before="120" w:beforeLines="50" w:after="0" w:line="360" w:lineRule="auto"/>
              <w:rPr>
                <w:b/>
                <w:bCs/>
                <w:color w:val="000000" w:themeColor="text1"/>
                <w:kern w:val="0"/>
                <w:sz w:val="24"/>
                <w:highlight w:val="none"/>
                <w14:textFill>
                  <w14:solidFill>
                    <w14:schemeClr w14:val="tx1"/>
                  </w14:solidFill>
                </w14:textFill>
              </w:rPr>
            </w:pPr>
            <w:r>
              <w:rPr>
                <w:rFonts w:hint="eastAsia"/>
                <w:b/>
                <w:bCs/>
                <w:color w:val="000000" w:themeColor="text1"/>
                <w:kern w:val="0"/>
                <w:sz w:val="24"/>
                <w:highlight w:val="none"/>
                <w14:textFill>
                  <w14:solidFill>
                    <w14:schemeClr w14:val="tx1"/>
                  </w14:solidFill>
                </w14:textFill>
              </w:rPr>
              <w:t>1、环境监测计划</w:t>
            </w:r>
          </w:p>
          <w:p w14:paraId="682095C7">
            <w:pPr>
              <w:pStyle w:val="3"/>
              <w:spacing w:after="0" w:line="360" w:lineRule="auto"/>
              <w:ind w:firstLine="480" w:firstLineChars="200"/>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为及时了解项目运营过程中对生态环境产生影响的范围和程度，以便采取相应的减缓措施，根据本项目的环境影响性质，对</w:t>
            </w:r>
            <w:r>
              <w:rPr>
                <w:rFonts w:hint="eastAsia"/>
                <w:color w:val="000000" w:themeColor="text1"/>
                <w:kern w:val="0"/>
                <w:sz w:val="24"/>
                <w:highlight w:val="none"/>
                <w:lang w:val="en-US" w:eastAsia="zh-CN"/>
                <w14:textFill>
                  <w14:solidFill>
                    <w14:schemeClr w14:val="tx1"/>
                  </w14:solidFill>
                </w14:textFill>
              </w:rPr>
              <w:t>站址</w:t>
            </w:r>
            <w:r>
              <w:rPr>
                <w:rFonts w:hint="eastAsia"/>
                <w:color w:val="000000" w:themeColor="text1"/>
                <w:kern w:val="0"/>
                <w:sz w:val="24"/>
                <w:highlight w:val="none"/>
                <w14:textFill>
                  <w14:solidFill>
                    <w14:schemeClr w14:val="tx1"/>
                  </w14:solidFill>
                </w14:textFill>
              </w:rPr>
              <w:t>周围环境进行监测，制定环境监测计划，具体监测计划，见表5-6。</w:t>
            </w:r>
          </w:p>
          <w:p w14:paraId="451ED034">
            <w:pPr>
              <w:pStyle w:val="60"/>
              <w:overflowPunct w:val="0"/>
              <w:adjustRightInd/>
              <w:spacing w:beforeLines="0" w:afterLines="0" w:line="240" w:lineRule="auto"/>
              <w:ind w:firstLine="482"/>
              <w:rPr>
                <w:rFonts w:ascii="Times New Roman"/>
                <w:b/>
                <w:bCs/>
                <w:color w:val="000000" w:themeColor="text1"/>
                <w:sz w:val="24"/>
                <w:szCs w:val="24"/>
                <w:highlight w:val="none"/>
                <w14:textFill>
                  <w14:solidFill>
                    <w14:schemeClr w14:val="tx1"/>
                  </w14:solidFill>
                </w14:textFill>
              </w:rPr>
            </w:pPr>
            <w:r>
              <w:rPr>
                <w:rFonts w:hint="eastAsia" w:ascii="Times New Roman"/>
                <w:b/>
                <w:bCs/>
                <w:color w:val="000000" w:themeColor="text1"/>
                <w:sz w:val="24"/>
                <w:szCs w:val="24"/>
                <w:highlight w:val="none"/>
                <w14:textFill>
                  <w14:solidFill>
                    <w14:schemeClr w14:val="tx1"/>
                  </w14:solidFill>
                </w14:textFill>
              </w:rPr>
              <w:t>表5-6  环境监测计划表</w:t>
            </w:r>
          </w:p>
          <w:tbl>
            <w:tblPr>
              <w:tblStyle w:val="33"/>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425"/>
              <w:gridCol w:w="1080"/>
              <w:gridCol w:w="3135"/>
              <w:gridCol w:w="2027"/>
            </w:tblGrid>
            <w:tr w14:paraId="3931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l2br w:val="nil"/>
                    <w:tr2bl w:val="nil"/>
                  </w:tcBorders>
                  <w:vAlign w:val="center"/>
                </w:tcPr>
                <w:p w14:paraId="4A263DB9">
                  <w:pPr>
                    <w:pStyle w:val="64"/>
                    <w:spacing w:line="240" w:lineRule="auto"/>
                    <w:ind w:left="-63" w:leftChars="-30" w:right="-105" w:rightChars="-50" w:firstLine="0" w:firstLineChars="0"/>
                    <w:jc w:val="center"/>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监测</w:t>
                  </w:r>
                </w:p>
                <w:p w14:paraId="381AAC16">
                  <w:pPr>
                    <w:pStyle w:val="64"/>
                    <w:spacing w:line="240" w:lineRule="auto"/>
                    <w:ind w:left="-63" w:leftChars="-30" w:right="-105" w:rightChars="-50" w:firstLine="0" w:firstLineChars="0"/>
                    <w:jc w:val="center"/>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内容</w:t>
                  </w:r>
                </w:p>
              </w:tc>
              <w:tc>
                <w:tcPr>
                  <w:tcW w:w="1425" w:type="dxa"/>
                  <w:tcBorders>
                    <w:tl2br w:val="nil"/>
                    <w:tr2bl w:val="nil"/>
                  </w:tcBorders>
                  <w:vAlign w:val="center"/>
                </w:tcPr>
                <w:p w14:paraId="7248A593">
                  <w:pPr>
                    <w:pStyle w:val="64"/>
                    <w:spacing w:line="240" w:lineRule="auto"/>
                    <w:ind w:left="-63" w:leftChars="-30" w:right="-105" w:rightChars="-50" w:firstLine="0" w:firstLineChars="0"/>
                    <w:jc w:val="center"/>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监测因子、频次</w:t>
                  </w:r>
                </w:p>
              </w:tc>
              <w:tc>
                <w:tcPr>
                  <w:tcW w:w="1080" w:type="dxa"/>
                  <w:tcBorders>
                    <w:tl2br w:val="nil"/>
                    <w:tr2bl w:val="nil"/>
                  </w:tcBorders>
                  <w:vAlign w:val="center"/>
                </w:tcPr>
                <w:p w14:paraId="6804F395">
                  <w:pPr>
                    <w:pStyle w:val="64"/>
                    <w:spacing w:line="240" w:lineRule="auto"/>
                    <w:ind w:left="-63" w:leftChars="-30" w:right="-105" w:rightChars="-50" w:firstLine="0" w:firstLineChars="0"/>
                    <w:jc w:val="center"/>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监测方法</w:t>
                  </w:r>
                </w:p>
              </w:tc>
              <w:tc>
                <w:tcPr>
                  <w:tcW w:w="3135" w:type="dxa"/>
                  <w:tcBorders>
                    <w:tl2br w:val="nil"/>
                    <w:tr2bl w:val="nil"/>
                  </w:tcBorders>
                  <w:vAlign w:val="center"/>
                </w:tcPr>
                <w:p w14:paraId="21018CA6">
                  <w:pPr>
                    <w:pStyle w:val="64"/>
                    <w:spacing w:line="240" w:lineRule="auto"/>
                    <w:ind w:left="-63" w:leftChars="-30" w:right="-105" w:rightChars="-50" w:firstLine="0" w:firstLineChars="0"/>
                    <w:jc w:val="center"/>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监测点位、监测要求、监管要求</w:t>
                  </w:r>
                </w:p>
              </w:tc>
              <w:tc>
                <w:tcPr>
                  <w:tcW w:w="2027" w:type="dxa"/>
                  <w:tcBorders>
                    <w:tl2br w:val="nil"/>
                    <w:tr2bl w:val="nil"/>
                  </w:tcBorders>
                  <w:vAlign w:val="center"/>
                </w:tcPr>
                <w:p w14:paraId="537D76E6">
                  <w:pPr>
                    <w:pStyle w:val="64"/>
                    <w:spacing w:line="240" w:lineRule="auto"/>
                    <w:ind w:left="-63" w:leftChars="-30" w:right="-105" w:rightChars="-50" w:firstLine="0" w:firstLineChars="0"/>
                    <w:jc w:val="center"/>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监测调查范围及</w:t>
                  </w:r>
                </w:p>
                <w:p w14:paraId="0F47310C">
                  <w:pPr>
                    <w:pStyle w:val="64"/>
                    <w:spacing w:line="240" w:lineRule="auto"/>
                    <w:ind w:left="-63" w:leftChars="-30" w:right="-105" w:rightChars="-50" w:firstLine="0" w:firstLineChars="0"/>
                    <w:jc w:val="center"/>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执行标准</w:t>
                  </w:r>
                </w:p>
              </w:tc>
            </w:tr>
            <w:tr w14:paraId="6834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l2br w:val="nil"/>
                    <w:tr2bl w:val="nil"/>
                  </w:tcBorders>
                  <w:vAlign w:val="center"/>
                </w:tcPr>
                <w:p w14:paraId="321E6DC5">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电磁</w:t>
                  </w:r>
                </w:p>
                <w:p w14:paraId="5465F508">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环境</w:t>
                  </w:r>
                </w:p>
              </w:tc>
              <w:tc>
                <w:tcPr>
                  <w:tcW w:w="1425" w:type="dxa"/>
                  <w:tcBorders>
                    <w:tl2br w:val="nil"/>
                    <w:tr2bl w:val="nil"/>
                  </w:tcBorders>
                  <w:vAlign w:val="center"/>
                </w:tcPr>
                <w:p w14:paraId="210B4D23">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监测因子：工频电场、工频磁场</w:t>
                  </w:r>
                </w:p>
                <w:p w14:paraId="26A45A66">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center"/>
                    <w:textAlignment w:val="auto"/>
                    <w:rPr>
                      <w:bCs/>
                      <w:color w:val="000000" w:themeColor="text1"/>
                      <w:sz w:val="21"/>
                      <w:szCs w:val="21"/>
                      <w:highlight w:val="none"/>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监测频次：1次/年</w:t>
                  </w:r>
                </w:p>
              </w:tc>
              <w:tc>
                <w:tcPr>
                  <w:tcW w:w="1080" w:type="dxa"/>
                  <w:tcBorders>
                    <w:tl2br w:val="nil"/>
                    <w:tr2bl w:val="nil"/>
                  </w:tcBorders>
                  <w:vAlign w:val="center"/>
                </w:tcPr>
                <w:p w14:paraId="2F8A3C82">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bCs/>
                      <w:color w:val="000000" w:themeColor="text1"/>
                      <w:sz w:val="21"/>
                      <w:szCs w:val="21"/>
                      <w:highlight w:val="none"/>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w:t>
                  </w: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交流输变电工程电磁环境监测方法（试行）</w:t>
                  </w:r>
                  <w:r>
                    <w:rPr>
                      <w:rFonts w:hint="eastAsia" w:cs="Times New Roman"/>
                      <w:bCs/>
                      <w:color w:val="000000" w:themeColor="text1"/>
                      <w:sz w:val="21"/>
                      <w:szCs w:val="21"/>
                      <w:vertAlign w:val="baseline"/>
                      <w:lang w:val="en-US" w:eastAsia="zh-CN"/>
                      <w14:textFill>
                        <w14:solidFill>
                          <w14:schemeClr w14:val="tx1"/>
                        </w14:solidFill>
                      </w14:textFill>
                    </w:rPr>
                    <w:t>》</w:t>
                  </w: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HJ681-2013</w:t>
                  </w:r>
                </w:p>
              </w:tc>
              <w:tc>
                <w:tcPr>
                  <w:tcW w:w="3135" w:type="dxa"/>
                  <w:tcBorders>
                    <w:tl2br w:val="nil"/>
                    <w:tr2bl w:val="nil"/>
                  </w:tcBorders>
                  <w:vAlign w:val="center"/>
                </w:tcPr>
                <w:p w14:paraId="165880A0">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1、</w:t>
                  </w:r>
                  <w:r>
                    <w:rPr>
                      <w:rFonts w:hint="eastAsia" w:cs="Times New Roman"/>
                      <w:bCs/>
                      <w:color w:val="000000" w:themeColor="text1"/>
                      <w:sz w:val="21"/>
                      <w:szCs w:val="21"/>
                      <w:vertAlign w:val="baseline"/>
                      <w:lang w:val="en-US" w:eastAsia="zh-CN"/>
                      <w14:textFill>
                        <w14:solidFill>
                          <w14:schemeClr w14:val="tx1"/>
                        </w14:solidFill>
                      </w14:textFill>
                    </w:rPr>
                    <w:t>变电站四周厂界及衰减断面监测（</w:t>
                  </w:r>
                  <w:r>
                    <w:rPr>
                      <w:rFonts w:hint="default"/>
                      <w:color w:val="000000" w:themeColor="text1"/>
                      <w:kern w:val="21"/>
                      <w:sz w:val="21"/>
                      <w:szCs w:val="21"/>
                      <w14:textFill>
                        <w14:solidFill>
                          <w14:schemeClr w14:val="tx1"/>
                        </w14:solidFill>
                      </w14:textFill>
                    </w:rPr>
                    <w:t>竣工验收及有投诉时进行监测</w:t>
                  </w:r>
                  <w:r>
                    <w:rPr>
                      <w:rFonts w:hint="eastAsia" w:cs="Times New Roman"/>
                      <w:bCs/>
                      <w:color w:val="000000" w:themeColor="text1"/>
                      <w:sz w:val="21"/>
                      <w:szCs w:val="21"/>
                      <w:vertAlign w:val="baseline"/>
                      <w:lang w:val="en-US" w:eastAsia="zh-CN"/>
                      <w14:textFill>
                        <w14:solidFill>
                          <w14:schemeClr w14:val="tx1"/>
                        </w14:solidFill>
                      </w14:textFill>
                    </w:rPr>
                    <w:t>）；</w:t>
                  </w:r>
                </w:p>
                <w:p w14:paraId="7CFAC526">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rFonts w:hint="default"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电磁环境敏感目标处布点监测</w:t>
                  </w:r>
                  <w:r>
                    <w:rPr>
                      <w:rFonts w:hint="eastAsia" w:cs="Times New Roman"/>
                      <w:bCs/>
                      <w:color w:val="000000" w:themeColor="text1"/>
                      <w:sz w:val="21"/>
                      <w:szCs w:val="21"/>
                      <w:vertAlign w:val="baseline"/>
                      <w:lang w:val="en-US" w:eastAsia="zh-CN"/>
                      <w14:textFill>
                        <w14:solidFill>
                          <w14:schemeClr w14:val="tx1"/>
                        </w14:solidFill>
                      </w14:textFill>
                    </w:rPr>
                    <w:t>；</w:t>
                  </w:r>
                </w:p>
                <w:p w14:paraId="1D36DE44">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bCs/>
                      <w:color w:val="000000" w:themeColor="text1"/>
                      <w:sz w:val="21"/>
                      <w:szCs w:val="21"/>
                      <w:highlight w:val="none"/>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、输电线路沿线选择有代表性的点位进行监测</w:t>
                  </w: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（跨越居民住宅处、跨越</w:t>
                  </w: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G217</w:t>
                  </w: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国道处、钻越220kV海桑线处）</w:t>
                  </w:r>
                  <w:r>
                    <w:rPr>
                      <w:rFonts w:hint="eastAsia" w:cs="Times New Roman"/>
                      <w:bCs/>
                      <w:color w:val="000000" w:themeColor="text1"/>
                      <w:sz w:val="21"/>
                      <w:szCs w:val="21"/>
                      <w:vertAlign w:val="baseline"/>
                      <w:lang w:val="en-US" w:eastAsia="zh-CN"/>
                      <w14:textFill>
                        <w14:solidFill>
                          <w14:schemeClr w14:val="tx1"/>
                        </w14:solidFill>
                      </w14:textFill>
                    </w:rPr>
                    <w:t>。</w:t>
                  </w:r>
                </w:p>
              </w:tc>
              <w:tc>
                <w:tcPr>
                  <w:tcW w:w="2027" w:type="dxa"/>
                  <w:tcBorders>
                    <w:tl2br w:val="nil"/>
                    <w:tr2bl w:val="nil"/>
                  </w:tcBorders>
                  <w:vAlign w:val="center"/>
                </w:tcPr>
                <w:p w14:paraId="0EFF0374">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监测调查范围：110</w:t>
                  </w:r>
                  <w:r>
                    <w:rPr>
                      <w:rFonts w:hint="eastAsia" w:cs="Times New Roman"/>
                      <w:bCs/>
                      <w:color w:val="000000" w:themeColor="text1"/>
                      <w:sz w:val="21"/>
                      <w:szCs w:val="21"/>
                      <w:vertAlign w:val="baseline"/>
                      <w:lang w:val="en-US" w:eastAsia="zh-CN"/>
                      <w14:textFill>
                        <w14:solidFill>
                          <w14:schemeClr w14:val="tx1"/>
                        </w14:solidFill>
                      </w14:textFill>
                    </w:rPr>
                    <w:t>kV</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输变电线路边导线地面投影外两侧各30m</w:t>
                  </w:r>
                  <w:r>
                    <w:rPr>
                      <w:rFonts w:hint="eastAsia" w:cs="Times New Roman"/>
                      <w:bCs/>
                      <w:color w:val="000000" w:themeColor="text1"/>
                      <w:sz w:val="21"/>
                      <w:szCs w:val="21"/>
                      <w:vertAlign w:val="baseline"/>
                      <w:lang w:val="en-US" w:eastAsia="zh-CN"/>
                      <w14:textFill>
                        <w14:solidFill>
                          <w14:schemeClr w14:val="tx1"/>
                        </w14:solidFill>
                      </w14:textFill>
                    </w:rPr>
                    <w:t>为电磁环境影响评价范围；</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执行标准：《电磁环境控制限值》</w:t>
                  </w:r>
                  <w:r>
                    <w:rPr>
                      <w:rFonts w:hint="eastAsia" w:cs="Times New Roman"/>
                      <w:bCs/>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GB8702-2014</w:t>
                  </w:r>
                  <w:r>
                    <w:rPr>
                      <w:rFonts w:hint="eastAsia" w:cs="Times New Roman"/>
                      <w:bCs/>
                      <w:color w:val="000000" w:themeColor="text1"/>
                      <w:sz w:val="21"/>
                      <w:szCs w:val="21"/>
                      <w:vertAlign w:val="baseline"/>
                      <w:lang w:val="en-US" w:eastAsia="zh-CN"/>
                      <w14:textFill>
                        <w14:solidFill>
                          <w14:schemeClr w14:val="tx1"/>
                        </w14:solidFill>
                      </w14:textFill>
                    </w:rPr>
                    <w:t>）</w:t>
                  </w:r>
                </w:p>
              </w:tc>
            </w:tr>
            <w:tr w14:paraId="413B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l2br w:val="nil"/>
                    <w:tr2bl w:val="nil"/>
                  </w:tcBorders>
                  <w:vAlign w:val="center"/>
                </w:tcPr>
                <w:p w14:paraId="379758EE">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声环境</w:t>
                  </w:r>
                </w:p>
              </w:tc>
              <w:tc>
                <w:tcPr>
                  <w:tcW w:w="1425" w:type="dxa"/>
                  <w:tcBorders>
                    <w:tl2br w:val="nil"/>
                    <w:tr2bl w:val="nil"/>
                  </w:tcBorders>
                  <w:vAlign w:val="center"/>
                </w:tcPr>
                <w:p w14:paraId="6F14F177">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center"/>
                    <w:textAlignment w:val="auto"/>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监测因子：噪声</w:t>
                  </w:r>
                </w:p>
                <w:p w14:paraId="5B1D6195">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center"/>
                    <w:textAlignment w:val="auto"/>
                    <w:rPr>
                      <w:bCs/>
                      <w:color w:val="000000" w:themeColor="text1"/>
                      <w:sz w:val="21"/>
                      <w:szCs w:val="21"/>
                      <w:highlight w:val="none"/>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监测频次：1次/年</w:t>
                  </w:r>
                </w:p>
              </w:tc>
              <w:tc>
                <w:tcPr>
                  <w:tcW w:w="1080" w:type="dxa"/>
                  <w:tcBorders>
                    <w:tl2br w:val="nil"/>
                    <w:tr2bl w:val="nil"/>
                  </w:tcBorders>
                  <w:vAlign w:val="center"/>
                </w:tcPr>
                <w:p w14:paraId="397E671B">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center"/>
                    <w:textAlignment w:val="auto"/>
                    <w:rPr>
                      <w:bCs/>
                      <w:color w:val="000000" w:themeColor="text1"/>
                      <w:sz w:val="21"/>
                      <w:szCs w:val="21"/>
                      <w:highlight w:val="none"/>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《声环境质量标准》GB3096-2008</w:t>
                  </w:r>
                </w:p>
              </w:tc>
              <w:tc>
                <w:tcPr>
                  <w:tcW w:w="3135" w:type="dxa"/>
                  <w:tcBorders>
                    <w:tl2br w:val="nil"/>
                    <w:tr2bl w:val="nil"/>
                  </w:tcBorders>
                  <w:vAlign w:val="center"/>
                </w:tcPr>
                <w:p w14:paraId="033228F5">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1、</w:t>
                  </w:r>
                  <w:r>
                    <w:rPr>
                      <w:rFonts w:hint="eastAsia" w:cs="Times New Roman"/>
                      <w:bCs/>
                      <w:color w:val="000000" w:themeColor="text1"/>
                      <w:sz w:val="21"/>
                      <w:szCs w:val="21"/>
                      <w:vertAlign w:val="baseline"/>
                      <w:lang w:val="en-US" w:eastAsia="zh-CN"/>
                      <w14:textFill>
                        <w14:solidFill>
                          <w14:schemeClr w14:val="tx1"/>
                        </w14:solidFill>
                      </w14:textFill>
                    </w:rPr>
                    <w:t>变电站四周厂界噪声监测（</w:t>
                  </w:r>
                  <w:r>
                    <w:rPr>
                      <w:rFonts w:hint="default"/>
                      <w:color w:val="000000" w:themeColor="text1"/>
                      <w:kern w:val="21"/>
                      <w:sz w:val="21"/>
                      <w:szCs w:val="21"/>
                      <w14:textFill>
                        <w14:solidFill>
                          <w14:schemeClr w14:val="tx1"/>
                        </w14:solidFill>
                      </w14:textFill>
                    </w:rPr>
                    <w:t>竣工验收及有投诉时进行监测</w:t>
                  </w:r>
                  <w:r>
                    <w:rPr>
                      <w:rFonts w:hint="eastAsia" w:cs="Times New Roman"/>
                      <w:bCs/>
                      <w:color w:val="000000" w:themeColor="text1"/>
                      <w:sz w:val="21"/>
                      <w:szCs w:val="21"/>
                      <w:vertAlign w:val="baseline"/>
                      <w:lang w:val="en-US" w:eastAsia="zh-CN"/>
                      <w14:textFill>
                        <w14:solidFill>
                          <w14:schemeClr w14:val="tx1"/>
                        </w14:solidFill>
                      </w14:textFill>
                    </w:rPr>
                    <w:t>）；</w:t>
                  </w:r>
                </w:p>
                <w:p w14:paraId="29ECFFAF">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若有新增声环境敏感目标，声环境敏感目标处布点监测</w:t>
                  </w:r>
                  <w:r>
                    <w:rPr>
                      <w:rFonts w:hint="eastAsia" w:cs="Times New Roman"/>
                      <w:bCs/>
                      <w:color w:val="000000" w:themeColor="text1"/>
                      <w:sz w:val="21"/>
                      <w:szCs w:val="21"/>
                      <w:vertAlign w:val="baseline"/>
                      <w:lang w:val="en-US" w:eastAsia="zh-CN"/>
                      <w14:textFill>
                        <w14:solidFill>
                          <w14:schemeClr w14:val="tx1"/>
                        </w14:solidFill>
                      </w14:textFill>
                    </w:rPr>
                    <w:t>；</w:t>
                  </w:r>
                </w:p>
                <w:p w14:paraId="58C2FD40">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rFonts w:hint="eastAsia" w:eastAsia="宋体"/>
                      <w:color w:val="000000" w:themeColor="text1"/>
                      <w:lang w:val="en-US" w:eastAsia="zh-CN"/>
                      <w14:textFill>
                        <w14:solidFill>
                          <w14:schemeClr w14:val="tx1"/>
                        </w14:solidFill>
                      </w14:textFill>
                    </w:rPr>
                  </w:pPr>
                  <w:r>
                    <w:rPr>
                      <w:rFonts w:hint="eastAsia" w:cs="Times New Roman"/>
                      <w:bCs/>
                      <w:color w:val="000000" w:themeColor="text1"/>
                      <w:sz w:val="21"/>
                      <w:szCs w:val="21"/>
                      <w:vertAlign w:val="baseline"/>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、输电线路沿线选择有代表性的点位进行监测</w:t>
                  </w:r>
                  <w:r>
                    <w:rPr>
                      <w:rFonts w:hint="eastAsia" w:cs="Times New Roman"/>
                      <w:bCs/>
                      <w:color w:val="000000" w:themeColor="text1"/>
                      <w:sz w:val="21"/>
                      <w:szCs w:val="21"/>
                      <w:vertAlign w:val="baseline"/>
                      <w:lang w:val="en-US" w:eastAsia="zh-CN"/>
                      <w14:textFill>
                        <w14:solidFill>
                          <w14:schemeClr w14:val="tx1"/>
                        </w14:solidFill>
                      </w14:textFill>
                    </w:rPr>
                    <w:t>。</w:t>
                  </w:r>
                </w:p>
              </w:tc>
              <w:tc>
                <w:tcPr>
                  <w:tcW w:w="2027" w:type="dxa"/>
                  <w:tcBorders>
                    <w:tl2br w:val="nil"/>
                    <w:tr2bl w:val="nil"/>
                  </w:tcBorders>
                  <w:vAlign w:val="center"/>
                </w:tcPr>
                <w:p w14:paraId="4908540B">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监测调查范围：110</w:t>
                  </w:r>
                  <w:r>
                    <w:rPr>
                      <w:rFonts w:hint="eastAsia" w:cs="Times New Roman"/>
                      <w:bCs/>
                      <w:color w:val="000000" w:themeColor="text1"/>
                      <w:sz w:val="21"/>
                      <w:szCs w:val="21"/>
                      <w:vertAlign w:val="baseline"/>
                      <w:lang w:val="en-US" w:eastAsia="zh-CN"/>
                      <w14:textFill>
                        <w14:solidFill>
                          <w14:schemeClr w14:val="tx1"/>
                        </w14:solidFill>
                      </w14:textFill>
                    </w:rPr>
                    <w:t>kV</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输变电线路边导线地面投影外两侧各30m</w:t>
                  </w:r>
                </w:p>
                <w:p w14:paraId="5B384CAB">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firstLine="0" w:firstLineChars="0"/>
                    <w:jc w:val="left"/>
                    <w:textAlignment w:val="auto"/>
                    <w:rPr>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执行标准：《声环境质量标准》</w:t>
                  </w:r>
                  <w:r>
                    <w:rPr>
                      <w:rFonts w:hint="eastAsia" w:cs="Times New Roman"/>
                      <w:bCs/>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GB3096-2008</w:t>
                  </w:r>
                  <w:r>
                    <w:rPr>
                      <w:rFonts w:hint="eastAsia" w:cs="Times New Roman"/>
                      <w:bCs/>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中相应功能区标准要求</w:t>
                  </w:r>
                </w:p>
              </w:tc>
            </w:tr>
            <w:tr w14:paraId="7748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Borders>
                    <w:tl2br w:val="nil"/>
                    <w:tr2bl w:val="nil"/>
                  </w:tcBorders>
                  <w:vAlign w:val="center"/>
                </w:tcPr>
                <w:p w14:paraId="64B7C3C5">
                  <w:pPr>
                    <w:pStyle w:val="64"/>
                    <w:spacing w:line="240" w:lineRule="auto"/>
                    <w:ind w:left="-63" w:leftChars="-30" w:right="-105" w:rightChars="-50" w:firstLine="0" w:firstLineChars="0"/>
                    <w:jc w:val="center"/>
                    <w:rPr>
                      <w:rFonts w:hint="default" w:eastAsia="宋体"/>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地表水环境</w:t>
                  </w:r>
                </w:p>
              </w:tc>
              <w:tc>
                <w:tcPr>
                  <w:tcW w:w="1425" w:type="dxa"/>
                  <w:tcBorders>
                    <w:tl2br w:val="nil"/>
                    <w:tr2bl w:val="nil"/>
                  </w:tcBorders>
                  <w:vAlign w:val="center"/>
                </w:tcPr>
                <w:p w14:paraId="6D8BFE8E">
                  <w:pPr>
                    <w:pStyle w:val="64"/>
                    <w:keepNext w:val="0"/>
                    <w:keepLines w:val="0"/>
                    <w:pageBreakBefore w:val="0"/>
                    <w:widowControl w:val="0"/>
                    <w:tabs>
                      <w:tab w:val="left" w:pos="511"/>
                    </w:tabs>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eastAsia="宋体"/>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监测因子：pH、COD、SS、粪大肠菌群</w:t>
                  </w:r>
                </w:p>
              </w:tc>
              <w:tc>
                <w:tcPr>
                  <w:tcW w:w="1080" w:type="dxa"/>
                  <w:tcBorders>
                    <w:tl2br w:val="nil"/>
                    <w:tr2bl w:val="nil"/>
                  </w:tcBorders>
                  <w:vAlign w:val="center"/>
                </w:tcPr>
                <w:p w14:paraId="5E9A9664">
                  <w:pPr>
                    <w:pStyle w:val="6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《农村生活污水处理排放标准》</w:t>
                  </w:r>
                </w:p>
              </w:tc>
              <w:tc>
                <w:tcPr>
                  <w:tcW w:w="3135" w:type="dxa"/>
                  <w:tcBorders>
                    <w:tl2br w:val="nil"/>
                    <w:tr2bl w:val="nil"/>
                  </w:tcBorders>
                  <w:vAlign w:val="center"/>
                </w:tcPr>
                <w:p w14:paraId="71949A1A">
                  <w:pPr>
                    <w:keepNext w:val="0"/>
                    <w:keepLines w:val="0"/>
                    <w:pageBreakBefore w:val="0"/>
                    <w:widowControl w:val="0"/>
                    <w:kinsoku/>
                    <w:wordWrap/>
                    <w:overflowPunct/>
                    <w:topLinePunct w:val="0"/>
                    <w:autoSpaceDE/>
                    <w:autoSpaceDN/>
                    <w:bidi w:val="0"/>
                    <w:adjustRightInd/>
                    <w:snapToGrid/>
                    <w:ind w:left="0" w:leftChars="0" w:right="0" w:rightChars="0"/>
                    <w:textAlignment w:val="auto"/>
                    <w:rPr>
                      <w:rFonts w:hint="eastAsia"/>
                      <w:bCs/>
                      <w:color w:val="000000" w:themeColor="text1"/>
                      <w:sz w:val="21"/>
                      <w:szCs w:val="21"/>
                      <w:highlight w:val="none"/>
                      <w:lang w:val="en-US" w:eastAsia="zh-CN"/>
                      <w14:textFill>
                        <w14:solidFill>
                          <w14:schemeClr w14:val="tx1"/>
                        </w14:solidFill>
                      </w14:textFill>
                    </w:rPr>
                  </w:pPr>
                  <w:r>
                    <w:rPr>
                      <w:bCs/>
                      <w:color w:val="000000" w:themeColor="text1"/>
                      <w:sz w:val="21"/>
                      <w:szCs w:val="21"/>
                      <w:highlight w:val="none"/>
                      <w14:textFill>
                        <w14:solidFill>
                          <w14:schemeClr w14:val="tx1"/>
                        </w14:solidFill>
                      </w14:textFill>
                    </w:rPr>
                    <w:t>1、</w:t>
                  </w:r>
                  <w:r>
                    <w:rPr>
                      <w:rFonts w:hint="eastAsia"/>
                      <w:bCs/>
                      <w:color w:val="000000" w:themeColor="text1"/>
                      <w:sz w:val="21"/>
                      <w:szCs w:val="21"/>
                      <w:highlight w:val="none"/>
                      <w:lang w:val="en-US" w:eastAsia="zh-CN"/>
                      <w14:textFill>
                        <w14:solidFill>
                          <w14:schemeClr w14:val="tx1"/>
                        </w14:solidFill>
                      </w14:textFill>
                    </w:rPr>
                    <w:t>污水处理设备出水口</w:t>
                  </w:r>
                  <w:r>
                    <w:rPr>
                      <w:rFonts w:hint="eastAsia"/>
                      <w:bCs/>
                      <w:color w:val="000000" w:themeColor="text1"/>
                      <w:sz w:val="21"/>
                      <w:szCs w:val="21"/>
                      <w:highlight w:val="none"/>
                      <w14:textFill>
                        <w14:solidFill>
                          <w14:schemeClr w14:val="tx1"/>
                        </w14:solidFill>
                      </w14:textFill>
                    </w:rPr>
                    <w:t>监测（</w:t>
                  </w:r>
                  <w:r>
                    <w:rPr>
                      <w:color w:val="000000" w:themeColor="text1"/>
                      <w:kern w:val="21"/>
                      <w:sz w:val="21"/>
                      <w:szCs w:val="21"/>
                      <w:highlight w:val="none"/>
                      <w14:textFill>
                        <w14:solidFill>
                          <w14:schemeClr w14:val="tx1"/>
                        </w14:solidFill>
                      </w14:textFill>
                    </w:rPr>
                    <w:t>竣工验收及有投诉时进行监测</w:t>
                  </w:r>
                  <w:r>
                    <w:rPr>
                      <w:rFonts w:hint="eastAsia"/>
                      <w:bCs/>
                      <w:color w:val="000000" w:themeColor="text1"/>
                      <w:sz w:val="21"/>
                      <w:szCs w:val="21"/>
                      <w:highlight w:val="none"/>
                      <w14:textFill>
                        <w14:solidFill>
                          <w14:schemeClr w14:val="tx1"/>
                        </w14:solidFill>
                      </w14:textFill>
                    </w:rPr>
                    <w:t>）</w:t>
                  </w:r>
                </w:p>
              </w:tc>
              <w:tc>
                <w:tcPr>
                  <w:tcW w:w="2027" w:type="dxa"/>
                  <w:tcBorders>
                    <w:tl2br w:val="nil"/>
                    <w:tr2bl w:val="nil"/>
                  </w:tcBorders>
                  <w:vAlign w:val="center"/>
                </w:tcPr>
                <w:p w14:paraId="35C9F1DE">
                  <w:pPr>
                    <w:keepNext w:val="0"/>
                    <w:keepLines w:val="0"/>
                    <w:pageBreakBefore w:val="0"/>
                    <w:widowControl w:val="0"/>
                    <w:kinsoku/>
                    <w:wordWrap/>
                    <w:overflowPunct/>
                    <w:topLinePunct w:val="0"/>
                    <w:autoSpaceDE/>
                    <w:autoSpaceDN/>
                    <w:bidi w:val="0"/>
                    <w:adjustRightInd w:val="0"/>
                    <w:snapToGrid w:val="0"/>
                    <w:ind w:left="0" w:leftChars="0" w:right="0" w:rightChars="0"/>
                    <w:jc w:val="lef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《农村生活污水处理排放标准》（DB654275-2019）表2中</w:t>
                  </w:r>
                  <w:r>
                    <w:rPr>
                      <w:rFonts w:hint="eastAsia"/>
                      <w:color w:val="0000FF"/>
                      <w:lang w:val="en-US" w:eastAsia="zh-CN"/>
                    </w:rPr>
                    <w:t>A</w:t>
                  </w:r>
                  <w:r>
                    <w:rPr>
                      <w:rFonts w:hint="eastAsia"/>
                      <w:color w:val="0000FF"/>
                    </w:rPr>
                    <w:t>级标准</w:t>
                  </w:r>
                </w:p>
              </w:tc>
            </w:tr>
            <w:tr w14:paraId="0658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restart"/>
                  <w:tcBorders>
                    <w:tl2br w:val="nil"/>
                    <w:tr2bl w:val="nil"/>
                  </w:tcBorders>
                  <w:vAlign w:val="center"/>
                </w:tcPr>
                <w:p w14:paraId="140ACB56">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生态</w:t>
                  </w:r>
                </w:p>
                <w:p w14:paraId="7D275B42">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恢复</w:t>
                  </w:r>
                </w:p>
              </w:tc>
              <w:tc>
                <w:tcPr>
                  <w:tcW w:w="1425" w:type="dxa"/>
                  <w:tcBorders>
                    <w:tl2br w:val="nil"/>
                    <w:tr2bl w:val="nil"/>
                  </w:tcBorders>
                  <w:vAlign w:val="center"/>
                </w:tcPr>
                <w:p w14:paraId="69E4FBF1">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生态系统及其生物因子、非生物因子</w:t>
                  </w:r>
                </w:p>
              </w:tc>
              <w:tc>
                <w:tcPr>
                  <w:tcW w:w="1080" w:type="dxa"/>
                  <w:tcBorders>
                    <w:tl2br w:val="nil"/>
                    <w:tr2bl w:val="nil"/>
                  </w:tcBorders>
                  <w:vAlign w:val="center"/>
                </w:tcPr>
                <w:p w14:paraId="10A24E41">
                  <w:pPr>
                    <w:pStyle w:val="64"/>
                    <w:spacing w:line="240" w:lineRule="auto"/>
                    <w:ind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生态调查</w:t>
                  </w:r>
                </w:p>
              </w:tc>
              <w:tc>
                <w:tcPr>
                  <w:tcW w:w="3135" w:type="dxa"/>
                  <w:tcBorders>
                    <w:tl2br w:val="nil"/>
                    <w:tr2bl w:val="nil"/>
                  </w:tcBorders>
                  <w:vAlign w:val="center"/>
                </w:tcPr>
                <w:p w14:paraId="3DA0D733">
                  <w:pPr>
                    <w:pStyle w:val="64"/>
                    <w:spacing w:line="240" w:lineRule="auto"/>
                    <w:ind w:left="-63" w:leftChars="-30" w:right="-105" w:rightChars="-50" w:firstLine="0" w:firstLineChars="0"/>
                    <w:jc w:val="left"/>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生态监管主要是定期对工程临时占地的</w:t>
                  </w:r>
                  <w:r>
                    <w:rPr>
                      <w:rFonts w:hint="eastAsia"/>
                      <w:bCs/>
                      <w:color w:val="000000" w:themeColor="text1"/>
                      <w:sz w:val="21"/>
                      <w:szCs w:val="21"/>
                      <w:highlight w:val="none"/>
                      <w14:textFill>
                        <w14:solidFill>
                          <w14:schemeClr w14:val="tx1"/>
                        </w14:solidFill>
                      </w14:textFill>
                    </w:rPr>
                    <w:t>生态</w:t>
                  </w:r>
                  <w:r>
                    <w:rPr>
                      <w:bCs/>
                      <w:color w:val="000000" w:themeColor="text1"/>
                      <w:sz w:val="21"/>
                      <w:szCs w:val="21"/>
                      <w:highlight w:val="none"/>
                      <w14:textFill>
                        <w14:solidFill>
                          <w14:schemeClr w14:val="tx1"/>
                        </w14:solidFill>
                      </w14:textFill>
                    </w:rPr>
                    <w:t>恢复情况和水土流失控制情况进行调查统计，根据实际情况制定完善生态恢复计划，确保工程临时占地恢复原有地貌</w:t>
                  </w:r>
                </w:p>
              </w:tc>
              <w:tc>
                <w:tcPr>
                  <w:tcW w:w="2027" w:type="dxa"/>
                  <w:tcBorders>
                    <w:tl2br w:val="nil"/>
                    <w:tr2bl w:val="nil"/>
                  </w:tcBorders>
                  <w:vAlign w:val="center"/>
                </w:tcPr>
                <w:p w14:paraId="5E6C9339">
                  <w:pPr>
                    <w:pStyle w:val="64"/>
                    <w:spacing w:line="240" w:lineRule="auto"/>
                    <w:ind w:left="-63" w:leftChars="-30" w:right="-105" w:rightChars="-50" w:firstLine="0" w:firstLineChars="0"/>
                    <w:jc w:val="left"/>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生态系统及其生物因子、非生物因子</w:t>
                  </w:r>
                </w:p>
              </w:tc>
            </w:tr>
            <w:tr w14:paraId="4E27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continue"/>
                  <w:tcBorders>
                    <w:tl2br w:val="nil"/>
                    <w:tr2bl w:val="nil"/>
                  </w:tcBorders>
                  <w:vAlign w:val="center"/>
                </w:tcPr>
                <w:p w14:paraId="16E772A6">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p>
              </w:tc>
              <w:tc>
                <w:tcPr>
                  <w:tcW w:w="1425" w:type="dxa"/>
                  <w:tcBorders>
                    <w:tl2br w:val="nil"/>
                    <w:tr2bl w:val="nil"/>
                  </w:tcBorders>
                  <w:vAlign w:val="center"/>
                </w:tcPr>
                <w:p w14:paraId="4825F9CF">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水土流失监测</w:t>
                  </w:r>
                </w:p>
              </w:tc>
              <w:tc>
                <w:tcPr>
                  <w:tcW w:w="1080" w:type="dxa"/>
                  <w:tcBorders>
                    <w:tl2br w:val="nil"/>
                    <w:tr2bl w:val="nil"/>
                  </w:tcBorders>
                  <w:vAlign w:val="center"/>
                </w:tcPr>
                <w:p w14:paraId="73ED5A2E">
                  <w:pPr>
                    <w:pStyle w:val="64"/>
                    <w:spacing w:line="240" w:lineRule="auto"/>
                    <w:ind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生态调查</w:t>
                  </w:r>
                </w:p>
              </w:tc>
              <w:tc>
                <w:tcPr>
                  <w:tcW w:w="3135" w:type="dxa"/>
                  <w:tcBorders>
                    <w:tl2br w:val="nil"/>
                    <w:tr2bl w:val="nil"/>
                  </w:tcBorders>
                  <w:vAlign w:val="center"/>
                </w:tcPr>
                <w:p w14:paraId="73A98AB2">
                  <w:pPr>
                    <w:pStyle w:val="64"/>
                    <w:spacing w:line="240" w:lineRule="auto"/>
                    <w:ind w:left="-63" w:leftChars="-30" w:right="-105" w:rightChars="-50" w:firstLine="0" w:firstLineChars="0"/>
                    <w:jc w:val="left"/>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观测防护措施效果、施工迹地的恢复</w:t>
                  </w:r>
                </w:p>
              </w:tc>
              <w:tc>
                <w:tcPr>
                  <w:tcW w:w="2027" w:type="dxa"/>
                  <w:tcBorders>
                    <w:tl2br w:val="nil"/>
                    <w:tr2bl w:val="nil"/>
                  </w:tcBorders>
                  <w:vAlign w:val="center"/>
                </w:tcPr>
                <w:p w14:paraId="4A3AD5C2">
                  <w:pPr>
                    <w:pStyle w:val="64"/>
                    <w:spacing w:line="240" w:lineRule="auto"/>
                    <w:ind w:left="-63" w:leftChars="-30" w:right="-105" w:rightChars="-50" w:firstLine="0" w:firstLineChars="0"/>
                    <w:jc w:val="center"/>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水土流失监测</w:t>
                  </w:r>
                </w:p>
              </w:tc>
            </w:tr>
          </w:tbl>
          <w:p w14:paraId="2EDEDC4F">
            <w:pPr>
              <w:pStyle w:val="3"/>
              <w:spacing w:after="0" w:line="360" w:lineRule="auto"/>
              <w:rPr>
                <w:rFonts w:hint="eastAsia" w:ascii="宋体" w:hAnsi="宋体" w:cs="宋体"/>
                <w:color w:val="000000" w:themeColor="text1"/>
                <w:spacing w:val="10"/>
                <w:szCs w:val="21"/>
                <w:highlight w:val="none"/>
                <w14:textFill>
                  <w14:solidFill>
                    <w14:schemeClr w14:val="tx1"/>
                  </w14:solidFill>
                </w14:textFill>
              </w:rPr>
            </w:pPr>
          </w:p>
        </w:tc>
      </w:tr>
      <w:tr w14:paraId="71DDC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42" w:hRule="atLeast"/>
          <w:jc w:val="center"/>
        </w:trPr>
        <w:tc>
          <w:tcPr>
            <w:tcW w:w="777" w:type="dxa"/>
            <w:vAlign w:val="center"/>
          </w:tcPr>
          <w:p w14:paraId="636C3A17">
            <w:pPr>
              <w:adjustRightInd w:val="0"/>
              <w:snapToGrid w:val="0"/>
              <w:jc w:val="center"/>
              <w:rPr>
                <w:rFonts w:hint="eastAsia" w:ascii="宋体" w:hAnsi="宋体" w:cs="宋体"/>
                <w:bCs/>
                <w:color w:val="000000" w:themeColor="text1"/>
                <w:spacing w:val="10"/>
                <w:szCs w:val="21"/>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环保投资</w:t>
            </w:r>
          </w:p>
        </w:tc>
        <w:tc>
          <w:tcPr>
            <w:tcW w:w="8457" w:type="dxa"/>
          </w:tcPr>
          <w:p w14:paraId="49FD634A">
            <w:pPr>
              <w:pStyle w:val="17"/>
              <w:spacing w:before="120" w:beforeLines="50" w:line="360" w:lineRule="auto"/>
              <w:ind w:left="0" w:leftChars="0"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根据本项目建设内容及特点，环保投资估算见</w:t>
            </w:r>
            <w:r>
              <w:rPr>
                <w:rFonts w:hint="eastAsia"/>
                <w:color w:val="000000" w:themeColor="text1"/>
                <w:sz w:val="24"/>
                <w:highlight w:val="none"/>
                <w14:textFill>
                  <w14:solidFill>
                    <w14:schemeClr w14:val="tx1"/>
                  </w14:solidFill>
                </w14:textFill>
              </w:rPr>
              <w:t>下表</w:t>
            </w:r>
            <w:r>
              <w:rPr>
                <w:color w:val="000000" w:themeColor="text1"/>
                <w:sz w:val="24"/>
                <w:highlight w:val="none"/>
                <w14:textFill>
                  <w14:solidFill>
                    <w14:schemeClr w14:val="tx1"/>
                  </w14:solidFill>
                </w14:textFill>
              </w:rPr>
              <w:t>。本项目总投资</w:t>
            </w:r>
            <w:r>
              <w:rPr>
                <w:rFonts w:hint="eastAsia"/>
                <w:color w:val="000000" w:themeColor="text1"/>
                <w:sz w:val="24"/>
                <w:highlight w:val="none"/>
                <w:lang w:val="en-US" w:eastAsia="zh-CN"/>
                <w14:textFill>
                  <w14:solidFill>
                    <w14:schemeClr w14:val="tx1"/>
                  </w14:solidFill>
                </w14:textFill>
              </w:rPr>
              <w:t>36028万元</w:t>
            </w:r>
            <w:r>
              <w:rPr>
                <w:color w:val="000000" w:themeColor="text1"/>
                <w:sz w:val="24"/>
                <w:highlight w:val="none"/>
                <w14:textFill>
                  <w14:solidFill>
                    <w14:schemeClr w14:val="tx1"/>
                  </w14:solidFill>
                </w14:textFill>
              </w:rPr>
              <w:t>，环保投资</w:t>
            </w:r>
            <w:r>
              <w:rPr>
                <w:rFonts w:hint="eastAsia"/>
                <w:color w:val="000000" w:themeColor="text1"/>
                <w:sz w:val="24"/>
                <w:highlight w:val="none"/>
                <w14:textFill>
                  <w14:solidFill>
                    <w14:schemeClr w14:val="tx1"/>
                  </w14:solidFill>
                </w14:textFill>
              </w:rPr>
              <w:t>102</w:t>
            </w:r>
            <w:r>
              <w:rPr>
                <w:color w:val="000000" w:themeColor="text1"/>
                <w:sz w:val="24"/>
                <w:highlight w:val="none"/>
                <w14:textFill>
                  <w14:solidFill>
                    <w14:schemeClr w14:val="tx1"/>
                  </w14:solidFill>
                </w14:textFill>
              </w:rPr>
              <w:t>万元，占总投资的</w:t>
            </w: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28</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w:t>
            </w:r>
          </w:p>
          <w:p w14:paraId="18D6ED0B">
            <w:pPr>
              <w:spacing w:before="120" w:beforeLines="50"/>
              <w:jc w:val="center"/>
              <w:rPr>
                <w:bCs/>
                <w:color w:val="000000" w:themeColor="text1"/>
                <w:spacing w:val="10"/>
                <w:sz w:val="24"/>
                <w:highlight w:val="none"/>
                <w14:textFill>
                  <w14:solidFill>
                    <w14:schemeClr w14:val="tx1"/>
                  </w14:solidFill>
                </w14:textFill>
              </w:rPr>
            </w:pPr>
            <w:r>
              <w:rPr>
                <w:b/>
                <w:color w:val="000000" w:themeColor="text1"/>
                <w:sz w:val="24"/>
                <w:highlight w:val="none"/>
                <w14:textFill>
                  <w14:solidFill>
                    <w14:schemeClr w14:val="tx1"/>
                  </w14:solidFill>
                </w14:textFill>
              </w:rPr>
              <w:t>表</w:t>
            </w:r>
            <w:r>
              <w:rPr>
                <w:rFonts w:hint="eastAsia"/>
                <w:b/>
                <w:color w:val="000000" w:themeColor="text1"/>
                <w:sz w:val="24"/>
                <w:highlight w:val="none"/>
                <w14:textFill>
                  <w14:solidFill>
                    <w14:schemeClr w14:val="tx1"/>
                  </w14:solidFill>
                </w14:textFill>
              </w:rPr>
              <w:t>5-7</w:t>
            </w:r>
            <w:r>
              <w:rPr>
                <w:b/>
                <w:color w:val="000000" w:themeColor="text1"/>
                <w:sz w:val="24"/>
                <w:highlight w:val="none"/>
                <w14:textFill>
                  <w14:solidFill>
                    <w14:schemeClr w14:val="tx1"/>
                  </w14:solidFill>
                </w14:textFill>
              </w:rPr>
              <w:t xml:space="preserve"> </w:t>
            </w:r>
            <w:r>
              <w:rPr>
                <w:rFonts w:hint="eastAsia"/>
                <w:b/>
                <w:color w:val="000000" w:themeColor="text1"/>
                <w:sz w:val="24"/>
                <w:highlight w:val="none"/>
                <w14:textFill>
                  <w14:solidFill>
                    <w14:schemeClr w14:val="tx1"/>
                  </w14:solidFill>
                </w14:textFill>
              </w:rPr>
              <w:t xml:space="preserve"> </w:t>
            </w:r>
            <w:r>
              <w:rPr>
                <w:b/>
                <w:color w:val="000000" w:themeColor="text1"/>
                <w:sz w:val="24"/>
                <w:highlight w:val="none"/>
                <w14:textFill>
                  <w14:solidFill>
                    <w14:schemeClr w14:val="tx1"/>
                  </w14:solidFill>
                </w14:textFill>
              </w:rPr>
              <w:t>环保投资估算</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4545"/>
              <w:gridCol w:w="1867"/>
            </w:tblGrid>
            <w:tr w14:paraId="613E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11" w:type="dxa"/>
                  <w:tcBorders>
                    <w:tl2br w:val="nil"/>
                    <w:tr2bl w:val="nil"/>
                  </w:tcBorders>
                  <w:vAlign w:val="center"/>
                </w:tcPr>
                <w:p w14:paraId="08508CB3">
                  <w:pPr>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治理项目</w:t>
                  </w:r>
                </w:p>
              </w:tc>
              <w:tc>
                <w:tcPr>
                  <w:tcW w:w="4545" w:type="dxa"/>
                  <w:tcBorders>
                    <w:tl2br w:val="nil"/>
                    <w:tr2bl w:val="nil"/>
                  </w:tcBorders>
                  <w:vAlign w:val="center"/>
                </w:tcPr>
                <w:p w14:paraId="1532705E">
                  <w:pPr>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环保设施（措施）</w:t>
                  </w:r>
                </w:p>
              </w:tc>
              <w:tc>
                <w:tcPr>
                  <w:tcW w:w="1867" w:type="dxa"/>
                  <w:tcBorders>
                    <w:tl2br w:val="nil"/>
                    <w:tr2bl w:val="nil"/>
                  </w:tcBorders>
                  <w:vAlign w:val="center"/>
                </w:tcPr>
                <w:p w14:paraId="4B0D889C">
                  <w:pPr>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投资额（万元）</w:t>
                  </w:r>
                </w:p>
              </w:tc>
            </w:tr>
            <w:tr w14:paraId="18CB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811" w:type="dxa"/>
                  <w:vMerge w:val="restart"/>
                  <w:tcBorders>
                    <w:tl2br w:val="nil"/>
                    <w:tr2bl w:val="nil"/>
                  </w:tcBorders>
                  <w:vAlign w:val="center"/>
                </w:tcPr>
                <w:p w14:paraId="3B96E5A2">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废气</w:t>
                  </w:r>
                </w:p>
              </w:tc>
              <w:tc>
                <w:tcPr>
                  <w:tcW w:w="4545" w:type="dxa"/>
                  <w:tcBorders>
                    <w:tl2br w:val="nil"/>
                    <w:tr2bl w:val="nil"/>
                  </w:tcBorders>
                  <w:vAlign w:val="center"/>
                </w:tcPr>
                <w:p w14:paraId="26F44448">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施工期扬尘治理（如洒水降尘等）</w:t>
                  </w:r>
                </w:p>
              </w:tc>
              <w:tc>
                <w:tcPr>
                  <w:tcW w:w="1867" w:type="dxa"/>
                  <w:tcBorders>
                    <w:tl2br w:val="nil"/>
                    <w:tr2bl w:val="nil"/>
                  </w:tcBorders>
                  <w:vAlign w:val="center"/>
                </w:tcPr>
                <w:p w14:paraId="03EC3C20">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3</w:t>
                  </w:r>
                </w:p>
              </w:tc>
            </w:tr>
            <w:tr w14:paraId="6981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811" w:type="dxa"/>
                  <w:vMerge w:val="continue"/>
                  <w:tcBorders>
                    <w:tl2br w:val="nil"/>
                    <w:tr2bl w:val="nil"/>
                  </w:tcBorders>
                  <w:vAlign w:val="center"/>
                </w:tcPr>
                <w:p w14:paraId="4B4C07C3">
                  <w:pPr>
                    <w:jc w:val="center"/>
                    <w:rPr>
                      <w:color w:val="000000" w:themeColor="text1"/>
                      <w:highlight w:val="none"/>
                      <w14:textFill>
                        <w14:solidFill>
                          <w14:schemeClr w14:val="tx1"/>
                        </w14:solidFill>
                      </w14:textFill>
                    </w:rPr>
                  </w:pPr>
                </w:p>
              </w:tc>
              <w:tc>
                <w:tcPr>
                  <w:tcW w:w="4545" w:type="dxa"/>
                  <w:tcBorders>
                    <w:tl2br w:val="nil"/>
                    <w:tr2bl w:val="nil"/>
                  </w:tcBorders>
                  <w:vAlign w:val="center"/>
                </w:tcPr>
                <w:p w14:paraId="3ED2A027">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运营期</w:t>
                  </w:r>
                  <w:r>
                    <w:rPr>
                      <w:rFonts w:hint="eastAsia"/>
                      <w:color w:val="000000" w:themeColor="text1"/>
                      <w:szCs w:val="21"/>
                      <w:highlight w:val="none"/>
                      <w14:textFill>
                        <w14:solidFill>
                          <w14:schemeClr w14:val="tx1"/>
                        </w14:solidFill>
                      </w14:textFill>
                    </w:rPr>
                    <w:t>生活区食堂油烟：本项目食堂灶头上部按要求安装排风罩，并配套安装1台净化效率85%的油烟净化器，通过专用烟道食堂屋顶排放</w:t>
                  </w:r>
                </w:p>
              </w:tc>
              <w:tc>
                <w:tcPr>
                  <w:tcW w:w="1867" w:type="dxa"/>
                  <w:tcBorders>
                    <w:tl2br w:val="nil"/>
                    <w:tr2bl w:val="nil"/>
                  </w:tcBorders>
                  <w:vAlign w:val="center"/>
                </w:tcPr>
                <w:p w14:paraId="3156C99E">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w:t>
                  </w:r>
                </w:p>
              </w:tc>
            </w:tr>
            <w:tr w14:paraId="5F94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11" w:type="dxa"/>
                  <w:tcBorders>
                    <w:tl2br w:val="nil"/>
                    <w:tr2bl w:val="nil"/>
                  </w:tcBorders>
                  <w:vAlign w:val="center"/>
                </w:tcPr>
                <w:p w14:paraId="26BA96B1">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噪声</w:t>
                  </w:r>
                </w:p>
              </w:tc>
              <w:tc>
                <w:tcPr>
                  <w:tcW w:w="4545" w:type="dxa"/>
                  <w:tcBorders>
                    <w:tl2br w:val="nil"/>
                    <w:tr2bl w:val="nil"/>
                  </w:tcBorders>
                  <w:vAlign w:val="center"/>
                </w:tcPr>
                <w:p w14:paraId="5F33CEEE">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低噪声变压器、基础减震</w:t>
                  </w:r>
                </w:p>
              </w:tc>
              <w:tc>
                <w:tcPr>
                  <w:tcW w:w="1867" w:type="dxa"/>
                  <w:tcBorders>
                    <w:tl2br w:val="nil"/>
                    <w:tr2bl w:val="nil"/>
                  </w:tcBorders>
                  <w:vAlign w:val="center"/>
                </w:tcPr>
                <w:p w14:paraId="61965700">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w:t>
                  </w:r>
                </w:p>
              </w:tc>
            </w:tr>
            <w:tr w14:paraId="1BA0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11" w:type="dxa"/>
                  <w:tcBorders>
                    <w:tl2br w:val="nil"/>
                    <w:tr2bl w:val="nil"/>
                  </w:tcBorders>
                  <w:vAlign w:val="center"/>
                </w:tcPr>
                <w:p w14:paraId="61E51924">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废水</w:t>
                  </w:r>
                </w:p>
              </w:tc>
              <w:tc>
                <w:tcPr>
                  <w:tcW w:w="4545" w:type="dxa"/>
                  <w:tcBorders>
                    <w:tl2br w:val="nil"/>
                    <w:tr2bl w:val="nil"/>
                  </w:tcBorders>
                  <w:vAlign w:val="center"/>
                </w:tcPr>
                <w:p w14:paraId="2D025E2F">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建设1座</w:t>
                  </w:r>
                  <w:r>
                    <w:rPr>
                      <w:rFonts w:hint="eastAsia"/>
                      <w:color w:val="000000" w:themeColor="text1"/>
                      <w:kern w:val="0"/>
                      <w:szCs w:val="21"/>
                      <w:highlight w:val="none"/>
                      <w:lang w:val="en-US" w:eastAsia="zh-CN"/>
                      <w14:textFill>
                        <w14:solidFill>
                          <w14:schemeClr w14:val="tx1"/>
                        </w14:solidFill>
                      </w14:textFill>
                    </w:rPr>
                    <w:t>0.5</w:t>
                  </w:r>
                  <w:r>
                    <w:rPr>
                      <w:rFonts w:hint="eastAsia"/>
                      <w:color w:val="000000" w:themeColor="text1"/>
                      <w:kern w:val="0"/>
                      <w:szCs w:val="21"/>
                      <w:highlight w:val="none"/>
                      <w14:textFill>
                        <w14:solidFill>
                          <w14:schemeClr w14:val="tx1"/>
                        </w14:solidFill>
                      </w14:textFill>
                    </w:rPr>
                    <w:t>m</w:t>
                  </w:r>
                  <w:r>
                    <w:rPr>
                      <w:rFonts w:hint="eastAsia"/>
                      <w:color w:val="000000" w:themeColor="text1"/>
                      <w:kern w:val="0"/>
                      <w:szCs w:val="21"/>
                      <w:highlight w:val="none"/>
                      <w:vertAlign w:val="superscript"/>
                      <w14:textFill>
                        <w14:solidFill>
                          <w14:schemeClr w14:val="tx1"/>
                        </w14:solidFill>
                      </w14:textFill>
                    </w:rPr>
                    <w:t>3</w:t>
                  </w:r>
                  <w:r>
                    <w:rPr>
                      <w:rFonts w:hint="eastAsia"/>
                      <w:color w:val="000000" w:themeColor="text1"/>
                      <w:kern w:val="0"/>
                      <w:szCs w:val="21"/>
                      <w:highlight w:val="none"/>
                      <w14:textFill>
                        <w14:solidFill>
                          <w14:schemeClr w14:val="tx1"/>
                        </w14:solidFill>
                      </w14:textFill>
                    </w:rPr>
                    <w:t>/h</w:t>
                  </w:r>
                  <w:r>
                    <w:rPr>
                      <w:rFonts w:hint="eastAsia"/>
                      <w:color w:val="000000" w:themeColor="text1"/>
                      <w:kern w:val="0"/>
                      <w:szCs w:val="21"/>
                      <w:highlight w:val="none"/>
                      <w:lang w:val="en-US" w:eastAsia="zh-CN"/>
                      <w14:textFill>
                        <w14:solidFill>
                          <w14:schemeClr w14:val="tx1"/>
                        </w14:solidFill>
                      </w14:textFill>
                    </w:rPr>
                    <w:t>地埋式</w:t>
                  </w:r>
                  <w:r>
                    <w:rPr>
                      <w:rFonts w:hint="eastAsia"/>
                      <w:color w:val="000000" w:themeColor="text1"/>
                      <w:kern w:val="0"/>
                      <w:szCs w:val="21"/>
                      <w:highlight w:val="none"/>
                      <w14:textFill>
                        <w14:solidFill>
                          <w14:schemeClr w14:val="tx1"/>
                        </w14:solidFill>
                      </w14:textFill>
                    </w:rPr>
                    <w:t>一体化污水处理设备</w:t>
                  </w:r>
                </w:p>
              </w:tc>
              <w:tc>
                <w:tcPr>
                  <w:tcW w:w="1867" w:type="dxa"/>
                  <w:tcBorders>
                    <w:tl2br w:val="nil"/>
                    <w:tr2bl w:val="nil"/>
                  </w:tcBorders>
                  <w:vAlign w:val="center"/>
                </w:tcPr>
                <w:p w14:paraId="4EE3FE53">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25</w:t>
                  </w:r>
                </w:p>
              </w:tc>
            </w:tr>
            <w:tr w14:paraId="306D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11" w:type="dxa"/>
                  <w:vMerge w:val="restart"/>
                  <w:tcBorders>
                    <w:tl2br w:val="nil"/>
                    <w:tr2bl w:val="nil"/>
                  </w:tcBorders>
                  <w:vAlign w:val="center"/>
                </w:tcPr>
                <w:p w14:paraId="7B5062F7">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固废</w:t>
                  </w:r>
                </w:p>
              </w:tc>
              <w:tc>
                <w:tcPr>
                  <w:tcW w:w="4545" w:type="dxa"/>
                  <w:tcBorders>
                    <w:tl2br w:val="nil"/>
                    <w:tr2bl w:val="nil"/>
                  </w:tcBorders>
                  <w:vAlign w:val="center"/>
                </w:tcPr>
                <w:p w14:paraId="55F1A01B">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1座危废舱，固体废物处理费</w:t>
                  </w:r>
                </w:p>
              </w:tc>
              <w:tc>
                <w:tcPr>
                  <w:tcW w:w="1867" w:type="dxa"/>
                  <w:tcBorders>
                    <w:tl2br w:val="nil"/>
                    <w:tr2bl w:val="nil"/>
                  </w:tcBorders>
                  <w:vAlign w:val="center"/>
                </w:tcPr>
                <w:p w14:paraId="319807BF">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15</w:t>
                  </w:r>
                </w:p>
              </w:tc>
            </w:tr>
            <w:tr w14:paraId="5342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11" w:type="dxa"/>
                  <w:vMerge w:val="continue"/>
                  <w:tcBorders>
                    <w:tl2br w:val="nil"/>
                    <w:tr2bl w:val="nil"/>
                  </w:tcBorders>
                  <w:vAlign w:val="center"/>
                </w:tcPr>
                <w:p w14:paraId="06EA1F27">
                  <w:pPr>
                    <w:jc w:val="center"/>
                    <w:rPr>
                      <w:color w:val="000000" w:themeColor="text1"/>
                      <w:kern w:val="0"/>
                      <w:szCs w:val="21"/>
                      <w:highlight w:val="none"/>
                      <w14:textFill>
                        <w14:solidFill>
                          <w14:schemeClr w14:val="tx1"/>
                        </w14:solidFill>
                      </w14:textFill>
                    </w:rPr>
                  </w:pPr>
                </w:p>
              </w:tc>
              <w:tc>
                <w:tcPr>
                  <w:tcW w:w="4545" w:type="dxa"/>
                  <w:tcBorders>
                    <w:tl2br w:val="nil"/>
                    <w:tr2bl w:val="nil"/>
                  </w:tcBorders>
                  <w:vAlign w:val="center"/>
                </w:tcPr>
                <w:p w14:paraId="5EB9CD85">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1座</w:t>
                  </w:r>
                  <w:r>
                    <w:rPr>
                      <w:rFonts w:hint="eastAsia"/>
                      <w:color w:val="000000" w:themeColor="text1"/>
                      <w:kern w:val="0"/>
                      <w:szCs w:val="21"/>
                      <w:highlight w:val="none"/>
                      <w:lang w:val="en-US" w:eastAsia="zh-CN"/>
                      <w14:textFill>
                        <w14:solidFill>
                          <w14:schemeClr w14:val="tx1"/>
                        </w14:solidFill>
                      </w14:textFill>
                    </w:rPr>
                    <w:t>有效容积40</w:t>
                  </w:r>
                  <w:r>
                    <w:rPr>
                      <w:rFonts w:hint="eastAsia"/>
                      <w:color w:val="000000" w:themeColor="text1"/>
                      <w:kern w:val="0"/>
                      <w:szCs w:val="21"/>
                      <w:highlight w:val="none"/>
                      <w14:textFill>
                        <w14:solidFill>
                          <w14:schemeClr w14:val="tx1"/>
                        </w14:solidFill>
                      </w14:textFill>
                    </w:rPr>
                    <w:t>m</w:t>
                  </w:r>
                  <w:r>
                    <w:rPr>
                      <w:rFonts w:hint="eastAsia"/>
                      <w:color w:val="000000" w:themeColor="text1"/>
                      <w:kern w:val="0"/>
                      <w:szCs w:val="21"/>
                      <w:highlight w:val="none"/>
                      <w:vertAlign w:val="superscript"/>
                      <w14:textFill>
                        <w14:solidFill>
                          <w14:schemeClr w14:val="tx1"/>
                        </w14:solidFill>
                      </w14:textFill>
                    </w:rPr>
                    <w:t>3</w:t>
                  </w:r>
                  <w:r>
                    <w:rPr>
                      <w:rFonts w:hint="eastAsia"/>
                      <w:color w:val="000000" w:themeColor="text1"/>
                      <w:kern w:val="0"/>
                      <w:szCs w:val="21"/>
                      <w:highlight w:val="none"/>
                      <w14:textFill>
                        <w14:solidFill>
                          <w14:schemeClr w14:val="tx1"/>
                        </w14:solidFill>
                      </w14:textFill>
                    </w:rPr>
                    <w:t>事故油池</w:t>
                  </w:r>
                </w:p>
              </w:tc>
              <w:tc>
                <w:tcPr>
                  <w:tcW w:w="1867" w:type="dxa"/>
                  <w:tcBorders>
                    <w:tl2br w:val="nil"/>
                    <w:tr2bl w:val="nil"/>
                  </w:tcBorders>
                  <w:vAlign w:val="center"/>
                </w:tcPr>
                <w:p w14:paraId="190E438E">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30</w:t>
                  </w:r>
                </w:p>
              </w:tc>
            </w:tr>
            <w:tr w14:paraId="0560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11" w:type="dxa"/>
                  <w:tcBorders>
                    <w:tl2br w:val="nil"/>
                    <w:tr2bl w:val="nil"/>
                  </w:tcBorders>
                  <w:vAlign w:val="center"/>
                </w:tcPr>
                <w:p w14:paraId="35C579C8">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生态</w:t>
                  </w:r>
                </w:p>
              </w:tc>
              <w:tc>
                <w:tcPr>
                  <w:tcW w:w="4545" w:type="dxa"/>
                  <w:tcBorders>
                    <w:tl2br w:val="nil"/>
                    <w:tr2bl w:val="nil"/>
                  </w:tcBorders>
                  <w:vAlign w:val="center"/>
                </w:tcPr>
                <w:p w14:paraId="73DDC7DE">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警示牌、边坡护理、施工迹地恢复</w:t>
                  </w:r>
                </w:p>
              </w:tc>
              <w:tc>
                <w:tcPr>
                  <w:tcW w:w="1867" w:type="dxa"/>
                  <w:tcBorders>
                    <w:tl2br w:val="nil"/>
                    <w:tr2bl w:val="nil"/>
                  </w:tcBorders>
                  <w:vAlign w:val="center"/>
                </w:tcPr>
                <w:p w14:paraId="1E49842A">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20</w:t>
                  </w:r>
                </w:p>
              </w:tc>
            </w:tr>
            <w:tr w14:paraId="7596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11" w:type="dxa"/>
                  <w:tcBorders>
                    <w:tl2br w:val="nil"/>
                    <w:tr2bl w:val="nil"/>
                  </w:tcBorders>
                  <w:vAlign w:val="center"/>
                </w:tcPr>
                <w:p w14:paraId="4F8AC9F7">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监测</w:t>
                  </w:r>
                </w:p>
              </w:tc>
              <w:tc>
                <w:tcPr>
                  <w:tcW w:w="4545" w:type="dxa"/>
                  <w:tcBorders>
                    <w:tl2br w:val="nil"/>
                    <w:tr2bl w:val="nil"/>
                  </w:tcBorders>
                  <w:vAlign w:val="center"/>
                </w:tcPr>
                <w:p w14:paraId="1A72E51F">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噪声、</w:t>
                  </w:r>
                  <w:r>
                    <w:rPr>
                      <w:color w:val="000000" w:themeColor="text1"/>
                      <w:szCs w:val="21"/>
                      <w:highlight w:val="none"/>
                      <w14:textFill>
                        <w14:solidFill>
                          <w14:schemeClr w14:val="tx1"/>
                        </w14:solidFill>
                      </w14:textFill>
                    </w:rPr>
                    <w:t>工频电场、工频磁场</w:t>
                  </w:r>
                  <w:r>
                    <w:rPr>
                      <w:rFonts w:hint="eastAsia"/>
                      <w:color w:val="000000" w:themeColor="text1"/>
                      <w:szCs w:val="21"/>
                      <w:highlight w:val="none"/>
                      <w14:textFill>
                        <w14:solidFill>
                          <w14:schemeClr w14:val="tx1"/>
                        </w14:solidFill>
                      </w14:textFill>
                    </w:rPr>
                    <w:t>监测</w:t>
                  </w:r>
                </w:p>
              </w:tc>
              <w:tc>
                <w:tcPr>
                  <w:tcW w:w="1867" w:type="dxa"/>
                  <w:tcBorders>
                    <w:tl2br w:val="nil"/>
                    <w:tr2bl w:val="nil"/>
                  </w:tcBorders>
                  <w:vAlign w:val="center"/>
                </w:tcPr>
                <w:p w14:paraId="44CC8850">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w:t>
                  </w:r>
                </w:p>
              </w:tc>
            </w:tr>
            <w:tr w14:paraId="66F1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56" w:type="dxa"/>
                  <w:gridSpan w:val="2"/>
                  <w:tcBorders>
                    <w:tl2br w:val="nil"/>
                    <w:tr2bl w:val="nil"/>
                  </w:tcBorders>
                  <w:vAlign w:val="center"/>
                </w:tcPr>
                <w:p w14:paraId="21E65F59">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合计（万元）</w:t>
                  </w:r>
                </w:p>
              </w:tc>
              <w:tc>
                <w:tcPr>
                  <w:tcW w:w="1867" w:type="dxa"/>
                  <w:tcBorders>
                    <w:tl2br w:val="nil"/>
                    <w:tr2bl w:val="nil"/>
                  </w:tcBorders>
                  <w:vAlign w:val="center"/>
                </w:tcPr>
                <w:p w14:paraId="1DE4A097">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102</w:t>
                  </w:r>
                </w:p>
              </w:tc>
            </w:tr>
          </w:tbl>
          <w:p w14:paraId="5C4A2189">
            <w:pPr>
              <w:adjustRightInd w:val="0"/>
              <w:snapToGrid w:val="0"/>
              <w:rPr>
                <w:rFonts w:hint="eastAsia" w:ascii="宋体" w:hAnsi="宋体" w:cs="宋体"/>
                <w:bCs/>
                <w:color w:val="000000" w:themeColor="text1"/>
                <w:spacing w:val="10"/>
                <w:szCs w:val="21"/>
                <w:highlight w:val="none"/>
                <w14:textFill>
                  <w14:solidFill>
                    <w14:schemeClr w14:val="tx1"/>
                  </w14:solidFill>
                </w14:textFill>
              </w:rPr>
            </w:pPr>
          </w:p>
          <w:p w14:paraId="11E5525D">
            <w:pPr>
              <w:pStyle w:val="44"/>
              <w:jc w:val="both"/>
              <w:rPr>
                <w:rFonts w:hint="eastAsia" w:eastAsia="宋体"/>
                <w:bCs/>
                <w:color w:val="000000" w:themeColor="text1"/>
                <w:spacing w:val="10"/>
                <w:highlight w:val="none"/>
                <w:lang w:eastAsia="zh-CN"/>
                <w14:textFill>
                  <w14:solidFill>
                    <w14:schemeClr w14:val="tx1"/>
                  </w14:solidFill>
                </w14:textFill>
              </w:rPr>
            </w:pPr>
          </w:p>
          <w:p w14:paraId="25957608">
            <w:pPr>
              <w:pStyle w:val="44"/>
              <w:jc w:val="both"/>
              <w:rPr>
                <w:rFonts w:hint="eastAsia" w:eastAsia="宋体"/>
                <w:bCs/>
                <w:color w:val="000000" w:themeColor="text1"/>
                <w:spacing w:val="10"/>
                <w:highlight w:val="none"/>
                <w:lang w:eastAsia="zh-CN"/>
                <w14:textFill>
                  <w14:solidFill>
                    <w14:schemeClr w14:val="tx1"/>
                  </w14:solidFill>
                </w14:textFill>
              </w:rPr>
            </w:pPr>
          </w:p>
        </w:tc>
      </w:tr>
    </w:tbl>
    <w:p w14:paraId="63FD32AF">
      <w:pPr>
        <w:pStyle w:val="27"/>
        <w:jc w:val="center"/>
        <w:rPr>
          <w:rFonts w:hint="eastAsia" w:ascii="黑体" w:hAnsi="黑体" w:eastAsia="黑体"/>
          <w:snapToGrid w:val="0"/>
          <w:color w:val="000000" w:themeColor="text1"/>
          <w:sz w:val="30"/>
          <w:szCs w:val="30"/>
          <w:highlight w:val="none"/>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038E5DC9">
      <w:pPr>
        <w:pStyle w:val="27"/>
        <w:spacing w:after="0" w:afterAutospacing="0"/>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52" w:name="_Toc4193"/>
      <w:bookmarkStart w:id="53" w:name="_Toc25478"/>
      <w:r>
        <w:rPr>
          <w:rFonts w:hint="eastAsia" w:ascii="黑体" w:hAnsi="黑体" w:eastAsia="黑体"/>
          <w:snapToGrid w:val="0"/>
          <w:color w:val="000000" w:themeColor="text1"/>
          <w:sz w:val="30"/>
          <w:szCs w:val="30"/>
          <w:highlight w:val="none"/>
          <w14:textFill>
            <w14:solidFill>
              <w14:schemeClr w14:val="tx1"/>
            </w14:solidFill>
          </w14:textFill>
        </w:rPr>
        <w:t>六、生态环境保护措施监督检查清单</w:t>
      </w:r>
      <w:bookmarkEnd w:id="52"/>
      <w:bookmarkEnd w:id="53"/>
    </w:p>
    <w:tbl>
      <w:tblPr>
        <w:tblStyle w:val="3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034"/>
        <w:gridCol w:w="1251"/>
        <w:gridCol w:w="2465"/>
        <w:gridCol w:w="1655"/>
      </w:tblGrid>
      <w:tr w14:paraId="6302B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Merge w:val="restart"/>
            <w:tcBorders>
              <w:tl2br w:val="single" w:color="auto" w:sz="4" w:space="0"/>
            </w:tcBorders>
          </w:tcPr>
          <w:p w14:paraId="07B0A551">
            <w:pPr>
              <w:pStyle w:val="27"/>
              <w:adjustRightInd w:val="0"/>
              <w:snapToGrid w:val="0"/>
              <w:spacing w:before="72" w:beforeLines="30" w:beforeAutospacing="0" w:after="0" w:afterAutospacing="0"/>
              <w:ind w:left="-105" w:leftChars="-50" w:right="-105" w:rightChars="-50"/>
              <w:jc w:val="right"/>
              <w:outlineLvl w:val="0"/>
              <w:rPr>
                <w:rFonts w:ascii="Times New Roman" w:hAnsi="Times New Roman" w:eastAsia="黑体"/>
                <w:color w:val="000000" w:themeColor="text1"/>
                <w:kern w:val="2"/>
                <w:sz w:val="21"/>
                <w:szCs w:val="21"/>
                <w:highlight w:val="none"/>
                <w14:textFill>
                  <w14:solidFill>
                    <w14:schemeClr w14:val="tx1"/>
                  </w14:solidFill>
                </w14:textFill>
              </w:rPr>
            </w:pPr>
            <w:r>
              <w:rPr>
                <w:rFonts w:ascii="Times New Roman" w:hAnsi="Times New Roman" w:eastAsia="黑体"/>
                <w:color w:val="000000" w:themeColor="text1"/>
                <w:kern w:val="2"/>
                <w:sz w:val="21"/>
                <w:szCs w:val="21"/>
                <w:highlight w:val="none"/>
                <w14:textFill>
                  <w14:solidFill>
                    <w14:schemeClr w14:val="tx1"/>
                  </w14:solidFill>
                </w14:textFill>
              </w:rPr>
              <w:t xml:space="preserve"> </w:t>
            </w:r>
            <w:r>
              <w:rPr>
                <w:rFonts w:hint="eastAsia" w:ascii="Times New Roman" w:hAnsi="Times New Roman" w:eastAsia="黑体"/>
                <w:color w:val="000000" w:themeColor="text1"/>
                <w:kern w:val="2"/>
                <w:sz w:val="21"/>
                <w:szCs w:val="21"/>
                <w:highlight w:val="none"/>
                <w14:textFill>
                  <w14:solidFill>
                    <w14:schemeClr w14:val="tx1"/>
                  </w14:solidFill>
                </w14:textFill>
              </w:rPr>
              <w:t xml:space="preserve"> </w:t>
            </w:r>
            <w:r>
              <w:rPr>
                <w:rFonts w:ascii="Times New Roman" w:hAnsi="Times New Roman" w:eastAsia="黑体"/>
                <w:color w:val="000000" w:themeColor="text1"/>
                <w:kern w:val="2"/>
                <w:sz w:val="21"/>
                <w:szCs w:val="21"/>
                <w:highlight w:val="none"/>
                <w14:textFill>
                  <w14:solidFill>
                    <w14:schemeClr w14:val="tx1"/>
                  </w14:solidFill>
                </w14:textFill>
              </w:rPr>
              <w:t xml:space="preserve">  </w:t>
            </w:r>
            <w:bookmarkStart w:id="54" w:name="_Toc3627"/>
            <w:bookmarkStart w:id="55" w:name="_Toc9896"/>
            <w:bookmarkStart w:id="56" w:name="_Toc32047"/>
            <w:r>
              <w:rPr>
                <w:rFonts w:ascii="Times New Roman" w:hAnsi="Times New Roman"/>
                <w:color w:val="000000" w:themeColor="text1"/>
                <w:kern w:val="2"/>
                <w:sz w:val="21"/>
                <w:szCs w:val="21"/>
                <w:highlight w:val="none"/>
                <w14:textFill>
                  <w14:solidFill>
                    <w14:schemeClr w14:val="tx1"/>
                  </w14:solidFill>
                </w14:textFill>
              </w:rPr>
              <w:t>内容</w:t>
            </w:r>
            <w:bookmarkEnd w:id="54"/>
            <w:bookmarkEnd w:id="55"/>
            <w:bookmarkEnd w:id="56"/>
          </w:p>
          <w:p w14:paraId="1EC2B7DF">
            <w:pPr>
              <w:pStyle w:val="27"/>
              <w:adjustRightInd w:val="0"/>
              <w:snapToGrid w:val="0"/>
              <w:spacing w:before="0" w:beforeAutospacing="0" w:after="0" w:afterAutospacing="0" w:line="14" w:lineRule="auto"/>
              <w:ind w:left="-105" w:leftChars="-50" w:right="-105" w:rightChars="-50"/>
              <w:rPr>
                <w:rFonts w:ascii="Times New Roman" w:hAnsi="Times New Roman" w:eastAsia="黑体"/>
                <w:color w:val="000000" w:themeColor="text1"/>
                <w:kern w:val="2"/>
                <w:sz w:val="21"/>
                <w:szCs w:val="21"/>
                <w:highlight w:val="none"/>
                <w14:textFill>
                  <w14:solidFill>
                    <w14:schemeClr w14:val="tx1"/>
                  </w14:solidFill>
                </w14:textFill>
              </w:rPr>
            </w:pPr>
            <w:r>
              <w:rPr>
                <w:rFonts w:ascii="Times New Roman" w:hAnsi="Times New Roman" w:eastAsia="黑体"/>
                <w:color w:val="000000" w:themeColor="text1"/>
                <w:kern w:val="2"/>
                <w:sz w:val="21"/>
                <w:szCs w:val="21"/>
                <w:highlight w:val="none"/>
                <w14:textFill>
                  <w14:solidFill>
                    <w14:schemeClr w14:val="tx1"/>
                  </w14:solidFill>
                </w14:textFill>
              </w:rPr>
              <w:t xml:space="preserve">  </w:t>
            </w:r>
          </w:p>
          <w:p w14:paraId="2F149644">
            <w:pPr>
              <w:pStyle w:val="27"/>
              <w:adjustRightInd w:val="0"/>
              <w:snapToGrid w:val="0"/>
              <w:spacing w:before="0" w:beforeAutospacing="0" w:after="0" w:afterAutospacing="0"/>
              <w:ind w:left="-105" w:leftChars="-50" w:right="-105" w:rightChars="-50"/>
              <w:rPr>
                <w:rFonts w:ascii="Times New Roman" w:hAnsi="Times New Roman"/>
                <w:color w:val="000000" w:themeColor="text1"/>
                <w:kern w:val="2"/>
                <w:sz w:val="21"/>
                <w:szCs w:val="21"/>
                <w:highlight w:val="none"/>
                <w14:textFill>
                  <w14:solidFill>
                    <w14:schemeClr w14:val="tx1"/>
                  </w14:solidFill>
                </w14:textFill>
              </w:rPr>
            </w:pPr>
          </w:p>
          <w:p w14:paraId="43D587A5">
            <w:pPr>
              <w:pStyle w:val="27"/>
              <w:adjustRightInd w:val="0"/>
              <w:snapToGrid w:val="0"/>
              <w:spacing w:before="0" w:beforeAutospacing="0" w:after="0" w:afterAutospacing="0"/>
              <w:ind w:left="-105" w:leftChars="-50" w:right="-105" w:rightChars="-50"/>
              <w:outlineLvl w:val="0"/>
              <w:rPr>
                <w:rFonts w:ascii="Times New Roman" w:hAnsi="Times New Roman" w:eastAsia="黑体"/>
                <w:color w:val="000000" w:themeColor="text1"/>
                <w:kern w:val="2"/>
                <w:sz w:val="21"/>
                <w:szCs w:val="21"/>
                <w:highlight w:val="none"/>
                <w14:textFill>
                  <w14:solidFill>
                    <w14:schemeClr w14:val="tx1"/>
                  </w14:solidFill>
                </w14:textFill>
              </w:rPr>
            </w:pPr>
            <w:bookmarkStart w:id="57" w:name="_Toc17311"/>
            <w:bookmarkStart w:id="58" w:name="_Toc8890"/>
            <w:bookmarkStart w:id="59" w:name="_Toc6083"/>
            <w:r>
              <w:rPr>
                <w:rFonts w:ascii="Times New Roman" w:hAnsi="Times New Roman"/>
                <w:color w:val="000000" w:themeColor="text1"/>
                <w:kern w:val="2"/>
                <w:sz w:val="21"/>
                <w:szCs w:val="21"/>
                <w:highlight w:val="none"/>
                <w14:textFill>
                  <w14:solidFill>
                    <w14:schemeClr w14:val="tx1"/>
                  </w14:solidFill>
                </w14:textFill>
              </w:rPr>
              <w:t>要素</w:t>
            </w:r>
            <w:bookmarkEnd w:id="57"/>
            <w:bookmarkEnd w:id="58"/>
            <w:bookmarkEnd w:id="59"/>
          </w:p>
        </w:tc>
        <w:tc>
          <w:tcPr>
            <w:tcW w:w="1927" w:type="pct"/>
            <w:gridSpan w:val="2"/>
            <w:vAlign w:val="center"/>
          </w:tcPr>
          <w:p w14:paraId="71C18FB8">
            <w:pPr>
              <w:pStyle w:val="27"/>
              <w:adjustRightInd w:val="0"/>
              <w:snapToGrid w:val="0"/>
              <w:spacing w:before="0" w:beforeAutospacing="0" w:after="0" w:afterAutospacing="0"/>
              <w:ind w:left="-105" w:leftChars="-50" w:right="-105" w:rightChars="-50"/>
              <w:jc w:val="center"/>
              <w:outlineLvl w:val="0"/>
              <w:rPr>
                <w:rFonts w:hint="eastAsia" w:cs="宋体"/>
                <w:color w:val="000000" w:themeColor="text1"/>
                <w:kern w:val="2"/>
                <w:sz w:val="21"/>
                <w:szCs w:val="21"/>
                <w:highlight w:val="none"/>
                <w14:textFill>
                  <w14:solidFill>
                    <w14:schemeClr w14:val="tx1"/>
                  </w14:solidFill>
                </w14:textFill>
              </w:rPr>
            </w:pPr>
            <w:bookmarkStart w:id="60" w:name="_Toc32678"/>
            <w:bookmarkStart w:id="61" w:name="_Toc19686"/>
            <w:bookmarkStart w:id="62" w:name="_Toc29397"/>
            <w:r>
              <w:rPr>
                <w:rFonts w:hint="eastAsia" w:cs="宋体"/>
                <w:color w:val="000000" w:themeColor="text1"/>
                <w:kern w:val="2"/>
                <w:sz w:val="21"/>
                <w:szCs w:val="21"/>
                <w:highlight w:val="none"/>
                <w14:textFill>
                  <w14:solidFill>
                    <w14:schemeClr w14:val="tx1"/>
                  </w14:solidFill>
                </w14:textFill>
              </w:rPr>
              <w:t>施工期</w:t>
            </w:r>
            <w:bookmarkEnd w:id="60"/>
            <w:bookmarkEnd w:id="61"/>
            <w:bookmarkEnd w:id="62"/>
          </w:p>
        </w:tc>
        <w:tc>
          <w:tcPr>
            <w:tcW w:w="2417" w:type="pct"/>
            <w:gridSpan w:val="2"/>
            <w:vAlign w:val="center"/>
          </w:tcPr>
          <w:p w14:paraId="29B36A53">
            <w:pPr>
              <w:pStyle w:val="27"/>
              <w:adjustRightInd w:val="0"/>
              <w:snapToGrid w:val="0"/>
              <w:spacing w:before="0" w:beforeAutospacing="0" w:after="0" w:afterAutospacing="0"/>
              <w:ind w:left="-105" w:leftChars="-50" w:right="-105" w:rightChars="-50"/>
              <w:jc w:val="center"/>
              <w:outlineLvl w:val="0"/>
              <w:rPr>
                <w:rFonts w:hint="eastAsia" w:cs="宋体"/>
                <w:color w:val="000000" w:themeColor="text1"/>
                <w:kern w:val="2"/>
                <w:sz w:val="21"/>
                <w:szCs w:val="21"/>
                <w:highlight w:val="none"/>
                <w14:textFill>
                  <w14:solidFill>
                    <w14:schemeClr w14:val="tx1"/>
                  </w14:solidFill>
                </w14:textFill>
              </w:rPr>
            </w:pPr>
            <w:bookmarkStart w:id="63" w:name="_Toc3046"/>
            <w:bookmarkStart w:id="64" w:name="_Toc29226"/>
            <w:bookmarkStart w:id="65" w:name="_Toc26451"/>
            <w:r>
              <w:rPr>
                <w:rFonts w:hint="eastAsia" w:cs="宋体"/>
                <w:color w:val="000000" w:themeColor="text1"/>
                <w:kern w:val="2"/>
                <w:sz w:val="21"/>
                <w:szCs w:val="21"/>
                <w:highlight w:val="none"/>
                <w14:textFill>
                  <w14:solidFill>
                    <w14:schemeClr w14:val="tx1"/>
                  </w14:solidFill>
                </w14:textFill>
              </w:rPr>
              <w:t>运营期</w:t>
            </w:r>
            <w:bookmarkEnd w:id="63"/>
            <w:bookmarkEnd w:id="64"/>
            <w:bookmarkEnd w:id="65"/>
          </w:p>
        </w:tc>
      </w:tr>
      <w:tr w14:paraId="1FC103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Merge w:val="continue"/>
          </w:tcPr>
          <w:p w14:paraId="7AF17C9E">
            <w:pPr>
              <w:pStyle w:val="27"/>
              <w:adjustRightInd w:val="0"/>
              <w:snapToGrid w:val="0"/>
              <w:spacing w:before="0" w:beforeAutospacing="0" w:after="0" w:afterAutospacing="0"/>
              <w:ind w:left="-105" w:leftChars="-50" w:right="-105" w:rightChars="-50" w:firstLine="840"/>
              <w:jc w:val="center"/>
              <w:rPr>
                <w:rFonts w:ascii="Times New Roman" w:hAnsi="Times New Roman" w:eastAsia="黑体"/>
                <w:color w:val="000000" w:themeColor="text1"/>
                <w:kern w:val="2"/>
                <w:sz w:val="21"/>
                <w:szCs w:val="21"/>
                <w:highlight w:val="none"/>
                <w14:textFill>
                  <w14:solidFill>
                    <w14:schemeClr w14:val="tx1"/>
                  </w14:solidFill>
                </w14:textFill>
              </w:rPr>
            </w:pPr>
          </w:p>
        </w:tc>
        <w:tc>
          <w:tcPr>
            <w:tcW w:w="1193" w:type="pct"/>
            <w:vAlign w:val="center"/>
          </w:tcPr>
          <w:p w14:paraId="1D46B8B4">
            <w:pPr>
              <w:pStyle w:val="27"/>
              <w:adjustRightInd w:val="0"/>
              <w:snapToGrid w:val="0"/>
              <w:spacing w:before="0" w:beforeAutospacing="0" w:after="0" w:afterAutospacing="0"/>
              <w:ind w:left="-105" w:leftChars="-50" w:right="-105" w:rightChars="-50"/>
              <w:jc w:val="center"/>
              <w:outlineLvl w:val="0"/>
              <w:rPr>
                <w:rFonts w:hint="eastAsia" w:cs="宋体"/>
                <w:color w:val="000000" w:themeColor="text1"/>
                <w:kern w:val="2"/>
                <w:sz w:val="21"/>
                <w:szCs w:val="21"/>
                <w:highlight w:val="none"/>
                <w14:textFill>
                  <w14:solidFill>
                    <w14:schemeClr w14:val="tx1"/>
                  </w14:solidFill>
                </w14:textFill>
              </w:rPr>
            </w:pPr>
            <w:bookmarkStart w:id="66" w:name="_Toc17671"/>
            <w:bookmarkStart w:id="67" w:name="_Toc1575"/>
            <w:bookmarkStart w:id="68" w:name="_Toc6927"/>
            <w:r>
              <w:rPr>
                <w:rFonts w:hint="eastAsia" w:cs="宋体"/>
                <w:color w:val="000000" w:themeColor="text1"/>
                <w:kern w:val="2"/>
                <w:sz w:val="21"/>
                <w:szCs w:val="21"/>
                <w:highlight w:val="none"/>
                <w14:textFill>
                  <w14:solidFill>
                    <w14:schemeClr w14:val="tx1"/>
                  </w14:solidFill>
                </w14:textFill>
              </w:rPr>
              <w:t>环境保护措施</w:t>
            </w:r>
            <w:bookmarkEnd w:id="66"/>
            <w:bookmarkEnd w:id="67"/>
            <w:bookmarkEnd w:id="68"/>
          </w:p>
        </w:tc>
        <w:tc>
          <w:tcPr>
            <w:tcW w:w="733" w:type="pct"/>
            <w:vAlign w:val="center"/>
          </w:tcPr>
          <w:p w14:paraId="3D289C3F">
            <w:pPr>
              <w:pStyle w:val="27"/>
              <w:adjustRightInd w:val="0"/>
              <w:snapToGrid w:val="0"/>
              <w:spacing w:before="0" w:beforeAutospacing="0" w:after="0" w:afterAutospacing="0"/>
              <w:ind w:left="-105" w:leftChars="-50" w:right="-105" w:rightChars="-50"/>
              <w:jc w:val="center"/>
              <w:outlineLvl w:val="0"/>
              <w:rPr>
                <w:rFonts w:hint="eastAsia" w:cs="宋体"/>
                <w:color w:val="000000" w:themeColor="text1"/>
                <w:kern w:val="2"/>
                <w:sz w:val="21"/>
                <w:szCs w:val="21"/>
                <w:highlight w:val="none"/>
                <w14:textFill>
                  <w14:solidFill>
                    <w14:schemeClr w14:val="tx1"/>
                  </w14:solidFill>
                </w14:textFill>
              </w:rPr>
            </w:pPr>
            <w:bookmarkStart w:id="69" w:name="_Toc15115"/>
            <w:bookmarkStart w:id="70" w:name="_Toc27828"/>
            <w:bookmarkStart w:id="71" w:name="_Toc4706"/>
            <w:r>
              <w:rPr>
                <w:rFonts w:hint="eastAsia" w:cs="宋体"/>
                <w:color w:val="000000" w:themeColor="text1"/>
                <w:kern w:val="2"/>
                <w:sz w:val="21"/>
                <w:szCs w:val="21"/>
                <w:highlight w:val="none"/>
                <w14:textFill>
                  <w14:solidFill>
                    <w14:schemeClr w14:val="tx1"/>
                  </w14:solidFill>
                </w14:textFill>
              </w:rPr>
              <w:t>验收要求</w:t>
            </w:r>
            <w:bookmarkEnd w:id="69"/>
            <w:bookmarkEnd w:id="70"/>
            <w:bookmarkEnd w:id="71"/>
          </w:p>
        </w:tc>
        <w:tc>
          <w:tcPr>
            <w:tcW w:w="1446" w:type="pct"/>
            <w:vAlign w:val="center"/>
          </w:tcPr>
          <w:p w14:paraId="59FEE1F8">
            <w:pPr>
              <w:pStyle w:val="27"/>
              <w:adjustRightInd w:val="0"/>
              <w:snapToGrid w:val="0"/>
              <w:spacing w:before="0" w:beforeAutospacing="0" w:after="0" w:afterAutospacing="0"/>
              <w:ind w:left="-105" w:leftChars="-50" w:right="-105" w:rightChars="-50"/>
              <w:jc w:val="center"/>
              <w:outlineLvl w:val="0"/>
              <w:rPr>
                <w:rFonts w:hint="eastAsia" w:cs="宋体"/>
                <w:color w:val="000000" w:themeColor="text1"/>
                <w:kern w:val="2"/>
                <w:sz w:val="21"/>
                <w:szCs w:val="21"/>
                <w:highlight w:val="none"/>
                <w14:textFill>
                  <w14:solidFill>
                    <w14:schemeClr w14:val="tx1"/>
                  </w14:solidFill>
                </w14:textFill>
              </w:rPr>
            </w:pPr>
            <w:bookmarkStart w:id="72" w:name="_Toc28337"/>
            <w:bookmarkStart w:id="73" w:name="_Toc30500"/>
            <w:bookmarkStart w:id="74" w:name="_Toc2083"/>
            <w:r>
              <w:rPr>
                <w:rFonts w:hint="eastAsia" w:cs="宋体"/>
                <w:color w:val="000000" w:themeColor="text1"/>
                <w:kern w:val="2"/>
                <w:sz w:val="21"/>
                <w:szCs w:val="21"/>
                <w:highlight w:val="none"/>
                <w14:textFill>
                  <w14:solidFill>
                    <w14:schemeClr w14:val="tx1"/>
                  </w14:solidFill>
                </w14:textFill>
              </w:rPr>
              <w:t>环境保护措施</w:t>
            </w:r>
            <w:bookmarkEnd w:id="72"/>
            <w:bookmarkEnd w:id="73"/>
            <w:bookmarkEnd w:id="74"/>
          </w:p>
        </w:tc>
        <w:tc>
          <w:tcPr>
            <w:tcW w:w="970" w:type="pct"/>
            <w:vAlign w:val="center"/>
          </w:tcPr>
          <w:p w14:paraId="222FD311">
            <w:pPr>
              <w:pStyle w:val="27"/>
              <w:adjustRightInd w:val="0"/>
              <w:snapToGrid w:val="0"/>
              <w:spacing w:before="0" w:beforeAutospacing="0" w:after="0" w:afterAutospacing="0"/>
              <w:ind w:left="-105" w:leftChars="-50" w:right="-105" w:rightChars="-50"/>
              <w:jc w:val="center"/>
              <w:outlineLvl w:val="0"/>
              <w:rPr>
                <w:rFonts w:hint="eastAsia" w:cs="宋体"/>
                <w:color w:val="000000" w:themeColor="text1"/>
                <w:kern w:val="2"/>
                <w:sz w:val="21"/>
                <w:szCs w:val="21"/>
                <w:highlight w:val="none"/>
                <w14:textFill>
                  <w14:solidFill>
                    <w14:schemeClr w14:val="tx1"/>
                  </w14:solidFill>
                </w14:textFill>
              </w:rPr>
            </w:pPr>
            <w:bookmarkStart w:id="75" w:name="_Toc16384"/>
            <w:bookmarkStart w:id="76" w:name="_Toc2577"/>
            <w:bookmarkStart w:id="77" w:name="_Toc8545"/>
            <w:r>
              <w:rPr>
                <w:rFonts w:hint="eastAsia" w:cs="宋体"/>
                <w:color w:val="000000" w:themeColor="text1"/>
                <w:kern w:val="2"/>
                <w:sz w:val="21"/>
                <w:szCs w:val="21"/>
                <w:highlight w:val="none"/>
                <w14:textFill>
                  <w14:solidFill>
                    <w14:schemeClr w14:val="tx1"/>
                  </w14:solidFill>
                </w14:textFill>
              </w:rPr>
              <w:t>验收要求</w:t>
            </w:r>
            <w:bookmarkEnd w:id="75"/>
            <w:bookmarkEnd w:id="76"/>
            <w:bookmarkEnd w:id="77"/>
          </w:p>
        </w:tc>
      </w:tr>
      <w:tr w14:paraId="17B64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AA49511">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陆生生态</w:t>
            </w:r>
          </w:p>
        </w:tc>
        <w:tc>
          <w:tcPr>
            <w:tcW w:w="2035" w:type="dxa"/>
            <w:vAlign w:val="center"/>
          </w:tcPr>
          <w:p w14:paraId="26F78957">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在施工前及时办理土地征用手续；尽量减少占地、控制施工范围、减少扰动面积，作业区四周设置彩带控制作业范围；分层开挖分层回填；施工结束后，占地范围内清理平整，恢复地貌；加强宣传教育，设置环保宣传牌。</w:t>
            </w:r>
          </w:p>
        </w:tc>
        <w:tc>
          <w:tcPr>
            <w:tcW w:w="1250" w:type="dxa"/>
            <w:vAlign w:val="center"/>
          </w:tcPr>
          <w:p w14:paraId="015C921F">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办理土地征用手续；划定施工作业范围，将施工占地控制在最小范围</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各类临时占地平整压实。</w:t>
            </w:r>
          </w:p>
        </w:tc>
        <w:tc>
          <w:tcPr>
            <w:tcW w:w="2466" w:type="dxa"/>
            <w:vAlign w:val="center"/>
          </w:tcPr>
          <w:p w14:paraId="575E55A0">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加强</w:t>
            </w:r>
            <w:r>
              <w:rPr>
                <w:rFonts w:hint="eastAsia"/>
                <w:color w:val="000000" w:themeColor="text1"/>
                <w:szCs w:val="21"/>
                <w:highlight w:val="none"/>
                <w:lang w:val="en-US" w:eastAsia="zh-CN"/>
                <w14:textFill>
                  <w14:solidFill>
                    <w14:schemeClr w14:val="tx1"/>
                  </w14:solidFill>
                </w14:textFill>
              </w:rPr>
              <w:t>站内</w:t>
            </w:r>
            <w:r>
              <w:rPr>
                <w:color w:val="000000" w:themeColor="text1"/>
                <w:szCs w:val="21"/>
                <w:highlight w:val="none"/>
                <w14:textFill>
                  <w14:solidFill>
                    <w14:schemeClr w14:val="tx1"/>
                  </w14:solidFill>
                </w14:textFill>
              </w:rPr>
              <w:t>日常管理和维护，使</w:t>
            </w:r>
            <w:r>
              <w:rPr>
                <w:rFonts w:hint="eastAsia"/>
                <w:color w:val="000000" w:themeColor="text1"/>
                <w:szCs w:val="21"/>
                <w:highlight w:val="none"/>
                <w:lang w:val="en-US" w:eastAsia="zh-CN"/>
                <w14:textFill>
                  <w14:solidFill>
                    <w14:schemeClr w14:val="tx1"/>
                  </w14:solidFill>
                </w14:textFill>
              </w:rPr>
              <w:t>储能</w:t>
            </w:r>
            <w:r>
              <w:rPr>
                <w:rFonts w:hint="eastAsia"/>
                <w:color w:val="000000" w:themeColor="text1"/>
                <w:szCs w:val="21"/>
                <w:highlight w:val="none"/>
                <w14:textFill>
                  <w14:solidFill>
                    <w14:schemeClr w14:val="tx1"/>
                  </w14:solidFill>
                </w14:textFill>
              </w:rPr>
              <w:t>升压</w:t>
            </w:r>
            <w:r>
              <w:rPr>
                <w:color w:val="000000" w:themeColor="text1"/>
                <w:szCs w:val="21"/>
                <w:highlight w:val="none"/>
                <w14:textFill>
                  <w14:solidFill>
                    <w14:schemeClr w14:val="tx1"/>
                  </w14:solidFill>
                </w14:textFill>
              </w:rPr>
              <w:t>站保持良好的运行状态。</w:t>
            </w:r>
          </w:p>
        </w:tc>
        <w:tc>
          <w:tcPr>
            <w:tcW w:w="1654" w:type="dxa"/>
            <w:vAlign w:val="center"/>
          </w:tcPr>
          <w:p w14:paraId="5907B4F7">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定时维护站内硬化，使之保持良好的景观</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运行期巡检对生态环境影响很小</w:t>
            </w:r>
            <w:r>
              <w:rPr>
                <w:rFonts w:hint="eastAsia"/>
                <w:color w:val="000000" w:themeColor="text1"/>
                <w:szCs w:val="21"/>
                <w:highlight w:val="none"/>
                <w14:textFill>
                  <w14:solidFill>
                    <w14:schemeClr w14:val="tx1"/>
                  </w14:solidFill>
                </w14:textFill>
              </w:rPr>
              <w:t>。</w:t>
            </w:r>
          </w:p>
        </w:tc>
      </w:tr>
      <w:tr w14:paraId="22511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67CCA05">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水生生态</w:t>
            </w:r>
          </w:p>
        </w:tc>
        <w:tc>
          <w:tcPr>
            <w:tcW w:w="1193" w:type="pct"/>
            <w:vAlign w:val="center"/>
          </w:tcPr>
          <w:p w14:paraId="3C5F05B2">
            <w:pPr>
              <w:adjustRightInd w:val="0"/>
              <w:snapToGrid w:val="0"/>
              <w:ind w:left="-63" w:leftChars="-3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733" w:type="pct"/>
            <w:vAlign w:val="center"/>
          </w:tcPr>
          <w:p w14:paraId="246A5C60">
            <w:pPr>
              <w:adjustRightInd w:val="0"/>
              <w:snapToGrid w:val="0"/>
              <w:ind w:left="-63" w:leftChars="-3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446" w:type="pct"/>
            <w:vAlign w:val="center"/>
          </w:tcPr>
          <w:p w14:paraId="1F669922">
            <w:pPr>
              <w:adjustRightInd w:val="0"/>
              <w:snapToGrid w:val="0"/>
              <w:ind w:left="-63" w:leftChars="-3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970" w:type="pct"/>
            <w:vAlign w:val="center"/>
          </w:tcPr>
          <w:p w14:paraId="3E0D610D">
            <w:pPr>
              <w:adjustRightInd w:val="0"/>
              <w:snapToGrid w:val="0"/>
              <w:ind w:left="-63" w:leftChars="-3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51199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1BD15500">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地表水环境</w:t>
            </w:r>
          </w:p>
        </w:tc>
        <w:tc>
          <w:tcPr>
            <w:tcW w:w="1193" w:type="pct"/>
            <w:vAlign w:val="center"/>
          </w:tcPr>
          <w:p w14:paraId="48B6B059">
            <w:pPr>
              <w:adjustRightInd w:val="0"/>
              <w:snapToGrid w:val="0"/>
              <w:ind w:left="-63" w:leftChars="-30" w:right="-105" w:rightChar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施工废水由沉淀池澄清处理，可回用于洒水降尘；</w:t>
            </w:r>
            <w:r>
              <w:rPr>
                <w:rFonts w:hint="eastAsia" w:ascii="宋体" w:hAnsi="宋体" w:cs="宋体"/>
                <w:color w:val="000000" w:themeColor="text1"/>
                <w:szCs w:val="21"/>
                <w:highlight w:val="none"/>
                <w14:textFill>
                  <w14:solidFill>
                    <w14:schemeClr w14:val="tx1"/>
                  </w14:solidFill>
                </w14:textFill>
              </w:rPr>
              <w:t>生活污水经施工营地</w:t>
            </w:r>
            <w:r>
              <w:rPr>
                <w:rFonts w:hint="eastAsia" w:ascii="宋体" w:hAnsi="宋体" w:cs="宋体"/>
                <w:color w:val="000000" w:themeColor="text1"/>
                <w:szCs w:val="21"/>
                <w:highlight w:val="none"/>
                <w:lang w:val="en-US" w:eastAsia="zh-CN"/>
                <w14:textFill>
                  <w14:solidFill>
                    <w14:schemeClr w14:val="tx1"/>
                  </w14:solidFill>
                </w14:textFill>
              </w:rPr>
              <w:t>移动式污水处理设施处理后</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拉运至托克逊县污水处理厂处置</w:t>
            </w:r>
            <w:r>
              <w:rPr>
                <w:color w:val="000000" w:themeColor="text1"/>
                <w:szCs w:val="21"/>
                <w:highlight w:val="none"/>
                <w14:textFill>
                  <w14:solidFill>
                    <w14:schemeClr w14:val="tx1"/>
                  </w14:solidFill>
                </w14:textFill>
              </w:rPr>
              <w:t>。</w:t>
            </w:r>
          </w:p>
        </w:tc>
        <w:tc>
          <w:tcPr>
            <w:tcW w:w="733" w:type="pct"/>
            <w:vAlign w:val="center"/>
          </w:tcPr>
          <w:p w14:paraId="23982DE3">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不外排</w:t>
            </w:r>
          </w:p>
        </w:tc>
        <w:tc>
          <w:tcPr>
            <w:tcW w:w="1446" w:type="pct"/>
            <w:vAlign w:val="center"/>
          </w:tcPr>
          <w:p w14:paraId="202511FE">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生活污水排入</w:t>
            </w:r>
            <w:r>
              <w:rPr>
                <w:rFonts w:hint="eastAsia"/>
                <w:color w:val="000000" w:themeColor="text1"/>
                <w:szCs w:val="21"/>
                <w:highlight w:val="none"/>
                <w:lang w:val="en-US" w:eastAsia="zh-CN"/>
                <w14:textFill>
                  <w14:solidFill>
                    <w14:schemeClr w14:val="tx1"/>
                  </w14:solidFill>
                </w14:textFill>
              </w:rPr>
              <w:t>站内</w:t>
            </w:r>
            <w:r>
              <w:rPr>
                <w:rFonts w:hint="eastAsia"/>
                <w:color w:val="000000" w:themeColor="text1"/>
                <w:szCs w:val="21"/>
                <w:highlight w:val="none"/>
                <w14:textFill>
                  <w14:solidFill>
                    <w14:schemeClr w14:val="tx1"/>
                  </w14:solidFill>
                </w14:textFill>
              </w:rPr>
              <w:t>一体化污水处理设备处理后，满足《农村生活污水处理排放标准》（DB654275-2019）表2中</w:t>
            </w:r>
            <w:r>
              <w:rPr>
                <w:rFonts w:hint="eastAsia"/>
                <w:color w:val="0000FF"/>
                <w:szCs w:val="21"/>
                <w:highlight w:val="none"/>
                <w:lang w:val="en-US" w:eastAsia="zh-CN"/>
              </w:rPr>
              <w:t>A</w:t>
            </w:r>
            <w:r>
              <w:rPr>
                <w:rFonts w:hint="eastAsia"/>
                <w:color w:val="0000FF"/>
                <w:szCs w:val="21"/>
                <w:highlight w:val="none"/>
              </w:rPr>
              <w:t>级标准</w:t>
            </w:r>
            <w:r>
              <w:rPr>
                <w:rFonts w:hint="eastAsia"/>
                <w:color w:val="000000" w:themeColor="text1"/>
                <w:szCs w:val="21"/>
                <w:highlight w:val="none"/>
                <w14:textFill>
                  <w14:solidFill>
                    <w14:schemeClr w14:val="tx1"/>
                  </w14:solidFill>
                </w14:textFill>
              </w:rPr>
              <w:t>，用于</w:t>
            </w:r>
            <w:r>
              <w:rPr>
                <w:rFonts w:hint="eastAsia"/>
                <w:color w:val="0000FF"/>
                <w:szCs w:val="21"/>
                <w:highlight w:val="none"/>
              </w:rPr>
              <w:t>升压站绿化及生态恢复</w:t>
            </w:r>
            <w:r>
              <w:rPr>
                <w:rFonts w:hint="eastAsia"/>
                <w:color w:val="000000" w:themeColor="text1"/>
                <w:szCs w:val="21"/>
                <w:highlight w:val="none"/>
                <w14:textFill>
                  <w14:solidFill>
                    <w14:schemeClr w14:val="tx1"/>
                  </w14:solidFill>
                </w14:textFill>
              </w:rPr>
              <w:t>。</w:t>
            </w:r>
          </w:p>
        </w:tc>
        <w:tc>
          <w:tcPr>
            <w:tcW w:w="970" w:type="pct"/>
            <w:vAlign w:val="center"/>
          </w:tcPr>
          <w:p w14:paraId="492FFD69">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《农村生活污水处理排放标准》（DB654275-2019）表2中</w:t>
            </w:r>
            <w:r>
              <w:rPr>
                <w:rFonts w:hint="eastAsia"/>
                <w:color w:val="0000FF"/>
                <w:szCs w:val="21"/>
                <w:highlight w:val="none"/>
                <w:lang w:val="en-US" w:eastAsia="zh-CN"/>
              </w:rPr>
              <w:t>A</w:t>
            </w:r>
            <w:r>
              <w:rPr>
                <w:rFonts w:hint="eastAsia"/>
                <w:color w:val="0000FF"/>
                <w:szCs w:val="21"/>
                <w:highlight w:val="none"/>
              </w:rPr>
              <w:t>级标准</w:t>
            </w:r>
          </w:p>
        </w:tc>
      </w:tr>
      <w:tr w14:paraId="73D91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5CF23B25">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地下水及</w:t>
            </w:r>
          </w:p>
          <w:p w14:paraId="53D3E19E">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土壤环境</w:t>
            </w:r>
          </w:p>
        </w:tc>
        <w:tc>
          <w:tcPr>
            <w:tcW w:w="1193" w:type="pct"/>
            <w:vAlign w:val="center"/>
          </w:tcPr>
          <w:p w14:paraId="028348D0">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733" w:type="pct"/>
            <w:vAlign w:val="center"/>
          </w:tcPr>
          <w:p w14:paraId="018D01F2">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446" w:type="pct"/>
            <w:vAlign w:val="center"/>
          </w:tcPr>
          <w:p w14:paraId="1990651B">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970" w:type="pct"/>
            <w:vAlign w:val="center"/>
          </w:tcPr>
          <w:p w14:paraId="53836C28">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r>
      <w:tr w14:paraId="6BF5B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BA66672">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声环境</w:t>
            </w:r>
          </w:p>
        </w:tc>
        <w:tc>
          <w:tcPr>
            <w:tcW w:w="1193" w:type="pct"/>
            <w:vAlign w:val="center"/>
          </w:tcPr>
          <w:p w14:paraId="69B5153A">
            <w:pPr>
              <w:adjustRightInd w:val="0"/>
              <w:snapToGrid w:val="0"/>
              <w:ind w:left="-63" w:leftChars="-30" w:right="-105" w:rightChar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施工期所用机械设备及车辆应采用低噪声型的机械设备，将噪声控制在国家规定的允许范围内</w:t>
            </w:r>
          </w:p>
        </w:tc>
        <w:tc>
          <w:tcPr>
            <w:tcW w:w="733" w:type="pct"/>
            <w:vAlign w:val="center"/>
          </w:tcPr>
          <w:p w14:paraId="62FC4EF9">
            <w:pPr>
              <w:adjustRightInd w:val="0"/>
              <w:snapToGrid w:val="0"/>
              <w:ind w:left="-63" w:leftChars="-30" w:right="-105" w:rightChar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满足《建筑噪声排放标准》</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GB12523</w:t>
            </w:r>
            <w:r>
              <w:rPr>
                <w:rFonts w:hint="eastAsia"/>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-20</w:t>
            </w:r>
            <w:r>
              <w:rPr>
                <w:rFonts w:hint="eastAsia"/>
                <w:color w:val="000000" w:themeColor="text1"/>
                <w:szCs w:val="21"/>
                <w:highlight w:val="none"/>
                <w:lang w:val="en-US" w:eastAsia="zh-CN"/>
                <w14:textFill>
                  <w14:solidFill>
                    <w14:schemeClr w14:val="tx1"/>
                  </w14:solidFill>
                </w14:textFill>
              </w:rPr>
              <w:t>25</w:t>
            </w:r>
            <w:r>
              <w:rPr>
                <w:rFonts w:hint="eastAsia"/>
                <w:color w:val="000000" w:themeColor="text1"/>
                <w:szCs w:val="21"/>
                <w:highlight w:val="none"/>
                <w14:textFill>
                  <w14:solidFill>
                    <w14:schemeClr w14:val="tx1"/>
                  </w14:solidFill>
                </w14:textFill>
              </w:rPr>
              <w:t>）</w:t>
            </w:r>
          </w:p>
        </w:tc>
        <w:tc>
          <w:tcPr>
            <w:tcW w:w="1446" w:type="pct"/>
            <w:vAlign w:val="center"/>
          </w:tcPr>
          <w:p w14:paraId="046E9ECC">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选用低噪声变压器，基础减震，</w:t>
            </w:r>
            <w:r>
              <w:rPr>
                <w:color w:val="000000" w:themeColor="text1"/>
                <w:szCs w:val="21"/>
                <w:highlight w:val="none"/>
                <w14:textFill>
                  <w14:solidFill>
                    <w14:schemeClr w14:val="tx1"/>
                  </w14:solidFill>
                </w14:textFill>
              </w:rPr>
              <w:t>加强对</w:t>
            </w:r>
            <w:r>
              <w:rPr>
                <w:rFonts w:hint="eastAsia"/>
                <w:color w:val="000000" w:themeColor="text1"/>
                <w:szCs w:val="21"/>
                <w:highlight w:val="none"/>
                <w:lang w:val="en-US" w:eastAsia="zh-CN"/>
                <w14:textFill>
                  <w14:solidFill>
                    <w14:schemeClr w14:val="tx1"/>
                  </w14:solidFill>
                </w14:textFill>
              </w:rPr>
              <w:t>站址</w:t>
            </w:r>
            <w:r>
              <w:rPr>
                <w:rFonts w:hint="eastAsia"/>
                <w:color w:val="000000" w:themeColor="text1"/>
                <w:szCs w:val="21"/>
                <w:highlight w:val="none"/>
                <w14:textFill>
                  <w14:solidFill>
                    <w14:schemeClr w14:val="tx1"/>
                  </w14:solidFill>
                </w14:textFill>
              </w:rPr>
              <w:t>四周</w:t>
            </w:r>
            <w:r>
              <w:rPr>
                <w:color w:val="000000" w:themeColor="text1"/>
                <w:szCs w:val="21"/>
                <w:highlight w:val="none"/>
                <w14:textFill>
                  <w14:solidFill>
                    <w14:schemeClr w14:val="tx1"/>
                  </w14:solidFill>
                </w14:textFill>
              </w:rPr>
              <w:t>声环境监测，及时发现问题并按照相关要求进行处理</w:t>
            </w:r>
            <w:r>
              <w:rPr>
                <w:rFonts w:hint="eastAsia"/>
                <w:color w:val="000000" w:themeColor="text1"/>
                <w:szCs w:val="21"/>
                <w:highlight w:val="none"/>
                <w14:textFill>
                  <w14:solidFill>
                    <w14:schemeClr w14:val="tx1"/>
                  </w14:solidFill>
                </w14:textFill>
              </w:rPr>
              <w:t>。</w:t>
            </w:r>
          </w:p>
        </w:tc>
        <w:tc>
          <w:tcPr>
            <w:tcW w:w="970" w:type="pct"/>
            <w:vAlign w:val="center"/>
          </w:tcPr>
          <w:p w14:paraId="22CEA0A6">
            <w:pPr>
              <w:adjustRightInd w:val="0"/>
              <w:snapToGrid w:val="0"/>
              <w:ind w:left="-63" w:leftChars="-30" w:right="-105" w:rightChar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声环境满足《声环境质量标准》</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GB3096-2008</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中相应功能区标准要求</w:t>
            </w:r>
          </w:p>
        </w:tc>
      </w:tr>
      <w:tr w14:paraId="0487C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D889F9C">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振动</w:t>
            </w:r>
          </w:p>
        </w:tc>
        <w:tc>
          <w:tcPr>
            <w:tcW w:w="1193" w:type="pct"/>
            <w:vAlign w:val="center"/>
          </w:tcPr>
          <w:p w14:paraId="0D600801">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733" w:type="pct"/>
            <w:vAlign w:val="center"/>
          </w:tcPr>
          <w:p w14:paraId="381FCA28">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446" w:type="pct"/>
            <w:vAlign w:val="center"/>
          </w:tcPr>
          <w:p w14:paraId="369B386C">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970" w:type="pct"/>
            <w:vAlign w:val="center"/>
          </w:tcPr>
          <w:p w14:paraId="7BD0638B">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r>
      <w:tr w14:paraId="59E88E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75C7242">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大气环境</w:t>
            </w:r>
          </w:p>
        </w:tc>
        <w:tc>
          <w:tcPr>
            <w:tcW w:w="1193" w:type="pct"/>
            <w:vAlign w:val="center"/>
          </w:tcPr>
          <w:p w14:paraId="60982F88">
            <w:pPr>
              <w:adjustRightInd w:val="0"/>
              <w:snapToGrid w:val="0"/>
              <w:ind w:left="-63" w:leftChars="-30" w:right="-105" w:rightChar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加强对施工现场和物料运输的管理，保持道路清洁，管控料堆和渣土堆放。对易起尘的临时堆土、建筑材料运输车辆等采取密闭式防尘布</w:t>
            </w:r>
            <w:r>
              <w:rPr>
                <w:rFonts w:hint="eastAsia"/>
                <w:color w:val="000000" w:themeColor="text1"/>
                <w:szCs w:val="21"/>
                <w:highlight w:val="none"/>
                <w14:textFill>
                  <w14:solidFill>
                    <w14:schemeClr w14:val="tx1"/>
                  </w14:solidFill>
                </w14:textFill>
              </w:rPr>
              <w:t>（网）</w:t>
            </w:r>
            <w:r>
              <w:rPr>
                <w:color w:val="000000" w:themeColor="text1"/>
                <w:szCs w:val="21"/>
                <w:highlight w:val="none"/>
                <w14:textFill>
                  <w14:solidFill>
                    <w14:schemeClr w14:val="tx1"/>
                  </w14:solidFill>
                </w14:textFill>
              </w:rPr>
              <w:t>进行苫盖，施工面集中且有条件的地方宜采取洒水降水等有效措施。对裸露地面进行压实覆盖，控制道路扬尘。</w:t>
            </w:r>
          </w:p>
        </w:tc>
        <w:tc>
          <w:tcPr>
            <w:tcW w:w="733" w:type="pct"/>
            <w:vAlign w:val="center"/>
          </w:tcPr>
          <w:p w14:paraId="49646147">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大气环境质量不因本项目的建设而降低</w:t>
            </w:r>
          </w:p>
        </w:tc>
        <w:tc>
          <w:tcPr>
            <w:tcW w:w="1446" w:type="pct"/>
            <w:vAlign w:val="center"/>
          </w:tcPr>
          <w:p w14:paraId="2AF4B7B6">
            <w:pPr>
              <w:adjustRightInd w:val="0"/>
              <w:snapToGrid w:val="0"/>
              <w:ind w:left="-63" w:leftChars="-30" w:right="-105" w:rightChars="-50"/>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食堂油烟经油烟净化器处理后，通过专用烟道于食堂屋顶排放。</w:t>
            </w:r>
          </w:p>
        </w:tc>
        <w:tc>
          <w:tcPr>
            <w:tcW w:w="970" w:type="pct"/>
            <w:vAlign w:val="center"/>
          </w:tcPr>
          <w:p w14:paraId="09388F92">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油烟排放满足《饮食业油烟排放标准（试行）》（GB18483-2001）表2</w:t>
            </w:r>
            <w:r>
              <w:rPr>
                <w:rFonts w:hint="eastAsia"/>
                <w:color w:val="000000" w:themeColor="text1"/>
                <w:szCs w:val="21"/>
                <w:highlight w:val="none"/>
                <w:lang w:val="en-US" w:eastAsia="zh-CN"/>
                <w14:textFill>
                  <w14:solidFill>
                    <w14:schemeClr w14:val="tx1"/>
                  </w14:solidFill>
                </w14:textFill>
              </w:rPr>
              <w:t>中</w:t>
            </w:r>
            <w:r>
              <w:rPr>
                <w:rFonts w:hint="eastAsia"/>
                <w:color w:val="000000" w:themeColor="text1"/>
                <w:szCs w:val="21"/>
                <w:highlight w:val="none"/>
                <w14:textFill>
                  <w14:solidFill>
                    <w14:schemeClr w14:val="tx1"/>
                  </w14:solidFill>
                </w14:textFill>
              </w:rPr>
              <w:t>型油烟最高允许排放浓度限值的要求</w:t>
            </w:r>
          </w:p>
        </w:tc>
      </w:tr>
      <w:tr w14:paraId="27DE3C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9A938DB">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固体废物</w:t>
            </w:r>
          </w:p>
        </w:tc>
        <w:tc>
          <w:tcPr>
            <w:tcW w:w="1193" w:type="pct"/>
            <w:vAlign w:val="center"/>
          </w:tcPr>
          <w:p w14:paraId="7BF70B90">
            <w:pPr>
              <w:adjustRightInd w:val="0"/>
              <w:snapToGrid w:val="0"/>
              <w:ind w:left="-63" w:leftChars="-30" w:right="-105" w:rightChar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施工完成后及时做好迹地清理工作；废弃建筑材料、包装袋由施工单位统一回收，综合利用；不能回收利用的废弃建材运至当地建筑垃圾填埋场处理；生活垃圾纳入当地生活垃圾收集转运系统处理</w:t>
            </w:r>
          </w:p>
        </w:tc>
        <w:tc>
          <w:tcPr>
            <w:tcW w:w="733" w:type="pct"/>
            <w:vAlign w:val="center"/>
          </w:tcPr>
          <w:p w14:paraId="4F8383A1">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达到固废合理处理</w:t>
            </w:r>
          </w:p>
        </w:tc>
        <w:tc>
          <w:tcPr>
            <w:tcW w:w="1446" w:type="pct"/>
            <w:vAlign w:val="center"/>
          </w:tcPr>
          <w:p w14:paraId="035D9C1F">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生活垃圾交环卫部门处置，</w:t>
            </w:r>
            <w:r>
              <w:rPr>
                <w:rFonts w:hint="eastAsia"/>
                <w:color w:val="000000" w:themeColor="text1"/>
                <w:szCs w:val="21"/>
                <w:highlight w:val="none"/>
                <w:lang w:val="en-US" w:eastAsia="zh-CN"/>
                <w14:textFill>
                  <w14:solidFill>
                    <w14:schemeClr w14:val="tx1"/>
                  </w14:solidFill>
                </w14:textFill>
              </w:rPr>
              <w:t>废磷酸铁锂电池外售资源回收公司，</w:t>
            </w:r>
            <w:r>
              <w:rPr>
                <w:rFonts w:hint="eastAsia"/>
                <w:color w:val="000000" w:themeColor="text1"/>
                <w:szCs w:val="21"/>
                <w:highlight w:val="none"/>
                <w14:textFill>
                  <w14:solidFill>
                    <w14:schemeClr w14:val="tx1"/>
                  </w14:solidFill>
                </w14:textFill>
              </w:rPr>
              <w:t>废</w:t>
            </w:r>
            <w:r>
              <w:rPr>
                <w:rFonts w:hint="eastAsia"/>
                <w:color w:val="000000" w:themeColor="text1"/>
                <w:szCs w:val="21"/>
                <w:highlight w:val="none"/>
                <w:lang w:val="en-US" w:eastAsia="zh-CN"/>
                <w14:textFill>
                  <w14:solidFill>
                    <w14:schemeClr w14:val="tx1"/>
                  </w14:solidFill>
                </w14:textFill>
              </w:rPr>
              <w:t>铅</w:t>
            </w:r>
            <w:r>
              <w:rPr>
                <w:rFonts w:hint="eastAsia"/>
                <w:color w:val="000000" w:themeColor="text1"/>
                <w:szCs w:val="21"/>
                <w:highlight w:val="none"/>
                <w14:textFill>
                  <w14:solidFill>
                    <w14:schemeClr w14:val="tx1"/>
                  </w14:solidFill>
                </w14:textFill>
              </w:rPr>
              <w:t>蓄电池</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废变压器油和废油桶、含油手套在危废舱暂存</w:t>
            </w:r>
            <w:r>
              <w:rPr>
                <w:rFonts w:hint="eastAsia"/>
                <w:color w:val="000000" w:themeColor="text1"/>
                <w:highlight w:val="none"/>
                <w14:textFill>
                  <w14:solidFill>
                    <w14:schemeClr w14:val="tx1"/>
                  </w14:solidFill>
                </w14:textFill>
              </w:rPr>
              <w:t>，委托</w:t>
            </w:r>
            <w:r>
              <w:rPr>
                <w:rFonts w:hint="eastAsia"/>
                <w:color w:val="000000" w:themeColor="text1"/>
                <w:szCs w:val="21"/>
                <w:highlight w:val="none"/>
                <w14:textFill>
                  <w14:solidFill>
                    <w14:schemeClr w14:val="tx1"/>
                  </w14:solidFill>
                </w14:textFill>
              </w:rPr>
              <w:t>有资质单位处置。</w:t>
            </w:r>
          </w:p>
        </w:tc>
        <w:tc>
          <w:tcPr>
            <w:tcW w:w="970" w:type="pct"/>
            <w:vAlign w:val="center"/>
          </w:tcPr>
          <w:p w14:paraId="393B0291">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各类固体废弃物能够妥善处置</w:t>
            </w:r>
          </w:p>
        </w:tc>
      </w:tr>
      <w:tr w14:paraId="41842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13B3CF71">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电磁环境</w:t>
            </w:r>
          </w:p>
        </w:tc>
        <w:tc>
          <w:tcPr>
            <w:tcW w:w="1193" w:type="pct"/>
            <w:vAlign w:val="center"/>
          </w:tcPr>
          <w:p w14:paraId="7429E569">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733" w:type="pct"/>
            <w:vAlign w:val="center"/>
          </w:tcPr>
          <w:p w14:paraId="0652D24D">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446" w:type="pct"/>
            <w:vAlign w:val="center"/>
          </w:tcPr>
          <w:p w14:paraId="325A8FD7">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制定安全操作规程，加强职工安全教育，加强电磁水平监测；对员工进行电磁环境基础知识培训，在巡检带电维修过程中，尽可能减少暴露在电磁场的时间；设立电磁防护安全警示标志，禁止无关人员靠近带电架构等</w:t>
            </w:r>
          </w:p>
        </w:tc>
        <w:tc>
          <w:tcPr>
            <w:tcW w:w="970" w:type="pct"/>
            <w:vAlign w:val="center"/>
          </w:tcPr>
          <w:p w14:paraId="574D09F7">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站址</w:t>
            </w:r>
            <w:r>
              <w:rPr>
                <w:rFonts w:hint="eastAsia"/>
                <w:color w:val="000000" w:themeColor="text1"/>
                <w:szCs w:val="21"/>
                <w:highlight w:val="none"/>
                <w14:textFill>
                  <w14:solidFill>
                    <w14:schemeClr w14:val="tx1"/>
                  </w14:solidFill>
                </w14:textFill>
              </w:rPr>
              <w:t>站四周</w:t>
            </w:r>
            <w:r>
              <w:rPr>
                <w:color w:val="000000" w:themeColor="text1"/>
                <w:szCs w:val="21"/>
                <w:highlight w:val="none"/>
                <w14:textFill>
                  <w14:solidFill>
                    <w14:schemeClr w14:val="tx1"/>
                  </w14:solidFill>
                </w14:textFill>
              </w:rPr>
              <w:t>工频电场、工频磁场满足《电磁环境控制限值》</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GB8702-2014</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要求</w:t>
            </w:r>
          </w:p>
        </w:tc>
      </w:tr>
      <w:tr w14:paraId="046F5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04EFCF8F">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环境风险</w:t>
            </w:r>
          </w:p>
        </w:tc>
        <w:tc>
          <w:tcPr>
            <w:tcW w:w="1193" w:type="pct"/>
            <w:vAlign w:val="center"/>
          </w:tcPr>
          <w:p w14:paraId="7EFA61E9">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733" w:type="pct"/>
            <w:vAlign w:val="center"/>
          </w:tcPr>
          <w:p w14:paraId="668B13FD">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446" w:type="pct"/>
            <w:vAlign w:val="center"/>
          </w:tcPr>
          <w:p w14:paraId="008AC3EE">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970" w:type="pct"/>
            <w:vAlign w:val="center"/>
          </w:tcPr>
          <w:p w14:paraId="668B2DF7">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r>
      <w:tr w14:paraId="21237F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3EB1E0F2">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环境监测</w:t>
            </w:r>
          </w:p>
        </w:tc>
        <w:tc>
          <w:tcPr>
            <w:tcW w:w="1193" w:type="pct"/>
            <w:vAlign w:val="center"/>
          </w:tcPr>
          <w:p w14:paraId="490F6DA5">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733" w:type="pct"/>
            <w:vAlign w:val="center"/>
          </w:tcPr>
          <w:p w14:paraId="6FEE2296">
            <w:pPr>
              <w:adjustRightInd w:val="0"/>
              <w:snapToGrid w:val="0"/>
              <w:ind w:left="-63" w:leftChars="-3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446" w:type="pct"/>
            <w:vAlign w:val="center"/>
          </w:tcPr>
          <w:p w14:paraId="1DB1D7EB">
            <w:pPr>
              <w:adjustRightInd w:val="0"/>
              <w:snapToGrid w:val="0"/>
              <w:ind w:left="-63" w:leftChars="-30" w:right="-105" w:rightChars="-5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项目环保竣工验收监测一次，出现环保投诉时建设单位组织开展监测</w:t>
            </w:r>
          </w:p>
        </w:tc>
        <w:tc>
          <w:tcPr>
            <w:tcW w:w="970" w:type="pct"/>
            <w:vAlign w:val="center"/>
          </w:tcPr>
          <w:p w14:paraId="4AB51CED">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站址</w:t>
            </w:r>
            <w:r>
              <w:rPr>
                <w:rFonts w:hint="eastAsia"/>
                <w:color w:val="000000" w:themeColor="text1"/>
                <w:szCs w:val="21"/>
                <w:highlight w:val="none"/>
                <w14:textFill>
                  <w14:solidFill>
                    <w14:schemeClr w14:val="tx1"/>
                  </w14:solidFill>
                </w14:textFill>
              </w:rPr>
              <w:t>四周</w:t>
            </w:r>
            <w:r>
              <w:rPr>
                <w:color w:val="000000" w:themeColor="text1"/>
                <w:szCs w:val="21"/>
                <w:highlight w:val="none"/>
                <w14:textFill>
                  <w14:solidFill>
                    <w14:schemeClr w14:val="tx1"/>
                  </w14:solidFill>
                </w14:textFill>
              </w:rPr>
              <w:t>声环境满足《声环境质量标准》</w:t>
            </w:r>
            <w:r>
              <w:rPr>
                <w:rFonts w:hint="eastAsia"/>
                <w:color w:val="000000" w:themeColor="text1"/>
                <w:szCs w:val="21"/>
                <w:highlight w:val="none"/>
                <w14:textFill>
                  <w14:solidFill>
                    <w14:schemeClr w14:val="tx1"/>
                  </w14:solidFill>
                </w14:textFill>
              </w:rPr>
              <w:t>（GB3096- 2008）</w:t>
            </w:r>
            <w:r>
              <w:rPr>
                <w:color w:val="000000" w:themeColor="text1"/>
                <w:szCs w:val="21"/>
                <w:highlight w:val="none"/>
                <w14:textFill>
                  <w14:solidFill>
                    <w14:schemeClr w14:val="tx1"/>
                  </w14:solidFill>
                </w14:textFill>
              </w:rPr>
              <w:t>中</w:t>
            </w:r>
            <w:r>
              <w:rPr>
                <w:rFonts w:hint="eastAsia"/>
                <w:color w:val="000000" w:themeColor="text1"/>
                <w:szCs w:val="21"/>
                <w:highlight w:val="none"/>
                <w:lang w:val="en-US" w:eastAsia="zh-CN"/>
                <w14:textFill>
                  <w14:solidFill>
                    <w14:schemeClr w14:val="tx1"/>
                  </w14:solidFill>
                </w14:textFill>
              </w:rPr>
              <w:t>3</w:t>
            </w:r>
            <w:r>
              <w:rPr>
                <w:rFonts w:hint="eastAsia"/>
                <w:color w:val="000000" w:themeColor="text1"/>
                <w:szCs w:val="21"/>
                <w:highlight w:val="none"/>
                <w14:textFill>
                  <w14:solidFill>
                    <w14:schemeClr w14:val="tx1"/>
                  </w14:solidFill>
                </w14:textFill>
              </w:rPr>
              <w:t>类标准；</w:t>
            </w:r>
            <w:r>
              <w:rPr>
                <w:rFonts w:hint="eastAsia"/>
                <w:color w:val="000000" w:themeColor="text1"/>
                <w:szCs w:val="21"/>
                <w:highlight w:val="none"/>
                <w:lang w:val="en-US" w:eastAsia="zh-CN"/>
                <w14:textFill>
                  <w14:solidFill>
                    <w14:schemeClr w14:val="tx1"/>
                  </w14:solidFill>
                </w14:textFill>
              </w:rPr>
              <w:t>站址</w:t>
            </w:r>
            <w:r>
              <w:rPr>
                <w:rFonts w:hint="eastAsia"/>
                <w:color w:val="000000" w:themeColor="text1"/>
                <w:szCs w:val="21"/>
                <w:highlight w:val="none"/>
                <w14:textFill>
                  <w14:solidFill>
                    <w14:schemeClr w14:val="tx1"/>
                  </w14:solidFill>
                </w14:textFill>
              </w:rPr>
              <w:t>四周</w:t>
            </w:r>
            <w:r>
              <w:rPr>
                <w:color w:val="000000" w:themeColor="text1"/>
                <w:szCs w:val="21"/>
                <w:highlight w:val="none"/>
                <w14:textFill>
                  <w14:solidFill>
                    <w14:schemeClr w14:val="tx1"/>
                  </w14:solidFill>
                </w14:textFill>
              </w:rPr>
              <w:t>工频电场、工频磁场满足《电磁环境控制限值》</w:t>
            </w:r>
            <w:r>
              <w:rPr>
                <w:rFonts w:hint="eastAsia"/>
                <w:color w:val="000000" w:themeColor="text1"/>
                <w:szCs w:val="21"/>
                <w:highlight w:val="none"/>
                <w14:textFill>
                  <w14:solidFill>
                    <w14:schemeClr w14:val="tx1"/>
                  </w14:solidFill>
                </w14:textFill>
              </w:rPr>
              <w:t>（GB8702- 2014）中工频电场强度</w:t>
            </w:r>
            <w:r>
              <w:rPr>
                <w:color w:val="000000" w:themeColor="text1"/>
                <w:szCs w:val="21"/>
                <w:highlight w:val="none"/>
                <w14:textFill>
                  <w14:solidFill>
                    <w14:schemeClr w14:val="tx1"/>
                  </w14:solidFill>
                </w14:textFill>
              </w:rPr>
              <w:t>4000V/m</w:t>
            </w:r>
            <w:r>
              <w:rPr>
                <w:rFonts w:hint="eastAsia"/>
                <w:color w:val="000000" w:themeColor="text1"/>
                <w:szCs w:val="21"/>
                <w:highlight w:val="none"/>
                <w14:textFill>
                  <w14:solidFill>
                    <w14:schemeClr w14:val="tx1"/>
                  </w14:solidFill>
                </w14:textFill>
              </w:rPr>
              <w:t>，工频磁感应强度小于</w:t>
            </w:r>
            <w:r>
              <w:rPr>
                <w:color w:val="000000" w:themeColor="text1"/>
                <w:szCs w:val="21"/>
                <w:highlight w:val="none"/>
                <w14:textFill>
                  <w14:solidFill>
                    <w14:schemeClr w14:val="tx1"/>
                  </w14:solidFill>
                </w14:textFill>
              </w:rPr>
              <w:t>100μT</w:t>
            </w:r>
            <w:r>
              <w:rPr>
                <w:rFonts w:hint="eastAsia"/>
                <w:color w:val="000000" w:themeColor="text1"/>
                <w:szCs w:val="21"/>
                <w:highlight w:val="none"/>
                <w14:textFill>
                  <w14:solidFill>
                    <w14:schemeClr w14:val="tx1"/>
                  </w14:solidFill>
                </w14:textFill>
              </w:rPr>
              <w:t>。</w:t>
            </w:r>
          </w:p>
        </w:tc>
      </w:tr>
      <w:tr w14:paraId="53F96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9E5BF93">
            <w:pPr>
              <w:adjustRightInd w:val="0"/>
              <w:snapToGri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其他</w:t>
            </w:r>
          </w:p>
        </w:tc>
        <w:tc>
          <w:tcPr>
            <w:tcW w:w="1193" w:type="pct"/>
            <w:vAlign w:val="center"/>
          </w:tcPr>
          <w:p w14:paraId="2DF35F4B">
            <w:pPr>
              <w:adjustRightInd w:val="0"/>
              <w:snapToGrid w:val="0"/>
              <w:ind w:left="-63" w:leftChars="-3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733" w:type="pct"/>
            <w:vAlign w:val="center"/>
          </w:tcPr>
          <w:p w14:paraId="6C9B8182">
            <w:pPr>
              <w:adjustRightInd w:val="0"/>
              <w:snapToGrid w:val="0"/>
              <w:ind w:left="-63" w:leftChars="-3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446" w:type="pct"/>
            <w:vAlign w:val="center"/>
          </w:tcPr>
          <w:p w14:paraId="24C43A16">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竣工后应及时验收</w:t>
            </w:r>
          </w:p>
        </w:tc>
        <w:tc>
          <w:tcPr>
            <w:tcW w:w="970" w:type="pct"/>
            <w:vAlign w:val="center"/>
          </w:tcPr>
          <w:p w14:paraId="16F51A2A">
            <w:pPr>
              <w:adjustRightInd w:val="0"/>
              <w:snapToGrid w:val="0"/>
              <w:ind w:left="-63" w:leftChars="-30" w:right="-105" w:rightChar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竣工后应及时组织开展自主验收</w:t>
            </w:r>
          </w:p>
        </w:tc>
      </w:tr>
    </w:tbl>
    <w:p w14:paraId="2294D769">
      <w:pPr>
        <w:pStyle w:val="27"/>
        <w:jc w:val="center"/>
        <w:rPr>
          <w:rFonts w:ascii="Times New Roman" w:hAnsi="Times New Roman" w:eastAsia="黑体"/>
          <w:snapToGrid w:val="0"/>
          <w:color w:val="000000" w:themeColor="text1"/>
          <w:highlight w:val="none"/>
          <w14:textFill>
            <w14:solidFill>
              <w14:schemeClr w14:val="tx1"/>
            </w14:solidFill>
          </w14:textFill>
        </w:rPr>
      </w:pPr>
    </w:p>
    <w:p w14:paraId="4318AA77">
      <w:pPr>
        <w:pStyle w:val="27"/>
        <w:spacing w:before="0" w:beforeAutospacing="0" w:line="14" w:lineRule="auto"/>
        <w:jc w:val="center"/>
        <w:rPr>
          <w:rFonts w:hint="eastAsia" w:ascii="黑体" w:hAnsi="黑体" w:eastAsia="黑体"/>
          <w:snapToGrid w:val="0"/>
          <w:color w:val="000000" w:themeColor="text1"/>
          <w:sz w:val="30"/>
          <w:szCs w:val="30"/>
          <w:highlight w:val="none"/>
          <w14:textFill>
            <w14:solidFill>
              <w14:schemeClr w14:val="tx1"/>
            </w14:solidFill>
          </w14:textFill>
        </w:rPr>
      </w:pPr>
      <w:r>
        <w:rPr>
          <w:rFonts w:ascii="黑体" w:hAnsi="黑体" w:eastAsia="黑体"/>
          <w:snapToGrid w:val="0"/>
          <w:color w:val="000000" w:themeColor="text1"/>
          <w:sz w:val="30"/>
          <w:szCs w:val="30"/>
          <w:highlight w:val="none"/>
          <w14:textFill>
            <w14:solidFill>
              <w14:schemeClr w14:val="tx1"/>
            </w14:solidFill>
          </w14:textFill>
        </w:rPr>
        <w:br w:type="page"/>
      </w:r>
    </w:p>
    <w:p w14:paraId="24507079">
      <w:pPr>
        <w:pStyle w:val="27"/>
        <w:spacing w:before="192" w:beforeLines="80" w:beforeAutospacing="0" w:after="0" w:afterAutospacing="0"/>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78" w:name="_Toc21402"/>
      <w:bookmarkStart w:id="79" w:name="_Toc12029"/>
      <w:r>
        <w:rPr>
          <w:rFonts w:hint="eastAsia" w:ascii="黑体" w:hAnsi="黑体" w:eastAsia="黑体"/>
          <w:snapToGrid w:val="0"/>
          <w:color w:val="000000" w:themeColor="text1"/>
          <w:sz w:val="30"/>
          <w:szCs w:val="30"/>
          <w:highlight w:val="none"/>
          <w14:textFill>
            <w14:solidFill>
              <w14:schemeClr w14:val="tx1"/>
            </w14:solidFill>
          </w14:textFill>
        </w:rPr>
        <w:t>七、结论</w:t>
      </w:r>
      <w:bookmarkEnd w:id="78"/>
      <w:bookmarkEnd w:id="79"/>
    </w:p>
    <w:tbl>
      <w:tblPr>
        <w:tblStyle w:val="32"/>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5388FF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8" w:hRule="atLeast"/>
          <w:jc w:val="center"/>
        </w:trPr>
        <w:tc>
          <w:tcPr>
            <w:tcW w:w="9289" w:type="dxa"/>
          </w:tcPr>
          <w:p w14:paraId="3CF7923F">
            <w:pPr>
              <w:pStyle w:val="17"/>
              <w:spacing w:before="240" w:beforeLines="100" w:line="360" w:lineRule="auto"/>
              <w:ind w:left="0" w:leftChars="0"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本项目建设符合国家产业政策及相关规划要求，选址、选线合理，项目</w:t>
            </w:r>
            <w:r>
              <w:rPr>
                <w:rFonts w:hint="eastAsia"/>
                <w:color w:val="000000" w:themeColor="text1"/>
                <w:sz w:val="24"/>
                <w:highlight w:val="none"/>
                <w14:textFill>
                  <w14:solidFill>
                    <w14:schemeClr w14:val="tx1"/>
                  </w14:solidFill>
                </w14:textFill>
              </w:rPr>
              <w:t>沿线</w:t>
            </w:r>
            <w:r>
              <w:rPr>
                <w:color w:val="000000" w:themeColor="text1"/>
                <w:sz w:val="24"/>
                <w:highlight w:val="none"/>
                <w14:textFill>
                  <w14:solidFill>
                    <w14:schemeClr w14:val="tx1"/>
                  </w14:solidFill>
                </w14:textFill>
              </w:rPr>
              <w:t>无明显环境制约因素，本项目符合所在区域</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三线一单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管控要求。在严格落实本次环评提出的环保措施的前提下，施工期和运行期排放的各类污染物对区域环境影响不大，生态环境影响可接受。因此，本项目的建设从环保角度上分析是可行的。</w:t>
            </w:r>
          </w:p>
          <w:p w14:paraId="00B24EE3">
            <w:pPr>
              <w:adjustRightInd w:val="0"/>
              <w:snapToGrid w:val="0"/>
              <w:spacing w:before="120" w:beforeLines="50" w:line="360" w:lineRule="auto"/>
              <w:jc w:val="left"/>
              <w:rPr>
                <w:rFonts w:hint="eastAsia" w:ascii="宋体" w:hAnsi="宋体" w:cs="宋体"/>
                <w:color w:val="000000" w:themeColor="text1"/>
                <w:szCs w:val="21"/>
                <w:highlight w:val="none"/>
                <w14:textFill>
                  <w14:solidFill>
                    <w14:schemeClr w14:val="tx1"/>
                  </w14:solidFill>
                </w14:textFill>
              </w:rPr>
            </w:pPr>
          </w:p>
        </w:tc>
      </w:tr>
    </w:tbl>
    <w:p w14:paraId="49B82171">
      <w:pPr>
        <w:widowControl/>
        <w:adjustRightInd w:val="0"/>
        <w:snapToGrid w:val="0"/>
        <w:spacing w:before="192" w:beforeLines="80"/>
        <w:jc w:val="left"/>
        <w:rPr>
          <w:rFonts w:ascii="宋体"/>
          <w:color w:val="000000" w:themeColor="text1"/>
          <w:highlight w:val="none"/>
          <w14:textFill>
            <w14:solidFill>
              <w14:schemeClr w14:val="tx1"/>
            </w14:solidFill>
          </w14:textFill>
        </w:rPr>
      </w:pPr>
    </w:p>
    <w:p w14:paraId="37E7CEE2">
      <w:pPr>
        <w:pStyle w:val="13"/>
        <w:rPr>
          <w:color w:val="000000" w:themeColor="text1"/>
          <w:highlight w:val="none"/>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52F87DFB">
      <w:pPr>
        <w:pStyle w:val="27"/>
        <w:spacing w:before="192" w:beforeLines="80" w:beforeAutospacing="0" w:after="0" w:afterAutospacing="0"/>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80" w:name="_Toc6700"/>
      <w:r>
        <w:rPr>
          <w:rFonts w:hint="eastAsia" w:ascii="黑体" w:hAnsi="黑体" w:eastAsia="黑体"/>
          <w:snapToGrid w:val="0"/>
          <w:color w:val="000000" w:themeColor="text1"/>
          <w:sz w:val="30"/>
          <w:szCs w:val="30"/>
          <w:highlight w:val="none"/>
          <w14:textFill>
            <w14:solidFill>
              <w14:schemeClr w14:val="tx1"/>
            </w14:solidFill>
          </w14:textFill>
        </w:rPr>
        <w:t>附录：电磁环境影响专题评价</w:t>
      </w:r>
      <w:bookmarkEnd w:id="80"/>
    </w:p>
    <w:p w14:paraId="2205E3C5">
      <w:pPr>
        <w:jc w:val="center"/>
        <w:rPr>
          <w:rFonts w:hint="eastAsia" w:ascii="黑体" w:hAnsi="黑体" w:eastAsia="黑体"/>
          <w:snapToGrid w:val="0"/>
          <w:color w:val="000000" w:themeColor="text1"/>
          <w:kern w:val="0"/>
          <w:sz w:val="30"/>
          <w:szCs w:val="30"/>
          <w:highlight w:val="none"/>
          <w14:textFill>
            <w14:solidFill>
              <w14:schemeClr w14:val="tx1"/>
            </w14:solidFill>
          </w14:textFill>
        </w:rPr>
      </w:pPr>
      <w:r>
        <w:rPr>
          <w:rFonts w:ascii="宋体" w:hAnsi="宋体"/>
          <w:color w:val="000000" w:themeColor="text1"/>
          <w:sz w:val="28"/>
          <w:szCs w:val="36"/>
          <w:highlight w:val="none"/>
          <w14:textFill>
            <w14:solidFill>
              <w14:schemeClr w14:val="tx1"/>
            </w14:solidFill>
          </w14:textFill>
        </w:rPr>
        <w:t>目录</w:t>
      </w:r>
    </w:p>
    <w:p w14:paraId="56FFD162">
      <w:pPr>
        <w:pStyle w:val="21"/>
        <w:tabs>
          <w:tab w:val="right" w:leader="dot" w:pos="8306"/>
        </w:tabs>
        <w:rPr>
          <w:color w:val="000000" w:themeColor="text1"/>
          <w:highlight w:val="none"/>
          <w14:textFill>
            <w14:solidFill>
              <w14:schemeClr w14:val="tx1"/>
            </w14:solidFill>
          </w14:textFill>
        </w:rPr>
      </w:pPr>
      <w:r>
        <w:rPr>
          <w:rFonts w:hint="eastAsia" w:ascii="黑体" w:hAnsi="黑体" w:eastAsia="黑体"/>
          <w:snapToGrid w:val="0"/>
          <w:color w:val="000000" w:themeColor="text1"/>
          <w:kern w:val="0"/>
          <w:sz w:val="30"/>
          <w:szCs w:val="30"/>
          <w:highlight w:val="none"/>
          <w14:textFill>
            <w14:solidFill>
              <w14:schemeClr w14:val="tx1"/>
            </w14:solidFill>
          </w14:textFill>
        </w:rPr>
        <w:fldChar w:fldCharType="begin"/>
      </w:r>
      <w:r>
        <w:rPr>
          <w:rFonts w:hint="eastAsia" w:ascii="黑体" w:hAnsi="黑体" w:eastAsia="黑体"/>
          <w:snapToGrid w:val="0"/>
          <w:color w:val="000000" w:themeColor="text1"/>
          <w:kern w:val="0"/>
          <w:sz w:val="30"/>
          <w:szCs w:val="30"/>
          <w:highlight w:val="none"/>
          <w14:textFill>
            <w14:solidFill>
              <w14:schemeClr w14:val="tx1"/>
            </w14:solidFill>
          </w14:textFill>
        </w:rPr>
        <w:instrText xml:space="preserve">TOC \o "1-2" \h \u </w:instrText>
      </w:r>
      <w:r>
        <w:rPr>
          <w:rFonts w:hint="eastAsia" w:ascii="黑体" w:hAnsi="黑体" w:eastAsia="黑体"/>
          <w:snapToGrid w:val="0"/>
          <w:color w:val="000000" w:themeColor="text1"/>
          <w:kern w:val="0"/>
          <w:sz w:val="30"/>
          <w:szCs w:val="30"/>
          <w:highlight w:val="none"/>
          <w14:textFill>
            <w14:solidFill>
              <w14:schemeClr w14:val="tx1"/>
            </w14:solidFill>
          </w14:textFill>
        </w:rPr>
        <w:fldChar w:fldCharType="separate"/>
      </w:r>
    </w:p>
    <w:p w14:paraId="2F108E1F">
      <w:pPr>
        <w:pStyle w:val="21"/>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"_Toc10589"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1总则</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_Toc10589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66</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2928F5DB">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"_Toc14355"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1.1项目规模</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_Toc14355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66</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236CAE0C">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"_Toc7198"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1.2评价目的</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_Toc7198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66</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1B5DD3E2">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"_Toc25194"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1.3评价依据</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_Toc25194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66</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7996508D">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"_Toc3954"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1.4评价因子、评价等级、评价范围</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_Toc3954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67</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169D2E0E">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"_Toc17158"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1.5评价标准</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_Toc17158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68</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26FC9A3E">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"_Toc2292"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1.6电磁环境敏感目标</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_Toc2292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68</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43B5F71E">
      <w:pPr>
        <w:pStyle w:val="21"/>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"_Toc8986"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2电磁环境现状监测与评价</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_Toc8986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68</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36D61563">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"_Toc9991"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2.1监测因子</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_Toc9991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68</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4DFF487C">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"_Toc8590"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2.2监测方法及布点</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_Toc8590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68</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558CAEDD">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"_Toc26303"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2.3监测单位及监测时间</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_Toc26303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68</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111D2AC1">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"_Toc25038"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2.4采样方法及仪器</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_Toc25038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68</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26FDF91E">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"_Toc5618"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2.5监测结果</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_Toc5618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69</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784AC6EA">
      <w:pPr>
        <w:pStyle w:val="21"/>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"_Toc14849"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3电磁环境影响预测与评价</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_Toc14849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69</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67BE0919">
      <w:pPr>
        <w:pStyle w:val="25"/>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"_Toc15120"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3.1</w:t>
      </w:r>
      <w:r>
        <w:rPr>
          <w:color w:val="000000" w:themeColor="text1"/>
          <w:sz w:val="24"/>
          <w:highlight w:val="none"/>
          <w:lang w:val="zh-CN"/>
          <w14:textFill>
            <w14:solidFill>
              <w14:schemeClr w14:val="tx1"/>
            </w14:solidFill>
          </w14:textFill>
        </w:rPr>
        <w:t>升压站</w:t>
      </w:r>
      <w:r>
        <w:rPr>
          <w:color w:val="000000" w:themeColor="text1"/>
          <w:sz w:val="24"/>
          <w:highlight w:val="none"/>
          <w14:textFill>
            <w14:solidFill>
              <w14:schemeClr w14:val="tx1"/>
            </w14:solidFill>
          </w14:textFill>
        </w:rPr>
        <w:t>电磁环境影响预测</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_Toc15120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69</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630845B5">
      <w:pPr>
        <w:pStyle w:val="21"/>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"_Toc4218"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4电磁环境保护措施</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_Toc4218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72</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4F672C50">
      <w:pPr>
        <w:pStyle w:val="21"/>
        <w:tabs>
          <w:tab w:val="right" w:leader="dot" w:pos="8306"/>
        </w:tabs>
        <w:spacing w:line="360" w:lineRule="auto"/>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"_Toc24354" </w:instrText>
      </w:r>
      <w:r>
        <w:rPr>
          <w:color w:val="000000" w:themeColor="text1"/>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5电磁环境影响评价结论</w:t>
      </w:r>
      <w:r>
        <w:rPr>
          <w:color w:val="000000" w:themeColor="text1"/>
          <w:sz w:val="24"/>
          <w:highlight w:val="none"/>
          <w14:textFill>
            <w14:solidFill>
              <w14:schemeClr w14:val="tx1"/>
            </w14:solidFill>
          </w14:textFill>
        </w:rPr>
        <w:tab/>
      </w: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PAGEREF _Toc24354 \h </w:instrText>
      </w:r>
      <w:r>
        <w:rPr>
          <w:color w:val="000000" w:themeColor="text1"/>
          <w:sz w:val="24"/>
          <w:highlight w:val="none"/>
          <w14:textFill>
            <w14:solidFill>
              <w14:schemeClr w14:val="tx1"/>
            </w14:solidFill>
          </w14:textFill>
        </w:rPr>
        <w:fldChar w:fldCharType="separate"/>
      </w:r>
      <w:r>
        <w:rPr>
          <w:color w:val="000000" w:themeColor="text1"/>
          <w:sz w:val="24"/>
          <w:highlight w:val="none"/>
          <w14:textFill>
            <w14:solidFill>
              <w14:schemeClr w14:val="tx1"/>
            </w14:solidFill>
          </w14:textFill>
        </w:rPr>
        <w:t>72</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fldChar w:fldCharType="end"/>
      </w:r>
    </w:p>
    <w:p w14:paraId="441BCC28">
      <w:pPr>
        <w:rPr>
          <w:rFonts w:hint="eastAsia" w:ascii="黑体" w:hAnsi="黑体" w:eastAsia="黑体"/>
          <w:snapToGrid w:val="0"/>
          <w:color w:val="000000" w:themeColor="text1"/>
          <w:kern w:val="0"/>
          <w:sz w:val="30"/>
          <w:szCs w:val="30"/>
          <w:highlight w:val="none"/>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r>
        <w:rPr>
          <w:rFonts w:hint="eastAsia" w:ascii="黑体" w:hAnsi="黑体" w:eastAsia="黑体"/>
          <w:snapToGrid w:val="0"/>
          <w:color w:val="000000" w:themeColor="text1"/>
          <w:kern w:val="0"/>
          <w:szCs w:val="30"/>
          <w:highlight w:val="none"/>
          <w14:textFill>
            <w14:solidFill>
              <w14:schemeClr w14:val="tx1"/>
            </w14:solidFill>
          </w14:textFill>
        </w:rPr>
        <w:fldChar w:fldCharType="end"/>
      </w:r>
    </w:p>
    <w:p w14:paraId="7974053A">
      <w:pPr>
        <w:pStyle w:val="4"/>
        <w:rPr>
          <w:rFonts w:eastAsia="宋体"/>
          <w:color w:val="000000" w:themeColor="text1"/>
          <w:sz w:val="28"/>
          <w:szCs w:val="28"/>
          <w:highlight w:val="none"/>
          <w14:textFill>
            <w14:solidFill>
              <w14:schemeClr w14:val="tx1"/>
            </w14:solidFill>
          </w14:textFill>
        </w:rPr>
      </w:pPr>
      <w:bookmarkStart w:id="81" w:name="_Toc27013"/>
      <w:bookmarkStart w:id="82" w:name="_Toc10589"/>
      <w:bookmarkStart w:id="83" w:name="_Toc1379"/>
      <w:r>
        <w:rPr>
          <w:rFonts w:eastAsia="宋体"/>
          <w:color w:val="000000" w:themeColor="text1"/>
          <w:sz w:val="28"/>
          <w:szCs w:val="28"/>
          <w:highlight w:val="none"/>
          <w14:textFill>
            <w14:solidFill>
              <w14:schemeClr w14:val="tx1"/>
            </w14:solidFill>
          </w14:textFill>
        </w:rPr>
        <w:t>1总则</w:t>
      </w:r>
      <w:bookmarkEnd w:id="81"/>
      <w:bookmarkEnd w:id="82"/>
      <w:bookmarkEnd w:id="83"/>
    </w:p>
    <w:p w14:paraId="72F97515">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84" w:name="_Toc14355"/>
      <w:r>
        <w:rPr>
          <w:rFonts w:ascii="Times New Roman" w:hAnsi="Times New Roman" w:eastAsia="宋体"/>
          <w:color w:val="000000" w:themeColor="text1"/>
          <w:sz w:val="24"/>
          <w:szCs w:val="24"/>
          <w:highlight w:val="none"/>
          <w14:textFill>
            <w14:solidFill>
              <w14:schemeClr w14:val="tx1"/>
            </w14:solidFill>
          </w14:textFill>
        </w:rPr>
        <w:t>1.1项目规模</w:t>
      </w:r>
      <w:bookmarkEnd w:id="84"/>
    </w:p>
    <w:p w14:paraId="670D9FF0">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kern w:val="0"/>
          <w:sz w:val="24"/>
          <w:highlight w:val="none"/>
          <w:lang w:val="en-US" w:eastAsia="zh-CN"/>
          <w14:textFill>
            <w14:solidFill>
              <w14:schemeClr w14:val="tx1"/>
            </w14:solidFill>
          </w14:textFill>
        </w:rPr>
        <w:t>新建1座10万kW/40万kWh磷酸铁锂形式的独立储能电站、配套110kV</w:t>
      </w:r>
      <w:r>
        <w:rPr>
          <w:rFonts w:hint="eastAsia"/>
          <w:color w:val="000000" w:themeColor="text1"/>
          <w:kern w:val="0"/>
          <w:sz w:val="24"/>
          <w:highlight w:val="none"/>
          <w14:textFill>
            <w14:solidFill>
              <w14:schemeClr w14:val="tx1"/>
            </w14:solidFill>
          </w14:textFill>
        </w:rPr>
        <w:t>升压站</w:t>
      </w:r>
      <w:r>
        <w:rPr>
          <w:rFonts w:hint="eastAsia"/>
          <w:color w:val="000000" w:themeColor="text1"/>
          <w:kern w:val="0"/>
          <w:sz w:val="24"/>
          <w:highlight w:val="none"/>
          <w:lang w:val="en-US" w:eastAsia="zh-CN"/>
          <w14:textFill>
            <w14:solidFill>
              <w14:schemeClr w14:val="tx1"/>
            </w14:solidFill>
          </w14:textFill>
        </w:rPr>
        <w:t>1座及110kV输电线路3.3km</w:t>
      </w:r>
      <w:r>
        <w:rPr>
          <w:rFonts w:hint="eastAsia"/>
          <w:color w:val="000000" w:themeColor="text1"/>
          <w:sz w:val="24"/>
          <w:highlight w:val="none"/>
          <w14:textFill>
            <w14:solidFill>
              <w14:schemeClr w14:val="tx1"/>
            </w14:solidFill>
          </w14:textFill>
        </w:rPr>
        <w:t>。规划建设</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回</w:t>
      </w:r>
      <w:r>
        <w:rPr>
          <w:rFonts w:hint="eastAsia"/>
          <w:color w:val="000000" w:themeColor="text1"/>
          <w:sz w:val="24"/>
          <w:highlight w:val="none"/>
          <w:lang w:val="en-US" w:eastAsia="zh-CN"/>
          <w14:textFill>
            <w14:solidFill>
              <w14:schemeClr w14:val="tx1"/>
            </w14:solidFill>
          </w14:textFill>
        </w:rPr>
        <w:t>110</w:t>
      </w:r>
      <w:r>
        <w:rPr>
          <w:rFonts w:hint="eastAsia"/>
          <w:color w:val="000000" w:themeColor="text1"/>
          <w:sz w:val="24"/>
          <w:highlight w:val="none"/>
          <w14:textFill>
            <w14:solidFill>
              <w14:schemeClr w14:val="tx1"/>
            </w14:solidFill>
          </w14:textFill>
        </w:rPr>
        <w:t>kV</w:t>
      </w:r>
      <w:r>
        <w:rPr>
          <w:rFonts w:hint="eastAsia"/>
          <w:color w:val="000000" w:themeColor="text1"/>
          <w:sz w:val="24"/>
          <w:highlight w:val="none"/>
          <w:lang w:val="en-US" w:eastAsia="zh-CN"/>
          <w14:textFill>
            <w14:solidFill>
              <w14:schemeClr w14:val="tx1"/>
            </w14:solidFill>
          </w14:textFill>
        </w:rPr>
        <w:t>出</w:t>
      </w:r>
      <w:r>
        <w:rPr>
          <w:rFonts w:hint="eastAsia"/>
          <w:color w:val="000000" w:themeColor="text1"/>
          <w:sz w:val="24"/>
          <w:highlight w:val="none"/>
          <w14:textFill>
            <w14:solidFill>
              <w14:schemeClr w14:val="tx1"/>
            </w14:solidFill>
          </w14:textFill>
        </w:rPr>
        <w:t>线，本期新建</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回</w:t>
      </w:r>
      <w:r>
        <w:rPr>
          <w:rFonts w:hint="eastAsia"/>
          <w:color w:val="000000" w:themeColor="text1"/>
          <w:sz w:val="24"/>
          <w:highlight w:val="none"/>
          <w:lang w:val="en-US" w:eastAsia="zh-CN"/>
          <w14:textFill>
            <w14:solidFill>
              <w14:schemeClr w14:val="tx1"/>
            </w14:solidFill>
          </w14:textFill>
        </w:rPr>
        <w:t>11</w:t>
      </w:r>
      <w:r>
        <w:rPr>
          <w:rFonts w:hint="eastAsia"/>
          <w:color w:val="000000" w:themeColor="text1"/>
          <w:sz w:val="24"/>
          <w:highlight w:val="none"/>
          <w14:textFill>
            <w14:solidFill>
              <w14:schemeClr w14:val="tx1"/>
            </w14:solidFill>
          </w14:textFill>
        </w:rPr>
        <w:t>0kV出线</w:t>
      </w:r>
      <w:r>
        <w:rPr>
          <w:rFonts w:hint="eastAsia"/>
          <w:color w:val="000000" w:themeColor="text1"/>
          <w:sz w:val="24"/>
          <w:highlight w:val="none"/>
          <w:lang w:val="en-US" w:eastAsia="zh-CN"/>
          <w14:textFill>
            <w14:solidFill>
              <w14:schemeClr w14:val="tx1"/>
            </w14:solidFill>
          </w14:textFill>
        </w:rPr>
        <w:t>至托克逊工业园变电站</w:t>
      </w:r>
      <w:r>
        <w:rPr>
          <w:rFonts w:hint="eastAsia"/>
          <w:color w:val="000000" w:themeColor="text1"/>
          <w:sz w:val="24"/>
          <w:highlight w:val="none"/>
          <w14:textFill>
            <w14:solidFill>
              <w14:schemeClr w14:val="tx1"/>
            </w14:solidFill>
          </w14:textFill>
        </w:rPr>
        <w:t>。</w:t>
      </w:r>
    </w:p>
    <w:p w14:paraId="10BD9707">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85" w:name="_Toc7198"/>
      <w:r>
        <w:rPr>
          <w:rFonts w:hint="eastAsia" w:ascii="Times New Roman" w:hAnsi="Times New Roman" w:eastAsia="宋体"/>
          <w:color w:val="000000" w:themeColor="text1"/>
          <w:sz w:val="24"/>
          <w:szCs w:val="24"/>
          <w:highlight w:val="none"/>
          <w14:textFill>
            <w14:solidFill>
              <w14:schemeClr w14:val="tx1"/>
            </w14:solidFill>
          </w14:textFill>
        </w:rPr>
        <w:t>1.2评价目的</w:t>
      </w:r>
      <w:bookmarkEnd w:id="85"/>
    </w:p>
    <w:p w14:paraId="54579D0A">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中华人民共和国环境保护法》、《中华人民共和国环境影响评价法》、《建设项目环境保护管理条例》等有关法律法规，为切实做好项目的环境保护工作，使输变电事业与环境保护协调发展，控制电磁环境污染、避害扬利、保障公众健康，</w:t>
      </w:r>
      <w:r>
        <w:rPr>
          <w:rFonts w:hint="eastAsia"/>
          <w:color w:val="000000" w:themeColor="text1"/>
          <w:sz w:val="24"/>
          <w:highlight w:val="none"/>
          <w:lang w:eastAsia="zh-CN"/>
          <w14:textFill>
            <w14:solidFill>
              <w14:schemeClr w14:val="tx1"/>
            </w14:solidFill>
          </w14:textFill>
        </w:rPr>
        <w:t>托克逊奥宇储能有限公司</w:t>
      </w:r>
      <w:r>
        <w:rPr>
          <w:rFonts w:hint="eastAsia"/>
          <w:color w:val="000000" w:themeColor="text1"/>
          <w:sz w:val="24"/>
          <w:highlight w:val="none"/>
          <w14:textFill>
            <w14:solidFill>
              <w14:schemeClr w14:val="tx1"/>
            </w14:solidFill>
          </w14:textFill>
        </w:rPr>
        <w:t>委托我单位承担本项目的电磁环境影响评价工作，</w:t>
      </w:r>
      <w:r>
        <w:rPr>
          <w:rFonts w:hint="eastAsia"/>
          <w:color w:val="000000" w:themeColor="text1"/>
          <w:kern w:val="0"/>
          <w:sz w:val="24"/>
          <w:highlight w:val="none"/>
          <w14:textFill>
            <w14:solidFill>
              <w14:schemeClr w14:val="tx1"/>
            </w14:solidFill>
          </w14:textFill>
        </w:rPr>
        <w:t>根据《环境影响评价技术导则 输变电》（HJ24-2020）附录B要求：输变电建设项目环境影响报告表应设电磁环境影响专题评价，本项目属于编制环境影响报告表的输变电建设项目，应设置</w:t>
      </w:r>
      <w:r>
        <w:rPr>
          <w:color w:val="000000" w:themeColor="text1"/>
          <w:sz w:val="24"/>
          <w:highlight w:val="none"/>
          <w14:textFill>
            <w14:solidFill>
              <w14:schemeClr w14:val="tx1"/>
            </w14:solidFill>
          </w14:textFill>
        </w:rPr>
        <w:t>电磁环境影响</w:t>
      </w:r>
      <w:r>
        <w:rPr>
          <w:rFonts w:hint="eastAsia"/>
          <w:color w:val="000000" w:themeColor="text1"/>
          <w:sz w:val="24"/>
          <w:highlight w:val="none"/>
          <w14:textFill>
            <w14:solidFill>
              <w14:schemeClr w14:val="tx1"/>
            </w14:solidFill>
          </w14:textFill>
        </w:rPr>
        <w:t>专题评价，分析说明输变电项目建设运行后电磁环境影响的情况。</w:t>
      </w:r>
    </w:p>
    <w:p w14:paraId="40307CFF">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86" w:name="_Toc25194"/>
      <w:r>
        <w:rPr>
          <w:rFonts w:hint="eastAsia" w:ascii="Times New Roman" w:hAnsi="Times New Roman" w:eastAsia="宋体"/>
          <w:color w:val="000000" w:themeColor="text1"/>
          <w:sz w:val="24"/>
          <w:szCs w:val="24"/>
          <w:highlight w:val="none"/>
          <w14:textFill>
            <w14:solidFill>
              <w14:schemeClr w14:val="tx1"/>
            </w14:solidFill>
          </w14:textFill>
        </w:rPr>
        <w:t>1.3评价依据</w:t>
      </w:r>
      <w:bookmarkEnd w:id="86"/>
    </w:p>
    <w:p w14:paraId="1F381FDA">
      <w:pPr>
        <w:pStyle w:val="3"/>
        <w:spacing w:after="0" w:line="360" w:lineRule="auto"/>
        <w:rPr>
          <w:b/>
          <w:bCs/>
          <w:color w:val="000000" w:themeColor="text1"/>
          <w:sz w:val="24"/>
          <w:szCs w:val="32"/>
          <w:highlight w:val="none"/>
          <w14:textFill>
            <w14:solidFill>
              <w14:schemeClr w14:val="tx1"/>
            </w14:solidFill>
          </w14:textFill>
        </w:rPr>
      </w:pPr>
      <w:r>
        <w:rPr>
          <w:rFonts w:hint="eastAsia"/>
          <w:b/>
          <w:bCs/>
          <w:color w:val="000000" w:themeColor="text1"/>
          <w:sz w:val="24"/>
          <w:szCs w:val="32"/>
          <w:highlight w:val="none"/>
          <w14:textFill>
            <w14:solidFill>
              <w14:schemeClr w14:val="tx1"/>
            </w14:solidFill>
          </w14:textFill>
        </w:rPr>
        <w:t>1.3.1法律、法规及相关规范</w:t>
      </w:r>
    </w:p>
    <w:p w14:paraId="472AA02C">
      <w:pPr>
        <w:spacing w:line="368"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（1）《中华人民共和国环境保护法》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2014年4月24日修订</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2015年1月1日起施行</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494F97BE">
      <w:pPr>
        <w:spacing w:line="368"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（2）《中华人民共和国环境影响评价法》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2018年12月29日修订并实施</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0D7D331C">
      <w:pPr>
        <w:spacing w:line="368"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（3）《建设项目环境保护管理条例》</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国务院令</w:t>
      </w:r>
      <w:r>
        <w:rPr>
          <w:rFonts w:hint="eastAsia"/>
          <w:color w:val="000000" w:themeColor="text1"/>
          <w:sz w:val="24"/>
          <w:highlight w:val="none"/>
          <w14:textFill>
            <w14:solidFill>
              <w14:schemeClr w14:val="tx1"/>
            </w14:solidFill>
          </w14:textFill>
        </w:rPr>
        <w:t>（2017）</w:t>
      </w:r>
      <w:r>
        <w:rPr>
          <w:color w:val="000000" w:themeColor="text1"/>
          <w:sz w:val="24"/>
          <w:highlight w:val="none"/>
          <w14:textFill>
            <w14:solidFill>
              <w14:schemeClr w14:val="tx1"/>
            </w14:solidFill>
          </w14:textFill>
        </w:rPr>
        <w:t>第682号</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2017年6月21日修订</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2017年10月1日起施行</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171E7FE8">
      <w:pPr>
        <w:spacing w:line="368"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（4）《建设项目环境影响评价分类管理名录》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生态环境部令</w:t>
      </w:r>
      <w:r>
        <w:rPr>
          <w:rFonts w:hint="eastAsia"/>
          <w:color w:val="000000" w:themeColor="text1"/>
          <w:sz w:val="24"/>
          <w:highlight w:val="none"/>
          <w14:textFill>
            <w14:solidFill>
              <w14:schemeClr w14:val="tx1"/>
            </w14:solidFill>
          </w14:textFill>
        </w:rPr>
        <w:t>〔2020〕</w:t>
      </w:r>
      <w:r>
        <w:rPr>
          <w:color w:val="000000" w:themeColor="text1"/>
          <w:sz w:val="24"/>
          <w:highlight w:val="none"/>
          <w14:textFill>
            <w14:solidFill>
              <w14:schemeClr w14:val="tx1"/>
            </w14:solidFill>
          </w14:textFill>
        </w:rPr>
        <w:t>第16号</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2021年1月1日</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081DACBE">
      <w:pPr>
        <w:spacing w:line="372"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（5）《关于进一步加强环境影响评价管理防范环境风险的通知》</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环发</w:t>
      </w:r>
      <w:r>
        <w:rPr>
          <w:rFonts w:hint="eastAsia"/>
          <w:color w:val="000000" w:themeColor="text1"/>
          <w:sz w:val="24"/>
          <w:highlight w:val="none"/>
          <w14:textFill>
            <w14:solidFill>
              <w14:schemeClr w14:val="tx1"/>
            </w14:solidFill>
          </w14:textFill>
        </w:rPr>
        <w:t>〔2012〕</w:t>
      </w:r>
      <w:r>
        <w:rPr>
          <w:color w:val="000000" w:themeColor="text1"/>
          <w:sz w:val="24"/>
          <w:highlight w:val="none"/>
          <w14:textFill>
            <w14:solidFill>
              <w14:schemeClr w14:val="tx1"/>
            </w14:solidFill>
          </w14:textFill>
        </w:rPr>
        <w:t>77号</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2012年7月3日起施行</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7578B71B">
      <w:pPr>
        <w:spacing w:line="372"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（6）《关于进一步加强输变电类建设项目环境保护监管工作的通知》</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环办</w:t>
      </w:r>
      <w:r>
        <w:rPr>
          <w:rFonts w:hint="eastAsia"/>
          <w:color w:val="000000" w:themeColor="text1"/>
          <w:sz w:val="24"/>
          <w:highlight w:val="none"/>
          <w14:textFill>
            <w14:solidFill>
              <w14:schemeClr w14:val="tx1"/>
            </w14:solidFill>
          </w14:textFill>
        </w:rPr>
        <w:t>〔2012〕</w:t>
      </w:r>
      <w:r>
        <w:rPr>
          <w:color w:val="000000" w:themeColor="text1"/>
          <w:sz w:val="24"/>
          <w:highlight w:val="none"/>
          <w14:textFill>
            <w14:solidFill>
              <w14:schemeClr w14:val="tx1"/>
            </w14:solidFill>
          </w14:textFill>
        </w:rPr>
        <w:t>131号</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2012年10月26日起施行</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33158EF4">
      <w:pPr>
        <w:spacing w:line="372"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（7）《新疆维吾尔自治区环境保护条例》</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2018年9月21日修订并实施</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5D1A0220">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（8）《新疆维吾尔自治区辐射污染防治办法》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政府令192号</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2015年7</w:t>
      </w:r>
      <w:r>
        <w:rPr>
          <w:rFonts w:hint="eastAsia"/>
          <w:color w:val="000000" w:themeColor="text1"/>
          <w:sz w:val="24"/>
          <w:highlight w:val="none"/>
          <w:lang w:eastAsia="zh-CN"/>
          <w14:textFill>
            <w14:solidFill>
              <w14:schemeClr w14:val="tx1"/>
            </w14:solidFill>
          </w14:textFill>
        </w:rPr>
        <w:t>月1日起实施</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49D07D83">
      <w:pPr>
        <w:pStyle w:val="3"/>
        <w:spacing w:after="0" w:line="360" w:lineRule="auto"/>
        <w:rPr>
          <w:b/>
          <w:bCs/>
          <w:color w:val="000000" w:themeColor="text1"/>
          <w:sz w:val="24"/>
          <w:szCs w:val="32"/>
          <w:highlight w:val="none"/>
          <w14:textFill>
            <w14:solidFill>
              <w14:schemeClr w14:val="tx1"/>
            </w14:solidFill>
          </w14:textFill>
        </w:rPr>
      </w:pPr>
      <w:r>
        <w:rPr>
          <w:rFonts w:hint="eastAsia"/>
          <w:b/>
          <w:bCs/>
          <w:color w:val="000000" w:themeColor="text1"/>
          <w:sz w:val="24"/>
          <w:szCs w:val="32"/>
          <w:highlight w:val="none"/>
          <w14:textFill>
            <w14:solidFill>
              <w14:schemeClr w14:val="tx1"/>
            </w14:solidFill>
          </w14:textFill>
        </w:rPr>
        <w:t>1.3.2</w:t>
      </w:r>
      <w:r>
        <w:rPr>
          <w:b/>
          <w:bCs/>
          <w:color w:val="000000" w:themeColor="text1"/>
          <w:sz w:val="24"/>
          <w:szCs w:val="32"/>
          <w:highlight w:val="none"/>
          <w14:textFill>
            <w14:solidFill>
              <w14:schemeClr w14:val="tx1"/>
            </w14:solidFill>
          </w14:textFill>
        </w:rPr>
        <w:t>相关技术规范、导则</w:t>
      </w:r>
    </w:p>
    <w:p w14:paraId="5E6BD60B">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《建设项目环境影响评价技术导则 总纲》</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HJ2.1-2016</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69FF3A76">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《环境影响评价技术导则 输变电》</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HJ24-2020</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7F72B23B">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《电磁环境控制限值》</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GB8702-2014</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6E2C7AD1">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《交流输变电工程电磁环境监测方法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试行</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HJ681-2013</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3B7087A8">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《输变电建设项目环境保护技术要求》</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HJ1113-2020</w:t>
      </w:r>
      <w:r>
        <w:rPr>
          <w:rFonts w:hint="eastAsia"/>
          <w:color w:val="000000" w:themeColor="text1"/>
          <w:sz w:val="24"/>
          <w:highlight w:val="none"/>
          <w14:textFill>
            <w14:solidFill>
              <w14:schemeClr w14:val="tx1"/>
            </w14:solidFill>
          </w14:textFill>
        </w:rPr>
        <w:t>）；</w:t>
      </w:r>
    </w:p>
    <w:p w14:paraId="671108E0">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（6）《建设项目竣工环境保护验收技术规范 输变电》（HJ705-2020）</w:t>
      </w:r>
      <w:r>
        <w:rPr>
          <w:color w:val="000000" w:themeColor="text1"/>
          <w:sz w:val="24"/>
          <w:highlight w:val="none"/>
          <w14:textFill>
            <w14:solidFill>
              <w14:schemeClr w14:val="tx1"/>
            </w14:solidFill>
          </w14:textFill>
        </w:rPr>
        <w:t>。</w:t>
      </w:r>
    </w:p>
    <w:p w14:paraId="138E7935">
      <w:pPr>
        <w:pStyle w:val="13"/>
        <w:spacing w:after="0" w:line="360" w:lineRule="auto"/>
        <w:ind w:left="0" w:leftChars="0"/>
        <w:rPr>
          <w:b/>
          <w:bCs/>
          <w:color w:val="000000" w:themeColor="text1"/>
          <w:sz w:val="24"/>
          <w:szCs w:val="32"/>
          <w:highlight w:val="none"/>
          <w14:textFill>
            <w14:solidFill>
              <w14:schemeClr w14:val="tx1"/>
            </w14:solidFill>
          </w14:textFill>
        </w:rPr>
      </w:pPr>
      <w:r>
        <w:rPr>
          <w:rFonts w:hint="eastAsia"/>
          <w:b/>
          <w:bCs/>
          <w:color w:val="000000" w:themeColor="text1"/>
          <w:sz w:val="24"/>
          <w:szCs w:val="32"/>
          <w:highlight w:val="none"/>
          <w14:textFill>
            <w14:solidFill>
              <w14:schemeClr w14:val="tx1"/>
            </w14:solidFill>
          </w14:textFill>
        </w:rPr>
        <w:t>1.3.3技术资料</w:t>
      </w:r>
    </w:p>
    <w:p w14:paraId="5BCC9515">
      <w:pPr>
        <w:pStyle w:val="2"/>
        <w:spacing w:before="0" w:after="0" w:line="360" w:lineRule="auto"/>
        <w:ind w:right="0" w:firstLine="480" w:firstLineChars="200"/>
        <w:rPr>
          <w:color w:val="000000" w:themeColor="text1"/>
          <w:kern w:val="2"/>
          <w:sz w:val="24"/>
          <w:szCs w:val="24"/>
          <w:highlight w:val="none"/>
          <w14:textFill>
            <w14:solidFill>
              <w14:schemeClr w14:val="tx1"/>
            </w14:solidFill>
          </w14:textFill>
        </w:rPr>
      </w:pPr>
      <w:r>
        <w:rPr>
          <w:rFonts w:hint="eastAsia"/>
          <w:color w:val="000000" w:themeColor="text1"/>
          <w:kern w:val="2"/>
          <w:sz w:val="24"/>
          <w:szCs w:val="24"/>
          <w:highlight w:val="none"/>
          <w14:textFill>
            <w14:solidFill>
              <w14:schemeClr w14:val="tx1"/>
            </w14:solidFill>
          </w14:textFill>
        </w:rPr>
        <w:t>（1）《</w:t>
      </w:r>
      <w:r>
        <w:rPr>
          <w:rFonts w:hint="eastAsia"/>
          <w:color w:val="000000" w:themeColor="text1"/>
          <w:kern w:val="2"/>
          <w:sz w:val="24"/>
          <w:szCs w:val="24"/>
          <w:highlight w:val="none"/>
          <w:lang w:eastAsia="zh-CN"/>
          <w14:textFill>
            <w14:solidFill>
              <w14:schemeClr w14:val="tx1"/>
            </w14:solidFill>
          </w14:textFill>
        </w:rPr>
        <w:t>奥宇托克逊县10万千瓦/40万千瓦时电化学独立储能项目</w:t>
      </w:r>
      <w:r>
        <w:rPr>
          <w:rFonts w:hint="eastAsia"/>
          <w:color w:val="000000" w:themeColor="text1"/>
          <w:kern w:val="2"/>
          <w:sz w:val="24"/>
          <w:szCs w:val="24"/>
          <w:highlight w:val="none"/>
          <w14:textFill>
            <w14:solidFill>
              <w14:schemeClr w14:val="tx1"/>
            </w14:solidFill>
          </w14:textFill>
        </w:rPr>
        <w:t>可行性研究报告》（</w:t>
      </w:r>
      <w:r>
        <w:rPr>
          <w:rFonts w:hint="eastAsia"/>
          <w:color w:val="000000" w:themeColor="text1"/>
          <w:kern w:val="2"/>
          <w:sz w:val="24"/>
          <w:szCs w:val="24"/>
          <w:highlight w:val="none"/>
          <w:lang w:val="en-US" w:eastAsia="zh-CN"/>
          <w14:textFill>
            <w14:solidFill>
              <w14:schemeClr w14:val="tx1"/>
            </w14:solidFill>
          </w14:textFill>
        </w:rPr>
        <w:t>中国能源建设集团新疆电力设计院有限公司</w:t>
      </w:r>
      <w:r>
        <w:rPr>
          <w:rFonts w:hint="eastAsia"/>
          <w:color w:val="000000" w:themeColor="text1"/>
          <w:kern w:val="2"/>
          <w:sz w:val="24"/>
          <w:szCs w:val="24"/>
          <w:highlight w:val="none"/>
          <w14:textFill>
            <w14:solidFill>
              <w14:schemeClr w14:val="tx1"/>
            </w14:solidFill>
          </w14:textFill>
        </w:rPr>
        <w:t>，202</w:t>
      </w:r>
      <w:r>
        <w:rPr>
          <w:rFonts w:hint="eastAsia"/>
          <w:color w:val="000000" w:themeColor="text1"/>
          <w:kern w:val="2"/>
          <w:sz w:val="24"/>
          <w:szCs w:val="24"/>
          <w:highlight w:val="none"/>
          <w:lang w:val="en-US" w:eastAsia="zh-CN"/>
          <w14:textFill>
            <w14:solidFill>
              <w14:schemeClr w14:val="tx1"/>
            </w14:solidFill>
          </w14:textFill>
        </w:rPr>
        <w:t>6</w:t>
      </w:r>
      <w:r>
        <w:rPr>
          <w:rFonts w:hint="eastAsia"/>
          <w:color w:val="000000" w:themeColor="text1"/>
          <w:kern w:val="2"/>
          <w:sz w:val="24"/>
          <w:szCs w:val="24"/>
          <w:highlight w:val="none"/>
          <w14:textFill>
            <w14:solidFill>
              <w14:schemeClr w14:val="tx1"/>
            </w14:solidFill>
          </w14:textFill>
        </w:rPr>
        <w:t>年</w:t>
      </w:r>
      <w:r>
        <w:rPr>
          <w:rFonts w:hint="eastAsia"/>
          <w:color w:val="000000" w:themeColor="text1"/>
          <w:kern w:val="2"/>
          <w:sz w:val="24"/>
          <w:szCs w:val="24"/>
          <w:highlight w:val="none"/>
          <w:lang w:val="en-US" w:eastAsia="zh-CN"/>
          <w14:textFill>
            <w14:solidFill>
              <w14:schemeClr w14:val="tx1"/>
            </w14:solidFill>
          </w14:textFill>
        </w:rPr>
        <w:t>1</w:t>
      </w:r>
      <w:r>
        <w:rPr>
          <w:rFonts w:hint="eastAsia"/>
          <w:color w:val="000000" w:themeColor="text1"/>
          <w:kern w:val="2"/>
          <w:sz w:val="24"/>
          <w:szCs w:val="24"/>
          <w:highlight w:val="none"/>
          <w14:textFill>
            <w14:solidFill>
              <w14:schemeClr w14:val="tx1"/>
            </w14:solidFill>
          </w14:textFill>
        </w:rPr>
        <w:t>月）。</w:t>
      </w:r>
    </w:p>
    <w:p w14:paraId="5280349F">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87" w:name="_Toc3954"/>
      <w:r>
        <w:rPr>
          <w:rFonts w:hint="eastAsia" w:ascii="Times New Roman" w:hAnsi="Times New Roman" w:eastAsia="宋体"/>
          <w:color w:val="000000" w:themeColor="text1"/>
          <w:sz w:val="24"/>
          <w:szCs w:val="24"/>
          <w:highlight w:val="none"/>
          <w14:textFill>
            <w14:solidFill>
              <w14:schemeClr w14:val="tx1"/>
            </w14:solidFill>
          </w14:textFill>
        </w:rPr>
        <w:t>1.4评价因子、评价等级、评价范围</w:t>
      </w:r>
      <w:bookmarkEnd w:id="87"/>
    </w:p>
    <w:p w14:paraId="1B6FAA7B">
      <w:pPr>
        <w:pStyle w:val="3"/>
        <w:spacing w:after="0"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（1）评价因子</w:t>
      </w:r>
    </w:p>
    <w:p w14:paraId="25EBE7AF">
      <w:pPr>
        <w:pStyle w:val="2"/>
        <w:spacing w:before="0" w:after="0" w:line="360" w:lineRule="auto"/>
        <w:ind w:right="0" w:firstLine="480" w:firstLineChars="200"/>
        <w:rPr>
          <w:color w:val="000000" w:themeColor="text1"/>
          <w:kern w:val="2"/>
          <w:sz w:val="24"/>
          <w:szCs w:val="24"/>
          <w:highlight w:val="none"/>
          <w14:textFill>
            <w14:solidFill>
              <w14:schemeClr w14:val="tx1"/>
            </w14:solidFill>
          </w14:textFill>
        </w:rPr>
      </w:pPr>
      <w:r>
        <w:rPr>
          <w:color w:val="000000" w:themeColor="text1"/>
          <w:kern w:val="2"/>
          <w:sz w:val="24"/>
          <w:szCs w:val="24"/>
          <w:highlight w:val="none"/>
          <w14:textFill>
            <w14:solidFill>
              <w14:schemeClr w14:val="tx1"/>
            </w14:solidFill>
          </w14:textFill>
        </w:rPr>
        <w:t>根据《环境影响评价技术导则 输变电》</w:t>
      </w:r>
      <w:r>
        <w:rPr>
          <w:rFonts w:hint="eastAsia"/>
          <w:color w:val="000000" w:themeColor="text1"/>
          <w:kern w:val="2"/>
          <w:sz w:val="24"/>
          <w:szCs w:val="24"/>
          <w:highlight w:val="none"/>
          <w14:textFill>
            <w14:solidFill>
              <w14:schemeClr w14:val="tx1"/>
            </w14:solidFill>
          </w14:textFill>
        </w:rPr>
        <w:t>（</w:t>
      </w:r>
      <w:r>
        <w:rPr>
          <w:color w:val="000000" w:themeColor="text1"/>
          <w:kern w:val="2"/>
          <w:sz w:val="24"/>
          <w:szCs w:val="24"/>
          <w:highlight w:val="none"/>
          <w14:textFill>
            <w14:solidFill>
              <w14:schemeClr w14:val="tx1"/>
            </w14:solidFill>
          </w14:textFill>
        </w:rPr>
        <w:t>HJ24-2020</w:t>
      </w:r>
      <w:r>
        <w:rPr>
          <w:rFonts w:hint="eastAsia"/>
          <w:color w:val="000000" w:themeColor="text1"/>
          <w:kern w:val="2"/>
          <w:sz w:val="24"/>
          <w:szCs w:val="24"/>
          <w:highlight w:val="none"/>
          <w14:textFill>
            <w14:solidFill>
              <w14:schemeClr w14:val="tx1"/>
            </w14:solidFill>
          </w14:textFill>
        </w:rPr>
        <w:t>）</w:t>
      </w:r>
      <w:r>
        <w:rPr>
          <w:color w:val="000000" w:themeColor="text1"/>
          <w:kern w:val="2"/>
          <w:sz w:val="24"/>
          <w:szCs w:val="24"/>
          <w:highlight w:val="none"/>
          <w14:textFill>
            <w14:solidFill>
              <w14:schemeClr w14:val="tx1"/>
            </w14:solidFill>
          </w14:textFill>
        </w:rPr>
        <w:t>及建设项目情况，本项目运行过程中会对周围电磁环境产生影响，其主要污染因子为工频电场和工频磁场，因此，选择工频电场和工频磁场</w:t>
      </w:r>
      <w:r>
        <w:rPr>
          <w:rFonts w:hint="eastAsia"/>
          <w:color w:val="000000" w:themeColor="text1"/>
          <w:kern w:val="2"/>
          <w:sz w:val="24"/>
          <w:szCs w:val="24"/>
          <w:highlight w:val="none"/>
          <w:lang w:eastAsia="zh-CN"/>
          <w14:textFill>
            <w14:solidFill>
              <w14:schemeClr w14:val="tx1"/>
            </w14:solidFill>
          </w14:textFill>
        </w:rPr>
        <w:t>作为</w:t>
      </w:r>
      <w:r>
        <w:rPr>
          <w:color w:val="000000" w:themeColor="text1"/>
          <w:kern w:val="2"/>
          <w:sz w:val="24"/>
          <w:szCs w:val="24"/>
          <w:highlight w:val="none"/>
          <w14:textFill>
            <w14:solidFill>
              <w14:schemeClr w14:val="tx1"/>
            </w14:solidFill>
          </w14:textFill>
        </w:rPr>
        <w:t>电磁环境影响评价因子。</w:t>
      </w:r>
    </w:p>
    <w:p w14:paraId="6623E47C">
      <w:pPr>
        <w:widowControl/>
        <w:spacing w:line="360" w:lineRule="auto"/>
        <w:ind w:firstLine="480" w:firstLineChars="200"/>
        <w:jc w:val="left"/>
        <w:rPr>
          <w:color w:val="000000" w:themeColor="text1"/>
          <w:highlight w:val="none"/>
          <w14:textFill>
            <w14:solidFill>
              <w14:schemeClr w14:val="tx1"/>
            </w14:solidFill>
          </w14:textFill>
        </w:rPr>
      </w:pPr>
      <w:r>
        <w:rPr>
          <w:color w:val="000000" w:themeColor="text1"/>
          <w:kern w:val="0"/>
          <w:sz w:val="24"/>
          <w:highlight w:val="none"/>
          <w:lang w:bidi="ar"/>
          <w14:textFill>
            <w14:solidFill>
              <w14:schemeClr w14:val="tx1"/>
            </w14:solidFill>
          </w14:textFill>
        </w:rPr>
        <w:t>（2）评价等级</w:t>
      </w:r>
    </w:p>
    <w:p w14:paraId="0A0166EE">
      <w:pPr>
        <w:widowControl/>
        <w:spacing w:line="360" w:lineRule="auto"/>
        <w:ind w:firstLine="480" w:firstLineChars="200"/>
        <w:jc w:val="left"/>
        <w:rPr>
          <w:color w:val="000000" w:themeColor="text1"/>
          <w:kern w:val="0"/>
          <w:sz w:val="24"/>
          <w:highlight w:val="none"/>
          <w:lang w:bidi="ar"/>
          <w14:textFill>
            <w14:solidFill>
              <w14:schemeClr w14:val="tx1"/>
            </w14:solidFill>
          </w14:textFill>
        </w:rPr>
      </w:pPr>
      <w:r>
        <w:rPr>
          <w:color w:val="000000" w:themeColor="text1"/>
          <w:kern w:val="0"/>
          <w:sz w:val="24"/>
          <w:highlight w:val="none"/>
          <w:lang w:bidi="ar"/>
          <w14:textFill>
            <w14:solidFill>
              <w14:schemeClr w14:val="tx1"/>
            </w14:solidFill>
          </w14:textFill>
        </w:rPr>
        <w:t>本项目为</w:t>
      </w:r>
      <w:r>
        <w:rPr>
          <w:rFonts w:hint="eastAsia"/>
          <w:color w:val="000000" w:themeColor="text1"/>
          <w:kern w:val="0"/>
          <w:sz w:val="24"/>
          <w:highlight w:val="none"/>
          <w:lang w:val="en-US" w:eastAsia="zh-CN" w:bidi="ar"/>
          <w14:textFill>
            <w14:solidFill>
              <w14:schemeClr w14:val="tx1"/>
            </w14:solidFill>
          </w14:textFill>
        </w:rPr>
        <w:t>11</w:t>
      </w:r>
      <w:r>
        <w:rPr>
          <w:rFonts w:hint="eastAsia"/>
          <w:color w:val="000000" w:themeColor="text1"/>
          <w:kern w:val="0"/>
          <w:sz w:val="24"/>
          <w:highlight w:val="none"/>
          <w:lang w:bidi="ar"/>
          <w14:textFill>
            <w14:solidFill>
              <w14:schemeClr w14:val="tx1"/>
            </w14:solidFill>
          </w14:textFill>
        </w:rPr>
        <w:t>0kV</w:t>
      </w:r>
      <w:r>
        <w:rPr>
          <w:color w:val="000000" w:themeColor="text1"/>
          <w:kern w:val="0"/>
          <w:sz w:val="24"/>
          <w:highlight w:val="none"/>
          <w:lang w:bidi="ar"/>
          <w14:textFill>
            <w14:solidFill>
              <w14:schemeClr w14:val="tx1"/>
            </w14:solidFill>
          </w14:textFill>
        </w:rPr>
        <w:t>电压等级的输变电类项目，</w:t>
      </w:r>
      <w:r>
        <w:rPr>
          <w:rFonts w:hint="eastAsia"/>
          <w:color w:val="000000" w:themeColor="text1"/>
          <w:kern w:val="0"/>
          <w:sz w:val="24"/>
          <w:highlight w:val="none"/>
          <w:lang w:val="en-US" w:eastAsia="zh-CN" w:bidi="ar"/>
          <w14:textFill>
            <w14:solidFill>
              <w14:schemeClr w14:val="tx1"/>
            </w14:solidFill>
          </w14:textFill>
        </w:rPr>
        <w:t>储能站配套建设的</w:t>
      </w:r>
      <w:r>
        <w:rPr>
          <w:rFonts w:hint="eastAsia"/>
          <w:color w:val="000000" w:themeColor="text1"/>
          <w:sz w:val="24"/>
          <w:highlight w:val="none"/>
          <w:lang w:val="en-US" w:eastAsia="zh-CN"/>
          <w14:textFill>
            <w14:solidFill>
              <w14:schemeClr w14:val="tx1"/>
            </w14:solidFill>
          </w14:textFill>
        </w:rPr>
        <w:t>110</w:t>
      </w:r>
      <w:r>
        <w:rPr>
          <w:rFonts w:hint="eastAsia"/>
          <w:color w:val="000000" w:themeColor="text1"/>
          <w:kern w:val="0"/>
          <w:sz w:val="24"/>
          <w:highlight w:val="none"/>
          <w:lang w:bidi="ar"/>
          <w14:textFill>
            <w14:solidFill>
              <w14:schemeClr w14:val="tx1"/>
            </w14:solidFill>
          </w14:textFill>
        </w:rPr>
        <w:t>kV</w:t>
      </w:r>
      <w:r>
        <w:rPr>
          <w:rFonts w:hint="eastAsia"/>
          <w:color w:val="000000" w:themeColor="text1"/>
          <w:sz w:val="24"/>
          <w:highlight w:val="none"/>
          <w14:textFill>
            <w14:solidFill>
              <w14:schemeClr w14:val="tx1"/>
            </w14:solidFill>
          </w14:textFill>
        </w:rPr>
        <w:t>升压站为户外式，</w:t>
      </w:r>
      <w:r>
        <w:rPr>
          <w:color w:val="000000" w:themeColor="text1"/>
          <w:kern w:val="0"/>
          <w:sz w:val="24"/>
          <w:highlight w:val="none"/>
          <w:lang w:bidi="ar"/>
          <w14:textFill>
            <w14:solidFill>
              <w14:schemeClr w14:val="tx1"/>
            </w14:solidFill>
          </w14:textFill>
        </w:rPr>
        <w:t>根据《环境影响评价技术导则 输变电》（HJ24-2020）评价工作等级划分原则，对照表1.4-1，确定本项目的电磁环境影响评价等级为</w:t>
      </w:r>
      <w:r>
        <w:rPr>
          <w:rFonts w:hint="eastAsia"/>
          <w:color w:val="000000" w:themeColor="text1"/>
          <w:kern w:val="0"/>
          <w:sz w:val="24"/>
          <w:highlight w:val="none"/>
          <w:lang w:bidi="ar"/>
          <w14:textFill>
            <w14:solidFill>
              <w14:schemeClr w14:val="tx1"/>
            </w14:solidFill>
          </w14:textFill>
        </w:rPr>
        <w:t>二</w:t>
      </w:r>
      <w:r>
        <w:rPr>
          <w:color w:val="000000" w:themeColor="text1"/>
          <w:kern w:val="0"/>
          <w:sz w:val="24"/>
          <w:highlight w:val="none"/>
          <w:lang w:bidi="ar"/>
          <w14:textFill>
            <w14:solidFill>
              <w14:schemeClr w14:val="tx1"/>
            </w14:solidFill>
          </w14:textFill>
        </w:rPr>
        <w:t>级</w:t>
      </w:r>
      <w:r>
        <w:rPr>
          <w:rFonts w:hint="eastAsia"/>
          <w:color w:val="000000" w:themeColor="text1"/>
          <w:kern w:val="0"/>
          <w:sz w:val="24"/>
          <w:highlight w:val="none"/>
          <w:lang w:bidi="ar"/>
          <w14:textFill>
            <w14:solidFill>
              <w14:schemeClr w14:val="tx1"/>
            </w14:solidFill>
          </w14:textFill>
        </w:rPr>
        <w:t>。</w:t>
      </w:r>
    </w:p>
    <w:p w14:paraId="72D671EE">
      <w:pPr>
        <w:pStyle w:val="13"/>
        <w:spacing w:before="120" w:beforeLines="50" w:after="0"/>
        <w:ind w:left="0" w:leftChars="0"/>
        <w:jc w:val="center"/>
        <w:rPr>
          <w:b/>
          <w:bCs/>
          <w:color w:val="000000" w:themeColor="text1"/>
          <w:sz w:val="22"/>
          <w:szCs w:val="22"/>
          <w:highlight w:val="none"/>
          <w14:textFill>
            <w14:solidFill>
              <w14:schemeClr w14:val="tx1"/>
            </w14:solidFill>
          </w14:textFill>
        </w:rPr>
      </w:pPr>
      <w:r>
        <w:rPr>
          <w:b/>
          <w:bCs/>
          <w:color w:val="000000" w:themeColor="text1"/>
          <w:kern w:val="0"/>
          <w:sz w:val="22"/>
          <w:szCs w:val="22"/>
          <w:highlight w:val="none"/>
          <w:lang w:bidi="ar"/>
          <w14:textFill>
            <w14:solidFill>
              <w14:schemeClr w14:val="tx1"/>
            </w14:solidFill>
          </w14:textFill>
        </w:rPr>
        <w:t xml:space="preserve">表1.4-1 </w:t>
      </w:r>
      <w:r>
        <w:rPr>
          <w:rFonts w:hint="eastAsia"/>
          <w:b/>
          <w:bCs/>
          <w:color w:val="000000" w:themeColor="text1"/>
          <w:kern w:val="0"/>
          <w:sz w:val="22"/>
          <w:szCs w:val="22"/>
          <w:highlight w:val="none"/>
          <w:lang w:bidi="ar"/>
          <w14:textFill>
            <w14:solidFill>
              <w14:schemeClr w14:val="tx1"/>
            </w14:solidFill>
          </w14:textFill>
        </w:rPr>
        <w:t xml:space="preserve"> </w:t>
      </w:r>
      <w:r>
        <w:rPr>
          <w:b/>
          <w:bCs/>
          <w:color w:val="000000" w:themeColor="text1"/>
          <w:kern w:val="0"/>
          <w:sz w:val="22"/>
          <w:szCs w:val="22"/>
          <w:highlight w:val="none"/>
          <w:lang w:bidi="ar"/>
          <w14:textFill>
            <w14:solidFill>
              <w14:schemeClr w14:val="tx1"/>
            </w14:solidFill>
          </w14:textFill>
        </w:rPr>
        <w:t>电磁环境影响评价工作等级划分原则</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816"/>
        <w:gridCol w:w="988"/>
        <w:gridCol w:w="2401"/>
        <w:gridCol w:w="1216"/>
        <w:gridCol w:w="1305"/>
        <w:gridCol w:w="1133"/>
      </w:tblGrid>
      <w:tr w14:paraId="58BD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3" w:type="dxa"/>
            <w:vMerge w:val="restart"/>
            <w:vAlign w:val="center"/>
          </w:tcPr>
          <w:p w14:paraId="31954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分类</w:t>
            </w:r>
          </w:p>
        </w:tc>
        <w:tc>
          <w:tcPr>
            <w:tcW w:w="816" w:type="dxa"/>
            <w:vMerge w:val="restart"/>
            <w:vAlign w:val="center"/>
          </w:tcPr>
          <w:p w14:paraId="5A44C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电压</w:t>
            </w:r>
          </w:p>
          <w:p w14:paraId="347E31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等级</w:t>
            </w:r>
          </w:p>
        </w:tc>
        <w:tc>
          <w:tcPr>
            <w:tcW w:w="988" w:type="dxa"/>
            <w:vMerge w:val="restart"/>
            <w:vAlign w:val="center"/>
          </w:tcPr>
          <w:p w14:paraId="7DACA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项目</w:t>
            </w:r>
          </w:p>
        </w:tc>
        <w:tc>
          <w:tcPr>
            <w:tcW w:w="2401" w:type="dxa"/>
            <w:vMerge w:val="restart"/>
            <w:vAlign w:val="center"/>
          </w:tcPr>
          <w:p w14:paraId="0A5F6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条件</w:t>
            </w:r>
          </w:p>
        </w:tc>
        <w:tc>
          <w:tcPr>
            <w:tcW w:w="1216" w:type="dxa"/>
            <w:vMerge w:val="restart"/>
            <w:vAlign w:val="center"/>
          </w:tcPr>
          <w:p w14:paraId="13FBD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评价工作等级</w:t>
            </w:r>
          </w:p>
        </w:tc>
        <w:tc>
          <w:tcPr>
            <w:tcW w:w="2438" w:type="dxa"/>
            <w:gridSpan w:val="2"/>
            <w:vAlign w:val="center"/>
          </w:tcPr>
          <w:p w14:paraId="7764C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本项目</w:t>
            </w:r>
          </w:p>
        </w:tc>
      </w:tr>
      <w:tr w14:paraId="74A6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3" w:type="dxa"/>
            <w:vMerge w:val="continue"/>
            <w:vAlign w:val="center"/>
          </w:tcPr>
          <w:p w14:paraId="555375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14:textFill>
                  <w14:solidFill>
                    <w14:schemeClr w14:val="tx1"/>
                  </w14:solidFill>
                </w14:textFill>
              </w:rPr>
            </w:pPr>
          </w:p>
        </w:tc>
        <w:tc>
          <w:tcPr>
            <w:tcW w:w="816" w:type="dxa"/>
            <w:vMerge w:val="continue"/>
            <w:vAlign w:val="center"/>
          </w:tcPr>
          <w:p w14:paraId="54BA8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14:textFill>
                  <w14:solidFill>
                    <w14:schemeClr w14:val="tx1"/>
                  </w14:solidFill>
                </w14:textFill>
              </w:rPr>
            </w:pPr>
          </w:p>
        </w:tc>
        <w:tc>
          <w:tcPr>
            <w:tcW w:w="988" w:type="dxa"/>
            <w:vMerge w:val="continue"/>
            <w:vAlign w:val="center"/>
          </w:tcPr>
          <w:p w14:paraId="0375B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14:textFill>
                  <w14:solidFill>
                    <w14:schemeClr w14:val="tx1"/>
                  </w14:solidFill>
                </w14:textFill>
              </w:rPr>
            </w:pPr>
          </w:p>
        </w:tc>
        <w:tc>
          <w:tcPr>
            <w:tcW w:w="2401" w:type="dxa"/>
            <w:vMerge w:val="continue"/>
            <w:vAlign w:val="center"/>
          </w:tcPr>
          <w:p w14:paraId="220E6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14:textFill>
                  <w14:solidFill>
                    <w14:schemeClr w14:val="tx1"/>
                  </w14:solidFill>
                </w14:textFill>
              </w:rPr>
            </w:pPr>
          </w:p>
        </w:tc>
        <w:tc>
          <w:tcPr>
            <w:tcW w:w="1216" w:type="dxa"/>
            <w:vMerge w:val="continue"/>
            <w:vAlign w:val="center"/>
          </w:tcPr>
          <w:p w14:paraId="633CE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14:textFill>
                  <w14:solidFill>
                    <w14:schemeClr w14:val="tx1"/>
                  </w14:solidFill>
                </w14:textFill>
              </w:rPr>
            </w:pPr>
          </w:p>
        </w:tc>
        <w:tc>
          <w:tcPr>
            <w:tcW w:w="1305" w:type="dxa"/>
            <w:vAlign w:val="center"/>
          </w:tcPr>
          <w:p w14:paraId="55F704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条件</w:t>
            </w:r>
          </w:p>
        </w:tc>
        <w:tc>
          <w:tcPr>
            <w:tcW w:w="1133" w:type="dxa"/>
            <w:vAlign w:val="center"/>
          </w:tcPr>
          <w:p w14:paraId="52E22F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工作等级</w:t>
            </w:r>
          </w:p>
        </w:tc>
      </w:tr>
      <w:tr w14:paraId="1BA7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3" w:type="dxa"/>
            <w:vMerge w:val="restart"/>
            <w:vAlign w:val="center"/>
          </w:tcPr>
          <w:p w14:paraId="354546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交流</w:t>
            </w:r>
          </w:p>
        </w:tc>
        <w:tc>
          <w:tcPr>
            <w:tcW w:w="816" w:type="dxa"/>
            <w:vMerge w:val="restart"/>
            <w:vAlign w:val="center"/>
          </w:tcPr>
          <w:p w14:paraId="49F83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110</w:t>
            </w:r>
            <w:r>
              <w:rPr>
                <w:rFonts w:hint="eastAsia" w:cs="Times New Roman"/>
                <w:color w:val="000000" w:themeColor="text1"/>
                <w:sz w:val="21"/>
                <w:szCs w:val="21"/>
                <w:vertAlign w:val="baseline"/>
                <w:lang w:val="en-US" w:eastAsia="zh-CN"/>
                <w14:textFill>
                  <w14:solidFill>
                    <w14:schemeClr w14:val="tx1"/>
                  </w14:solidFill>
                </w14:textFill>
              </w:rPr>
              <w:t>kV</w:t>
            </w:r>
          </w:p>
        </w:tc>
        <w:tc>
          <w:tcPr>
            <w:tcW w:w="988" w:type="dxa"/>
            <w:vMerge w:val="restart"/>
            <w:vAlign w:val="center"/>
          </w:tcPr>
          <w:p w14:paraId="2FBFB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变电站</w:t>
            </w:r>
          </w:p>
        </w:tc>
        <w:tc>
          <w:tcPr>
            <w:tcW w:w="2401" w:type="dxa"/>
            <w:vAlign w:val="center"/>
          </w:tcPr>
          <w:p w14:paraId="59106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户内式、地下式</w:t>
            </w:r>
          </w:p>
        </w:tc>
        <w:tc>
          <w:tcPr>
            <w:tcW w:w="1216" w:type="dxa"/>
            <w:vAlign w:val="center"/>
          </w:tcPr>
          <w:p w14:paraId="30B86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三级</w:t>
            </w:r>
          </w:p>
        </w:tc>
        <w:tc>
          <w:tcPr>
            <w:tcW w:w="1305" w:type="dxa"/>
            <w:vMerge w:val="restart"/>
            <w:vAlign w:val="center"/>
          </w:tcPr>
          <w:p w14:paraId="44E5B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户外式</w:t>
            </w:r>
          </w:p>
        </w:tc>
        <w:tc>
          <w:tcPr>
            <w:tcW w:w="1133" w:type="dxa"/>
            <w:vMerge w:val="restart"/>
            <w:vAlign w:val="center"/>
          </w:tcPr>
          <w:p w14:paraId="6A7A80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二级</w:t>
            </w:r>
          </w:p>
        </w:tc>
      </w:tr>
      <w:tr w14:paraId="3166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3" w:type="dxa"/>
            <w:vMerge w:val="continue"/>
            <w:vAlign w:val="center"/>
          </w:tcPr>
          <w:p w14:paraId="6070DC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color w:val="000000" w:themeColor="text1"/>
                <w14:textFill>
                  <w14:solidFill>
                    <w14:schemeClr w14:val="tx1"/>
                  </w14:solidFill>
                </w14:textFill>
              </w:rPr>
            </w:pPr>
          </w:p>
        </w:tc>
        <w:tc>
          <w:tcPr>
            <w:tcW w:w="816" w:type="dxa"/>
            <w:vMerge w:val="continue"/>
            <w:vAlign w:val="center"/>
          </w:tcPr>
          <w:p w14:paraId="758E43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color w:val="000000" w:themeColor="text1"/>
                <w14:textFill>
                  <w14:solidFill>
                    <w14:schemeClr w14:val="tx1"/>
                  </w14:solidFill>
                </w14:textFill>
              </w:rPr>
            </w:pPr>
          </w:p>
        </w:tc>
        <w:tc>
          <w:tcPr>
            <w:tcW w:w="988" w:type="dxa"/>
            <w:vMerge w:val="continue"/>
            <w:vAlign w:val="center"/>
          </w:tcPr>
          <w:p w14:paraId="2C93A1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color w:val="000000" w:themeColor="text1"/>
                <w14:textFill>
                  <w14:solidFill>
                    <w14:schemeClr w14:val="tx1"/>
                  </w14:solidFill>
                </w14:textFill>
              </w:rPr>
            </w:pPr>
          </w:p>
        </w:tc>
        <w:tc>
          <w:tcPr>
            <w:tcW w:w="2401" w:type="dxa"/>
            <w:vAlign w:val="center"/>
          </w:tcPr>
          <w:p w14:paraId="1ED7E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户外式</w:t>
            </w:r>
          </w:p>
        </w:tc>
        <w:tc>
          <w:tcPr>
            <w:tcW w:w="1216" w:type="dxa"/>
            <w:vAlign w:val="center"/>
          </w:tcPr>
          <w:p w14:paraId="621150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二级</w:t>
            </w:r>
          </w:p>
        </w:tc>
        <w:tc>
          <w:tcPr>
            <w:tcW w:w="1305" w:type="dxa"/>
            <w:vMerge w:val="continue"/>
            <w:vAlign w:val="center"/>
          </w:tcPr>
          <w:p w14:paraId="0C2ABD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33" w:type="dxa"/>
            <w:vMerge w:val="continue"/>
            <w:vAlign w:val="center"/>
          </w:tcPr>
          <w:p w14:paraId="068B4F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r>
      <w:tr w14:paraId="41FF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3" w:type="dxa"/>
            <w:vMerge w:val="continue"/>
            <w:vAlign w:val="center"/>
          </w:tcPr>
          <w:p w14:paraId="1532C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816" w:type="dxa"/>
            <w:vMerge w:val="continue"/>
            <w:vAlign w:val="center"/>
          </w:tcPr>
          <w:p w14:paraId="3B67ED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988" w:type="dxa"/>
            <w:vMerge w:val="restart"/>
            <w:vAlign w:val="center"/>
          </w:tcPr>
          <w:p w14:paraId="532BF1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输电线路</w:t>
            </w:r>
          </w:p>
        </w:tc>
        <w:tc>
          <w:tcPr>
            <w:tcW w:w="2401" w:type="dxa"/>
            <w:vAlign w:val="center"/>
          </w:tcPr>
          <w:p w14:paraId="280BE8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jc w:val="both"/>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1、地下电缆</w:t>
            </w:r>
          </w:p>
          <w:p w14:paraId="2D326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jc w:val="both"/>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2、</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边导线地面投影外两侧</w:t>
            </w:r>
            <w:r>
              <w:rPr>
                <w:rFonts w:hint="eastAsia" w:cs="Times New Roman"/>
                <w:color w:val="000000" w:themeColor="text1"/>
                <w:sz w:val="21"/>
                <w:szCs w:val="21"/>
                <w:vertAlign w:val="baseline"/>
                <w:lang w:val="en-US" w:eastAsia="zh-CN"/>
                <w14:textFill>
                  <w14:solidFill>
                    <w14:schemeClr w14:val="tx1"/>
                  </w14:solidFill>
                </w14:textFill>
              </w:rPr>
              <w:t>各</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10m范围内</w:t>
            </w:r>
            <w:r>
              <w:rPr>
                <w:rFonts w:hint="eastAsia" w:cs="Times New Roman"/>
                <w:color w:val="000000" w:themeColor="text1"/>
                <w:sz w:val="21"/>
                <w:szCs w:val="21"/>
                <w:vertAlign w:val="baseline"/>
                <w:lang w:val="en-US" w:eastAsia="zh-CN"/>
                <w14:textFill>
                  <w14:solidFill>
                    <w14:schemeClr w14:val="tx1"/>
                  </w14:solidFill>
                </w14:textFill>
              </w:rPr>
              <w:t>无</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电磁环境敏感目标的架空线</w:t>
            </w:r>
          </w:p>
        </w:tc>
        <w:tc>
          <w:tcPr>
            <w:tcW w:w="1216" w:type="dxa"/>
            <w:vAlign w:val="center"/>
          </w:tcPr>
          <w:p w14:paraId="6DED46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三</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级</w:t>
            </w:r>
          </w:p>
        </w:tc>
        <w:tc>
          <w:tcPr>
            <w:tcW w:w="1305" w:type="dxa"/>
            <w:vMerge w:val="restart"/>
            <w:vAlign w:val="center"/>
          </w:tcPr>
          <w:p w14:paraId="726CC8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left"/>
              <w:textAlignment w:val="auto"/>
              <w:rPr>
                <w:rFonts w:hint="default" w:ascii="Times New Roman" w:hAnsi="Times New Roman" w:cs="Times New Roman"/>
                <w:color w:val="000000" w:themeColor="text1"/>
                <w:sz w:val="21"/>
                <w:szCs w:val="21"/>
                <w:vertAlign w:val="baseline"/>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边导线地面投影外两侧10m范围内</w:t>
            </w:r>
            <w:r>
              <w:rPr>
                <w:rFonts w:hint="eastAsia" w:cs="Times New Roman"/>
                <w:color w:val="000000" w:themeColor="text1"/>
                <w:sz w:val="21"/>
                <w:szCs w:val="21"/>
                <w:vertAlign w:val="baseline"/>
                <w:lang w:val="en-US" w:eastAsia="zh-CN"/>
                <w14:textFill>
                  <w14:solidFill>
                    <w14:schemeClr w14:val="tx1"/>
                  </w14:solidFill>
                </w14:textFill>
              </w:rPr>
              <w:t>有</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电磁环境敏感目标的架空线</w:t>
            </w:r>
          </w:p>
        </w:tc>
        <w:tc>
          <w:tcPr>
            <w:tcW w:w="1133" w:type="dxa"/>
            <w:vMerge w:val="restart"/>
            <w:vAlign w:val="center"/>
          </w:tcPr>
          <w:p w14:paraId="637A4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二</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级</w:t>
            </w:r>
          </w:p>
        </w:tc>
      </w:tr>
      <w:tr w14:paraId="582E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3" w:type="dxa"/>
            <w:vMerge w:val="continue"/>
            <w:vAlign w:val="center"/>
          </w:tcPr>
          <w:p w14:paraId="0581C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both"/>
              <w:textAlignment w:val="auto"/>
              <w:rPr>
                <w:rFonts w:hint="default"/>
                <w:color w:val="000000" w:themeColor="text1"/>
                <w14:textFill>
                  <w14:solidFill>
                    <w14:schemeClr w14:val="tx1"/>
                  </w14:solidFill>
                </w14:textFill>
              </w:rPr>
            </w:pPr>
          </w:p>
        </w:tc>
        <w:tc>
          <w:tcPr>
            <w:tcW w:w="816" w:type="dxa"/>
            <w:vMerge w:val="continue"/>
            <w:vAlign w:val="center"/>
          </w:tcPr>
          <w:p w14:paraId="0D2D7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both"/>
              <w:textAlignment w:val="auto"/>
              <w:rPr>
                <w:rFonts w:hint="default"/>
                <w:color w:val="000000" w:themeColor="text1"/>
                <w14:textFill>
                  <w14:solidFill>
                    <w14:schemeClr w14:val="tx1"/>
                  </w14:solidFill>
                </w14:textFill>
              </w:rPr>
            </w:pPr>
          </w:p>
        </w:tc>
        <w:tc>
          <w:tcPr>
            <w:tcW w:w="988" w:type="dxa"/>
            <w:vMerge w:val="continue"/>
            <w:vAlign w:val="center"/>
          </w:tcPr>
          <w:p w14:paraId="1F4F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both"/>
              <w:textAlignment w:val="auto"/>
              <w:rPr>
                <w:rFonts w:hint="default"/>
                <w:color w:val="000000" w:themeColor="text1"/>
                <w14:textFill>
                  <w14:solidFill>
                    <w14:schemeClr w14:val="tx1"/>
                  </w14:solidFill>
                </w14:textFill>
              </w:rPr>
            </w:pPr>
          </w:p>
        </w:tc>
        <w:tc>
          <w:tcPr>
            <w:tcW w:w="2401" w:type="dxa"/>
            <w:vAlign w:val="center"/>
          </w:tcPr>
          <w:p w14:paraId="70516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3" w:leftChars="-30" w:right="-105" w:rightChars="-50"/>
              <w:jc w:val="both"/>
              <w:textAlignment w:val="auto"/>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边导线地面投影外两侧</w:t>
            </w:r>
            <w:r>
              <w:rPr>
                <w:rFonts w:hint="eastAsia" w:cs="Times New Roman"/>
                <w:color w:val="000000" w:themeColor="text1"/>
                <w:sz w:val="21"/>
                <w:szCs w:val="21"/>
                <w:vertAlign w:val="baseline"/>
                <w:lang w:val="en-US" w:eastAsia="zh-CN"/>
                <w14:textFill>
                  <w14:solidFill>
                    <w14:schemeClr w14:val="tx1"/>
                  </w14:solidFill>
                </w14:textFill>
              </w:rPr>
              <w:t>各</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10m范围内</w:t>
            </w:r>
            <w:r>
              <w:rPr>
                <w:rFonts w:hint="eastAsia" w:cs="Times New Roman"/>
                <w:color w:val="000000" w:themeColor="text1"/>
                <w:sz w:val="21"/>
                <w:szCs w:val="21"/>
                <w:vertAlign w:val="baseline"/>
                <w:lang w:val="en-US" w:eastAsia="zh-CN"/>
                <w14:textFill>
                  <w14:solidFill>
                    <w14:schemeClr w14:val="tx1"/>
                  </w14:solidFill>
                </w14:textFill>
              </w:rPr>
              <w:t>有</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电磁环境敏感目标的架空线</w:t>
            </w:r>
          </w:p>
        </w:tc>
        <w:tc>
          <w:tcPr>
            <w:tcW w:w="1216" w:type="dxa"/>
            <w:vAlign w:val="center"/>
          </w:tcPr>
          <w:p w14:paraId="6F278C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二级</w:t>
            </w:r>
          </w:p>
        </w:tc>
        <w:tc>
          <w:tcPr>
            <w:tcW w:w="1305" w:type="dxa"/>
            <w:vMerge w:val="continue"/>
            <w:vAlign w:val="center"/>
          </w:tcPr>
          <w:p w14:paraId="1E1A1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05" w:leftChars="-50" w:right="-105" w:rightChars="-50"/>
              <w:jc w:val="both"/>
              <w:textAlignment w:val="auto"/>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33" w:type="dxa"/>
            <w:vMerge w:val="continue"/>
            <w:vAlign w:val="center"/>
          </w:tcPr>
          <w:p w14:paraId="43696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05" w:leftChars="-50" w:right="-105" w:rightChars="-50"/>
              <w:jc w:val="both"/>
              <w:textAlignment w:val="auto"/>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p>
        </w:tc>
      </w:tr>
    </w:tbl>
    <w:p w14:paraId="79786378">
      <w:pPr>
        <w:widowControl/>
        <w:spacing w:before="120" w:beforeLines="50"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（3）评价范围</w:t>
      </w:r>
    </w:p>
    <w:p w14:paraId="1A8CDF3E">
      <w:pPr>
        <w:pStyle w:val="3"/>
        <w:spacing w:after="0"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根据《环境影响评价技术导则 输变电》</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HJ24-2020</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，电压等级为</w:t>
      </w:r>
      <w:r>
        <w:rPr>
          <w:rFonts w:hint="eastAsia"/>
          <w:color w:val="000000" w:themeColor="text1"/>
          <w:sz w:val="24"/>
          <w:highlight w:val="none"/>
          <w:lang w:val="en-US" w:eastAsia="zh-CN"/>
          <w14:textFill>
            <w14:solidFill>
              <w14:schemeClr w14:val="tx1"/>
            </w14:solidFill>
          </w14:textFill>
        </w:rPr>
        <w:t>11</w:t>
      </w:r>
      <w:r>
        <w:rPr>
          <w:rFonts w:hint="eastAsia"/>
          <w:color w:val="000000" w:themeColor="text1"/>
          <w:sz w:val="24"/>
          <w:highlight w:val="none"/>
          <w14:textFill>
            <w14:solidFill>
              <w14:schemeClr w14:val="tx1"/>
            </w14:solidFill>
          </w14:textFill>
        </w:rPr>
        <w:t>0kV</w:t>
      </w:r>
      <w:r>
        <w:rPr>
          <w:color w:val="000000" w:themeColor="text1"/>
          <w:sz w:val="24"/>
          <w:highlight w:val="none"/>
          <w14:textFill>
            <w14:solidFill>
              <w14:schemeClr w14:val="tx1"/>
            </w14:solidFill>
          </w14:textFill>
        </w:rPr>
        <w:t>的输变电项目以</w:t>
      </w:r>
      <w:r>
        <w:rPr>
          <w:rFonts w:hint="eastAsia"/>
          <w:color w:val="000000" w:themeColor="text1"/>
          <w:sz w:val="24"/>
          <w:highlight w:val="none"/>
          <w14:textFill>
            <w14:solidFill>
              <w14:schemeClr w14:val="tx1"/>
            </w14:solidFill>
          </w14:textFill>
        </w:rPr>
        <w:t>站界外</w:t>
      </w:r>
      <w:r>
        <w:rPr>
          <w:rFonts w:hint="eastAsia"/>
          <w:color w:val="000000" w:themeColor="text1"/>
          <w:sz w:val="24"/>
          <w:highlight w:val="none"/>
          <w:lang w:val="en-US" w:eastAsia="zh-CN"/>
          <w14:textFill>
            <w14:solidFill>
              <w14:schemeClr w14:val="tx1"/>
            </w14:solidFill>
          </w14:textFill>
        </w:rPr>
        <w:t>30</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架空线路边导线地面投影外两侧各30m为电磁环境影响评价范围</w:t>
      </w:r>
      <w:r>
        <w:rPr>
          <w:rFonts w:hint="eastAsia"/>
          <w:color w:val="000000" w:themeColor="text1"/>
          <w:sz w:val="24"/>
          <w:highlight w:val="none"/>
          <w14:textFill>
            <w14:solidFill>
              <w14:schemeClr w14:val="tx1"/>
            </w14:solidFill>
          </w14:textFill>
        </w:rPr>
        <w:t>。</w:t>
      </w:r>
    </w:p>
    <w:p w14:paraId="295D0FB0">
      <w:pPr>
        <w:pStyle w:val="3"/>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（4）评价方法</w:t>
      </w:r>
    </w:p>
    <w:p w14:paraId="3158A828">
      <w:pPr>
        <w:pStyle w:val="3"/>
        <w:spacing w:after="0" w:line="360" w:lineRule="auto"/>
        <w:ind w:firstLine="480" w:firstLineChars="200"/>
        <w:rPr>
          <w:rFonts w:hint="default"/>
          <w:color w:val="000000" w:themeColor="text1"/>
          <w:sz w:val="24"/>
          <w:highlight w:val="none"/>
          <w:lang w:val="en-US" w:eastAsia="zh-CN"/>
          <w14:textFill>
            <w14:solidFill>
              <w14:schemeClr w14:val="tx1"/>
            </w14:solidFill>
          </w14:textFill>
        </w:rPr>
      </w:pPr>
      <w:bookmarkStart w:id="88" w:name="_Toc17158"/>
      <w:r>
        <w:rPr>
          <w:rFonts w:hint="eastAsia"/>
          <w:color w:val="000000" w:themeColor="text1"/>
          <w:sz w:val="24"/>
          <w:highlight w:val="none"/>
          <w:lang w:val="en-US" w:eastAsia="zh-CN"/>
          <w14:textFill>
            <w14:solidFill>
              <w14:schemeClr w14:val="tx1"/>
            </w14:solidFill>
          </w14:textFill>
        </w:rPr>
        <w:t>电磁环境影响预测方法：架空线路采用模式预测法；变电站根据</w:t>
      </w:r>
      <w:r>
        <w:rPr>
          <w:rFonts w:hint="default"/>
          <w:color w:val="000000" w:themeColor="text1"/>
          <w:sz w:val="24"/>
          <w:highlight w:val="none"/>
          <w:lang w:val="en-US" w:eastAsia="zh-CN"/>
          <w14:textFill>
            <w14:solidFill>
              <w14:schemeClr w14:val="tx1"/>
            </w14:solidFill>
          </w14:textFill>
        </w:rPr>
        <w:t>《环境影响评价技术导则 输变电》（HJ24-2020）评价工作</w:t>
      </w:r>
      <w:r>
        <w:rPr>
          <w:rFonts w:hint="eastAsia"/>
          <w:color w:val="000000" w:themeColor="text1"/>
          <w:sz w:val="24"/>
          <w:highlight w:val="none"/>
          <w:lang w:val="en-US" w:eastAsia="zh-CN"/>
          <w14:textFill>
            <w14:solidFill>
              <w14:schemeClr w14:val="tx1"/>
            </w14:solidFill>
          </w14:textFill>
        </w:rPr>
        <w:t>要求可开展定性分析，本项目采用类比监测法进行分析。</w:t>
      </w:r>
    </w:p>
    <w:p w14:paraId="26806872">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1.5评价标准</w:t>
      </w:r>
      <w:bookmarkEnd w:id="88"/>
    </w:p>
    <w:p w14:paraId="2733A86B">
      <w:pPr>
        <w:pStyle w:val="3"/>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根据《环境影响评价技术导则 输变电》（HJ24-2020），工频电场的电场强度、工频磁场的磁感应强度应满足《电磁环境控制限值》（GB8702-2014）的要求，见表1.5-1。</w:t>
      </w:r>
    </w:p>
    <w:p w14:paraId="03D0E3E5">
      <w:pPr>
        <w:pStyle w:val="3"/>
        <w:spacing w:after="0" w:line="240" w:lineRule="auto"/>
        <w:ind w:firstLine="442" w:firstLineChars="200"/>
        <w:jc w:val="center"/>
        <w:rPr>
          <w:b/>
          <w:bCs/>
          <w:color w:val="000000" w:themeColor="text1"/>
          <w:sz w:val="22"/>
          <w:szCs w:val="22"/>
          <w:highlight w:val="none"/>
          <w14:textFill>
            <w14:solidFill>
              <w14:schemeClr w14:val="tx1"/>
            </w14:solidFill>
          </w14:textFill>
        </w:rPr>
      </w:pPr>
      <w:r>
        <w:rPr>
          <w:rFonts w:hint="eastAsia"/>
          <w:b/>
          <w:bCs/>
          <w:color w:val="000000" w:themeColor="text1"/>
          <w:sz w:val="22"/>
          <w:szCs w:val="22"/>
          <w:highlight w:val="none"/>
          <w14:textFill>
            <w14:solidFill>
              <w14:schemeClr w14:val="tx1"/>
            </w14:solidFill>
          </w14:textFill>
        </w:rPr>
        <w:t>表1.5-1  电磁环境控制限值</w:t>
      </w:r>
    </w:p>
    <w:tbl>
      <w:tblPr>
        <w:tblStyle w:val="32"/>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471"/>
        <w:gridCol w:w="1965"/>
        <w:gridCol w:w="1353"/>
        <w:gridCol w:w="1466"/>
        <w:gridCol w:w="1264"/>
      </w:tblGrid>
      <w:tr w14:paraId="08B9E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450" w:type="pct"/>
            <w:vAlign w:val="center"/>
          </w:tcPr>
          <w:p w14:paraId="7FC3858E">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w:t>
            </w:r>
          </w:p>
        </w:tc>
        <w:tc>
          <w:tcPr>
            <w:tcW w:w="1153" w:type="pct"/>
            <w:vAlign w:val="center"/>
          </w:tcPr>
          <w:p w14:paraId="0AE78FBA">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频率范围</w:t>
            </w:r>
          </w:p>
        </w:tc>
        <w:tc>
          <w:tcPr>
            <w:tcW w:w="794" w:type="pct"/>
            <w:vAlign w:val="center"/>
          </w:tcPr>
          <w:p w14:paraId="70817EDA">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电场强度</w:t>
            </w:r>
          </w:p>
        </w:tc>
        <w:tc>
          <w:tcPr>
            <w:tcW w:w="860" w:type="pct"/>
            <w:vAlign w:val="center"/>
          </w:tcPr>
          <w:p w14:paraId="32EC5873">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磁感应强度</w:t>
            </w:r>
          </w:p>
        </w:tc>
        <w:tc>
          <w:tcPr>
            <w:tcW w:w="741" w:type="pct"/>
            <w:vAlign w:val="center"/>
          </w:tcPr>
          <w:p w14:paraId="3009F2F1">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w:t>
            </w:r>
          </w:p>
        </w:tc>
      </w:tr>
      <w:tr w14:paraId="20305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450" w:type="pct"/>
            <w:vAlign w:val="center"/>
          </w:tcPr>
          <w:p w14:paraId="5EBDA2DA">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《电磁环境控制限值》</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GB8702-2014</w:t>
            </w:r>
            <w:r>
              <w:rPr>
                <w:rFonts w:hint="eastAsia"/>
                <w:color w:val="000000" w:themeColor="text1"/>
                <w:highlight w:val="none"/>
                <w14:textFill>
                  <w14:solidFill>
                    <w14:schemeClr w14:val="tx1"/>
                  </w14:solidFill>
                </w14:textFill>
              </w:rPr>
              <w:t>）</w:t>
            </w:r>
          </w:p>
        </w:tc>
        <w:tc>
          <w:tcPr>
            <w:tcW w:w="1153" w:type="pct"/>
            <w:vAlign w:val="center"/>
          </w:tcPr>
          <w:p w14:paraId="2C1D6781">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0.025kHz～1.2kHz</w:t>
            </w:r>
          </w:p>
        </w:tc>
        <w:tc>
          <w:tcPr>
            <w:tcW w:w="794" w:type="pct"/>
            <w:vAlign w:val="center"/>
          </w:tcPr>
          <w:p w14:paraId="7F187F53">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200/f</w:t>
            </w:r>
          </w:p>
        </w:tc>
        <w:tc>
          <w:tcPr>
            <w:tcW w:w="860" w:type="pct"/>
            <w:vAlign w:val="center"/>
          </w:tcPr>
          <w:p w14:paraId="69D98D95">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5/f</w:t>
            </w:r>
          </w:p>
        </w:tc>
        <w:tc>
          <w:tcPr>
            <w:tcW w:w="741" w:type="pct"/>
            <w:vAlign w:val="center"/>
          </w:tcPr>
          <w:p w14:paraId="5A1985D6">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f代表频率</w:t>
            </w:r>
          </w:p>
        </w:tc>
      </w:tr>
      <w:tr w14:paraId="109F9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450" w:type="pct"/>
            <w:vAlign w:val="center"/>
          </w:tcPr>
          <w:p w14:paraId="7925E88B">
            <w:pPr>
              <w:pStyle w:val="8"/>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交流输电项目</w:t>
            </w:r>
          </w:p>
          <w:p w14:paraId="3E5711FC">
            <w:pPr>
              <w:pStyle w:val="8"/>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电磁环境保护目标处</w:t>
            </w:r>
          </w:p>
        </w:tc>
        <w:tc>
          <w:tcPr>
            <w:tcW w:w="1153" w:type="pct"/>
            <w:vAlign w:val="center"/>
          </w:tcPr>
          <w:p w14:paraId="2D59C332">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0.05kHz</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50Hz</w:t>
            </w:r>
            <w:r>
              <w:rPr>
                <w:rFonts w:hint="eastAsia"/>
                <w:color w:val="000000" w:themeColor="text1"/>
                <w:highlight w:val="none"/>
                <w14:textFill>
                  <w14:solidFill>
                    <w14:schemeClr w14:val="tx1"/>
                  </w14:solidFill>
                </w14:textFill>
              </w:rPr>
              <w:t>）</w:t>
            </w:r>
          </w:p>
        </w:tc>
        <w:tc>
          <w:tcPr>
            <w:tcW w:w="794" w:type="pct"/>
            <w:vAlign w:val="center"/>
          </w:tcPr>
          <w:p w14:paraId="67A2160D">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4000V/m</w:t>
            </w:r>
          </w:p>
        </w:tc>
        <w:tc>
          <w:tcPr>
            <w:tcW w:w="860" w:type="pct"/>
            <w:vAlign w:val="center"/>
          </w:tcPr>
          <w:p w14:paraId="5034D61A">
            <w:pPr>
              <w:pStyle w:val="8"/>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100μT</w:t>
            </w:r>
          </w:p>
        </w:tc>
        <w:tc>
          <w:tcPr>
            <w:tcW w:w="741" w:type="pct"/>
            <w:vAlign w:val="center"/>
          </w:tcPr>
          <w:p w14:paraId="16067412">
            <w:pPr>
              <w:pStyle w:val="8"/>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560DEFA3">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89" w:name="_Toc2292"/>
      <w:r>
        <w:rPr>
          <w:rFonts w:hint="eastAsia" w:ascii="Times New Roman" w:hAnsi="Times New Roman" w:eastAsia="宋体"/>
          <w:color w:val="000000" w:themeColor="text1"/>
          <w:sz w:val="24"/>
          <w:szCs w:val="24"/>
          <w:highlight w:val="none"/>
          <w14:textFill>
            <w14:solidFill>
              <w14:schemeClr w14:val="tx1"/>
            </w14:solidFill>
          </w14:textFill>
        </w:rPr>
        <w:t>1.6电磁环境敏感目标</w:t>
      </w:r>
      <w:bookmarkEnd w:id="89"/>
    </w:p>
    <w:p w14:paraId="3083EE2E">
      <w:pPr>
        <w:pStyle w:val="3"/>
        <w:spacing w:after="0" w:line="360" w:lineRule="auto"/>
        <w:ind w:firstLine="480" w:firstLineChars="200"/>
        <w:jc w:val="left"/>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14:textFill>
            <w14:solidFill>
              <w14:schemeClr w14:val="tx1"/>
            </w14:solidFill>
          </w14:textFill>
        </w:rPr>
        <w:t>根据《环境影响评价技术导则 输变电》（HJ24-2020），电磁环境敏感目标为电磁环境影响评价需重点关注的对象。包括：住宅、学校、医院、办公楼、工厂等有公众居住，工作或学习的建筑物，根据现场勘查，本项目</w:t>
      </w:r>
      <w:r>
        <w:rPr>
          <w:rFonts w:hint="eastAsia"/>
          <w:color w:val="000000" w:themeColor="text1"/>
          <w:sz w:val="24"/>
          <w:highlight w:val="none"/>
          <w:lang w:val="en-US" w:eastAsia="zh-CN"/>
          <w14:textFill>
            <w14:solidFill>
              <w14:schemeClr w14:val="tx1"/>
            </w14:solidFill>
          </w14:textFill>
        </w:rPr>
        <w:t>11</w:t>
      </w:r>
      <w:r>
        <w:rPr>
          <w:rFonts w:hint="eastAsia"/>
          <w:color w:val="000000" w:themeColor="text1"/>
          <w:sz w:val="24"/>
          <w:highlight w:val="none"/>
          <w14:textFill>
            <w14:solidFill>
              <w14:schemeClr w14:val="tx1"/>
            </w14:solidFill>
          </w14:textFill>
        </w:rPr>
        <w:t>0kV升压站界外</w:t>
      </w:r>
      <w:r>
        <w:rPr>
          <w:rFonts w:hint="eastAsia"/>
          <w:color w:val="000000" w:themeColor="text1"/>
          <w:sz w:val="24"/>
          <w:highlight w:val="none"/>
          <w:lang w:val="en-US" w:eastAsia="zh-CN"/>
          <w14:textFill>
            <w14:solidFill>
              <w14:schemeClr w14:val="tx1"/>
            </w14:solidFill>
          </w14:textFill>
        </w:rPr>
        <w:t>30</w:t>
      </w:r>
      <w:r>
        <w:rPr>
          <w:rFonts w:hint="eastAsia"/>
          <w:color w:val="000000" w:themeColor="text1"/>
          <w:sz w:val="24"/>
          <w:highlight w:val="none"/>
          <w14:textFill>
            <w14:solidFill>
              <w14:schemeClr w14:val="tx1"/>
            </w14:solidFill>
          </w14:textFill>
        </w:rPr>
        <w:t>m范围内无电磁环境保护目标。</w:t>
      </w:r>
      <w:r>
        <w:rPr>
          <w:rFonts w:hint="eastAsia"/>
          <w:color w:val="000000" w:themeColor="text1"/>
          <w:sz w:val="24"/>
          <w:highlight w:val="none"/>
          <w:lang w:val="en-US" w:eastAsia="zh-CN"/>
          <w14:textFill>
            <w14:solidFill>
              <w14:schemeClr w14:val="tx1"/>
            </w14:solidFill>
          </w14:textFill>
        </w:rPr>
        <w:t>输电线路沿线电磁环境评价范围内电磁环境保护目标如表1.6-1所示。</w:t>
      </w:r>
    </w:p>
    <w:p w14:paraId="31D3BF4F">
      <w:pPr>
        <w:pStyle w:val="60"/>
        <w:keepNext w:val="0"/>
        <w:keepLines w:val="0"/>
        <w:pageBreakBefore w:val="0"/>
        <w:widowControl w:val="0"/>
        <w:suppressLineNumbers w:val="0"/>
        <w:kinsoku/>
        <w:wordWrap/>
        <w:overflowPunct w:val="0"/>
        <w:topLinePunct w:val="0"/>
        <w:autoSpaceDE/>
        <w:autoSpaceDN/>
        <w:bidi w:val="0"/>
        <w:adjustRightInd/>
        <w:snapToGrid w:val="0"/>
        <w:spacing w:before="157" w:beforeLines="50" w:beforeAutospacing="0" w:after="0" w:afterLines="0" w:afterAutospacing="0" w:line="240" w:lineRule="auto"/>
        <w:ind w:left="0" w:right="0"/>
        <w:textAlignment w:val="auto"/>
        <w:rPr>
          <w:rFonts w:hint="default" w:ascii="Times New Roman" w:hAnsi="Times New Roman" w:eastAsia="宋体" w:cs="Times New Roman"/>
          <w:b/>
          <w:bCs/>
          <w:color w:val="000000" w:themeColor="text1"/>
          <w:sz w:val="22"/>
          <w:szCs w:val="22"/>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2"/>
          <w:szCs w:val="22"/>
          <w:highlight w:val="none"/>
          <w:lang w:val="en-US" w:eastAsia="zh-CN"/>
          <w14:textFill>
            <w14:solidFill>
              <w14:schemeClr w14:val="tx1"/>
            </w14:solidFill>
          </w14:textFill>
        </w:rPr>
        <w:t>表</w:t>
      </w:r>
      <w:r>
        <w:rPr>
          <w:rFonts w:hint="eastAsia" w:ascii="Times New Roman" w:cs="Times New Roman"/>
          <w:b/>
          <w:bCs/>
          <w:color w:val="000000" w:themeColor="text1"/>
          <w:sz w:val="22"/>
          <w:szCs w:val="22"/>
          <w:highlight w:val="none"/>
          <w:lang w:val="en-US" w:eastAsia="zh-CN"/>
          <w14:textFill>
            <w14:solidFill>
              <w14:schemeClr w14:val="tx1"/>
            </w14:solidFill>
          </w14:textFill>
        </w:rPr>
        <w:t>1.6-1</w:t>
      </w:r>
      <w:r>
        <w:rPr>
          <w:rFonts w:hint="eastAsia" w:ascii="Times New Roman" w:hAnsi="Times New Roman" w:eastAsia="宋体" w:cs="Times New Roman"/>
          <w:b/>
          <w:bCs/>
          <w:color w:val="000000" w:themeColor="text1"/>
          <w:sz w:val="22"/>
          <w:szCs w:val="22"/>
          <w:highlight w:val="none"/>
          <w:lang w:val="en-US" w:eastAsia="zh-CN"/>
          <w14:textFill>
            <w14:solidFill>
              <w14:schemeClr w14:val="tx1"/>
            </w14:solidFill>
          </w14:textFill>
        </w:rPr>
        <w:t xml:space="preserve">  环境敏感目标情况一览表</w:t>
      </w:r>
    </w:p>
    <w:tbl>
      <w:tblPr>
        <w:tblStyle w:val="33"/>
        <w:tblW w:w="82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18"/>
        <w:gridCol w:w="1012"/>
        <w:gridCol w:w="2625"/>
        <w:gridCol w:w="1874"/>
        <w:gridCol w:w="1427"/>
      </w:tblGrid>
      <w:tr w14:paraId="501A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5E2A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序号</w:t>
            </w:r>
          </w:p>
        </w:tc>
        <w:tc>
          <w:tcPr>
            <w:tcW w:w="818" w:type="dxa"/>
            <w:vAlign w:val="center"/>
          </w:tcPr>
          <w:p w14:paraId="2FBE53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行政区</w:t>
            </w:r>
          </w:p>
        </w:tc>
        <w:tc>
          <w:tcPr>
            <w:tcW w:w="1012" w:type="dxa"/>
            <w:vAlign w:val="center"/>
          </w:tcPr>
          <w:p w14:paraId="2A7211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环境敏感目标名称</w:t>
            </w:r>
          </w:p>
        </w:tc>
        <w:tc>
          <w:tcPr>
            <w:tcW w:w="2625" w:type="dxa"/>
            <w:vAlign w:val="center"/>
          </w:tcPr>
          <w:p w14:paraId="35AE8B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功能、数量、房屋结构、高度</w:t>
            </w:r>
          </w:p>
        </w:tc>
        <w:tc>
          <w:tcPr>
            <w:tcW w:w="1874" w:type="dxa"/>
            <w:vAlign w:val="center"/>
          </w:tcPr>
          <w:p w14:paraId="46351F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相对位置</w:t>
            </w:r>
          </w:p>
        </w:tc>
        <w:tc>
          <w:tcPr>
            <w:tcW w:w="1427" w:type="dxa"/>
            <w:vAlign w:val="center"/>
          </w:tcPr>
          <w:p w14:paraId="3D5DE3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环境影响因子</w:t>
            </w:r>
          </w:p>
        </w:tc>
      </w:tr>
      <w:tr w14:paraId="22E2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8212" w:type="dxa"/>
            <w:gridSpan w:val="6"/>
            <w:vAlign w:val="center"/>
          </w:tcPr>
          <w:p w14:paraId="00BF9098">
            <w:pPr>
              <w:pStyle w:val="44"/>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63" w:leftChars="-30" w:right="-63" w:rightChars="-30"/>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1"/>
                <w:vertAlign w:val="baseline"/>
                <w:lang w:val="en-US" w:eastAsia="zh-CN" w:bidi="ar-SA"/>
                <w14:textFill>
                  <w14:solidFill>
                    <w14:schemeClr w14:val="tx1"/>
                  </w14:solidFill>
                </w14:textFill>
              </w:rPr>
              <w:t>110kV输电线路</w:t>
            </w:r>
          </w:p>
        </w:tc>
      </w:tr>
      <w:tr w14:paraId="6244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F073F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w:t>
            </w:r>
          </w:p>
        </w:tc>
        <w:tc>
          <w:tcPr>
            <w:tcW w:w="818" w:type="dxa"/>
            <w:vAlign w:val="center"/>
          </w:tcPr>
          <w:p w14:paraId="5EBC7D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托克逊县能源重化工工业园</w:t>
            </w:r>
          </w:p>
        </w:tc>
        <w:tc>
          <w:tcPr>
            <w:tcW w:w="1012" w:type="dxa"/>
            <w:vAlign w:val="center"/>
          </w:tcPr>
          <w:p w14:paraId="0C689F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污水处理厂</w:t>
            </w:r>
          </w:p>
        </w:tc>
        <w:tc>
          <w:tcPr>
            <w:tcW w:w="2625" w:type="dxa"/>
            <w:vAlign w:val="center"/>
          </w:tcPr>
          <w:p w14:paraId="7F35D6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left"/>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功能：</w:t>
            </w:r>
            <w:r>
              <w:rPr>
                <w:rFonts w:hint="eastAsia" w:cs="Times New Roman"/>
                <w:color w:val="000000" w:themeColor="text1"/>
                <w:kern w:val="2"/>
                <w:sz w:val="21"/>
                <w:szCs w:val="21"/>
                <w:vertAlign w:val="baseline"/>
                <w:lang w:val="en-US" w:eastAsia="zh-CN" w:bidi="ar-SA"/>
                <w14:textFill>
                  <w14:solidFill>
                    <w14:schemeClr w14:val="tx1"/>
                  </w14:solidFill>
                </w14:textFill>
              </w:rPr>
              <w:t>工厂</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；数量：</w:t>
            </w:r>
            <w:r>
              <w:rPr>
                <w:rFonts w:hint="eastAsia" w:cs="Times New Roman"/>
                <w:color w:val="000000" w:themeColor="text1"/>
                <w:kern w:val="2"/>
                <w:sz w:val="21"/>
                <w:szCs w:val="21"/>
                <w:vertAlign w:val="baseline"/>
                <w:lang w:val="en-US" w:eastAsia="zh-CN" w:bidi="ar-SA"/>
                <w14:textFill>
                  <w14:solidFill>
                    <w14:schemeClr w14:val="tx1"/>
                  </w14:solidFill>
                </w14:textFill>
              </w:rPr>
              <w:t>1</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；房屋结构：1层平顶房；高度：约3m</w:t>
            </w:r>
          </w:p>
        </w:tc>
        <w:tc>
          <w:tcPr>
            <w:tcW w:w="1874" w:type="dxa"/>
            <w:vAlign w:val="center"/>
          </w:tcPr>
          <w:p w14:paraId="59C2BE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left"/>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输电线路J6，距离边导线23m</w:t>
            </w:r>
          </w:p>
        </w:tc>
        <w:tc>
          <w:tcPr>
            <w:tcW w:w="1427" w:type="dxa"/>
            <w:vAlign w:val="center"/>
          </w:tcPr>
          <w:p w14:paraId="0CEF22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63" w:leftChars="-30" w:right="-63" w:rightChars="-3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电磁环境、</w:t>
            </w:r>
          </w:p>
          <w:p w14:paraId="1CAA90BB">
            <w:pPr>
              <w:pStyle w:val="44"/>
              <w:keepNext w:val="0"/>
              <w:keepLines w:val="0"/>
              <w:pageBreakBefore w:val="0"/>
              <w:widowControl/>
              <w:suppressLineNumbers w:val="0"/>
              <w:kinsoku/>
              <w:wordWrap/>
              <w:overflowPunct/>
              <w:topLinePunct w:val="0"/>
              <w:bidi w:val="0"/>
              <w:adjustRightInd w:val="0"/>
              <w:snapToGrid w:val="0"/>
              <w:spacing w:before="0" w:beforeAutospacing="0" w:afterAutospacing="0" w:line="240" w:lineRule="auto"/>
              <w:ind w:left="-63" w:leftChars="-30" w:right="-63" w:rightChars="-30"/>
              <w:textAlignment w:val="auto"/>
              <w:rPr>
                <w:rFonts w:hint="default"/>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声环境</w:t>
            </w:r>
          </w:p>
        </w:tc>
      </w:tr>
    </w:tbl>
    <w:p w14:paraId="73BBD191">
      <w:pPr>
        <w:pStyle w:val="3"/>
        <w:spacing w:after="0" w:line="360" w:lineRule="auto"/>
        <w:ind w:firstLine="442" w:firstLineChars="200"/>
        <w:jc w:val="left"/>
        <w:rPr>
          <w:b/>
          <w:bCs/>
          <w:color w:val="000000" w:themeColor="text1"/>
          <w:sz w:val="22"/>
          <w:szCs w:val="22"/>
          <w:highlight w:val="none"/>
          <w14:textFill>
            <w14:solidFill>
              <w14:schemeClr w14:val="tx1"/>
            </w14:solidFill>
          </w14:textFill>
        </w:rPr>
      </w:pPr>
    </w:p>
    <w:p w14:paraId="2E617BE9">
      <w:pPr>
        <w:pStyle w:val="4"/>
        <w:rPr>
          <w:rFonts w:eastAsia="宋体"/>
          <w:color w:val="000000" w:themeColor="text1"/>
          <w:sz w:val="28"/>
          <w:szCs w:val="28"/>
          <w:highlight w:val="none"/>
          <w14:textFill>
            <w14:solidFill>
              <w14:schemeClr w14:val="tx1"/>
            </w14:solidFill>
          </w14:textFill>
        </w:rPr>
      </w:pPr>
      <w:bookmarkStart w:id="90" w:name="_Toc8986"/>
      <w:bookmarkStart w:id="91" w:name="_Toc23739"/>
      <w:bookmarkStart w:id="92" w:name="_Toc30898"/>
      <w:r>
        <w:rPr>
          <w:rFonts w:hint="eastAsia" w:eastAsia="宋体"/>
          <w:color w:val="000000" w:themeColor="text1"/>
          <w:sz w:val="28"/>
          <w:szCs w:val="28"/>
          <w:highlight w:val="none"/>
          <w14:textFill>
            <w14:solidFill>
              <w14:schemeClr w14:val="tx1"/>
            </w14:solidFill>
          </w14:textFill>
        </w:rPr>
        <w:t>2电磁环境现状监测与评价</w:t>
      </w:r>
      <w:bookmarkEnd w:id="90"/>
      <w:bookmarkEnd w:id="91"/>
      <w:bookmarkEnd w:id="92"/>
    </w:p>
    <w:p w14:paraId="6CDB6818">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93" w:name="_Toc9991"/>
      <w:r>
        <w:rPr>
          <w:rFonts w:hint="eastAsia" w:ascii="Times New Roman" w:hAnsi="Times New Roman" w:eastAsia="宋体"/>
          <w:color w:val="000000" w:themeColor="text1"/>
          <w:sz w:val="24"/>
          <w:szCs w:val="24"/>
          <w:highlight w:val="none"/>
          <w14:textFill>
            <w14:solidFill>
              <w14:schemeClr w14:val="tx1"/>
            </w14:solidFill>
          </w14:textFill>
        </w:rPr>
        <w:t>2.1监测因子</w:t>
      </w:r>
      <w:bookmarkEnd w:id="93"/>
    </w:p>
    <w:p w14:paraId="38354161">
      <w:pPr>
        <w:pStyle w:val="3"/>
        <w:adjustRightInd w:val="0"/>
        <w:spacing w:after="0" w:line="360" w:lineRule="auto"/>
        <w:ind w:firstLine="480" w:firstLineChars="200"/>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本工程监测因子：工频电场、工频磁场。</w:t>
      </w:r>
    </w:p>
    <w:p w14:paraId="6E19E600">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94" w:name="_Toc8590"/>
      <w:r>
        <w:rPr>
          <w:rFonts w:hint="eastAsia" w:ascii="Times New Roman" w:hAnsi="Times New Roman" w:eastAsia="宋体"/>
          <w:color w:val="000000" w:themeColor="text1"/>
          <w:sz w:val="24"/>
          <w:szCs w:val="24"/>
          <w:highlight w:val="none"/>
          <w14:textFill>
            <w14:solidFill>
              <w14:schemeClr w14:val="tx1"/>
            </w14:solidFill>
          </w14:textFill>
        </w:rPr>
        <w:t>2.2监测方法及布点</w:t>
      </w:r>
      <w:bookmarkEnd w:id="94"/>
    </w:p>
    <w:p w14:paraId="72997DF1">
      <w:pPr>
        <w:pStyle w:val="3"/>
        <w:adjustRightInd w:val="0"/>
        <w:spacing w:after="0" w:line="360" w:lineRule="auto"/>
        <w:ind w:firstLine="480" w:firstLineChars="200"/>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监测方法：《交流输变电工程电磁环境监测办法（试行）》（HJ681-2013）。</w:t>
      </w:r>
    </w:p>
    <w:p w14:paraId="05816EC8">
      <w:pPr>
        <w:pStyle w:val="3"/>
        <w:adjustRightInd w:val="0"/>
        <w:spacing w:after="0" w:line="360" w:lineRule="auto"/>
        <w:ind w:firstLine="480" w:firstLineChars="200"/>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监测布点：</w:t>
      </w:r>
      <w:r>
        <w:rPr>
          <w:color w:val="000000" w:themeColor="text1"/>
          <w:sz w:val="24"/>
          <w:highlight w:val="none"/>
          <w14:textFill>
            <w14:solidFill>
              <w14:schemeClr w14:val="tx1"/>
            </w14:solidFill>
          </w14:textFill>
        </w:rPr>
        <w:t>根据《环境影响评价技术导则 输变电》（HJ24-2020）</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6.3.2监测点位及布点方法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站址的布点方法以围墙四周均匀布点为主，</w:t>
      </w:r>
      <w:r>
        <w:rPr>
          <w:rFonts w:hint="default" w:ascii="Times New Roman" w:hAnsi="Times New Roman" w:cs="Times New Roman"/>
          <w:color w:val="000000" w:themeColor="text1"/>
          <w:sz w:val="24"/>
          <w:highlight w:val="none"/>
          <w:lang w:val="en-US" w:eastAsia="zh-CN"/>
          <w14:textFill>
            <w14:solidFill>
              <w14:schemeClr w14:val="tx1"/>
            </w14:solidFill>
          </w14:textFill>
        </w:rPr>
        <w:t>如新建站址附近无其他电磁设施，可在站址中心监测</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，项目选址区域目前为空地，</w:t>
      </w:r>
      <w:r>
        <w:rPr>
          <w:rFonts w:hint="eastAsia" w:cs="Times New Roman"/>
          <w:color w:val="000000" w:themeColor="text1"/>
          <w:sz w:val="24"/>
          <w:highlight w:val="none"/>
          <w:lang w:val="en-US" w:eastAsia="zh-CN"/>
          <w14:textFill>
            <w14:solidFill>
              <w14:schemeClr w14:val="tx1"/>
            </w14:solidFill>
          </w14:textFill>
        </w:rPr>
        <w:t>站址四周现状均为空地，</w:t>
      </w:r>
      <w:r>
        <w:rPr>
          <w:rFonts w:hint="default" w:ascii="Times New Roman" w:hAnsi="Times New Roman" w:cs="Times New Roman"/>
          <w:color w:val="000000" w:themeColor="text1"/>
          <w:sz w:val="24"/>
          <w:highlight w:val="none"/>
          <w:lang w:val="en-US" w:eastAsia="zh-CN"/>
          <w14:textFill>
            <w14:solidFill>
              <w14:schemeClr w14:val="tx1"/>
            </w14:solidFill>
          </w14:textFill>
        </w:rPr>
        <w:t>站址附近无电磁环境敏感目标及其他电磁设施，故在项目站址中心进行监测</w:t>
      </w:r>
      <w:r>
        <w:rPr>
          <w:rFonts w:hint="eastAsia" w:cs="Times New Roman"/>
          <w:color w:val="000000" w:themeColor="text1"/>
          <w:sz w:val="24"/>
          <w:highlight w:val="none"/>
          <w:lang w:val="en-US" w:eastAsia="zh-CN"/>
          <w14:textFill>
            <w14:solidFill>
              <w14:schemeClr w14:val="tx1"/>
            </w14:solidFill>
          </w14:textFill>
        </w:rPr>
        <w:t>，输电</w:t>
      </w:r>
      <w:r>
        <w:rPr>
          <w:rFonts w:hint="eastAsia"/>
          <w:b w:val="0"/>
          <w:bCs w:val="0"/>
          <w:color w:val="000000" w:themeColor="text1"/>
          <w:sz w:val="24"/>
          <w:szCs w:val="32"/>
          <w:lang w:val="en-US" w:eastAsia="zh-CN"/>
          <w14:textFill>
            <w14:solidFill>
              <w14:schemeClr w14:val="tx1"/>
            </w14:solidFill>
          </w14:textFill>
        </w:rPr>
        <w:t>线路沿线共设置3个具有代表性的现状监测点</w:t>
      </w:r>
      <w:r>
        <w:rPr>
          <w:rFonts w:hint="eastAsia"/>
          <w:b w:val="0"/>
          <w:bCs w:val="0"/>
          <w:color w:val="000000" w:themeColor="text1"/>
          <w:sz w:val="24"/>
          <w:szCs w:val="32"/>
          <w:highlight w:val="none"/>
          <w:lang w:val="en-US" w:eastAsia="zh-CN"/>
          <w14:textFill>
            <w14:solidFill>
              <w14:schemeClr w14:val="tx1"/>
            </w14:solidFill>
          </w14:textFill>
        </w:rPr>
        <w:t>。</w:t>
      </w:r>
    </w:p>
    <w:p w14:paraId="5183953E">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95" w:name="_Toc26303"/>
      <w:r>
        <w:rPr>
          <w:rFonts w:hint="eastAsia" w:ascii="Times New Roman" w:hAnsi="Times New Roman" w:eastAsia="宋体"/>
          <w:color w:val="000000" w:themeColor="text1"/>
          <w:sz w:val="24"/>
          <w:szCs w:val="24"/>
          <w:highlight w:val="none"/>
          <w14:textFill>
            <w14:solidFill>
              <w14:schemeClr w14:val="tx1"/>
            </w14:solidFill>
          </w14:textFill>
        </w:rPr>
        <w:t>2.3监测单位及监测时间</w:t>
      </w:r>
      <w:bookmarkEnd w:id="95"/>
    </w:p>
    <w:p w14:paraId="40015A45">
      <w:pPr>
        <w:pStyle w:val="3"/>
        <w:adjustRightInd w:val="0"/>
        <w:spacing w:after="0" w:line="360" w:lineRule="auto"/>
        <w:ind w:firstLine="480" w:firstLineChars="200"/>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监测单位：新疆锡水金山环境科技有限公司</w:t>
      </w:r>
    </w:p>
    <w:p w14:paraId="0EF0CE61">
      <w:pPr>
        <w:pStyle w:val="3"/>
        <w:adjustRightInd w:val="0"/>
        <w:spacing w:after="0" w:line="360" w:lineRule="auto"/>
        <w:ind w:firstLine="480" w:firstLineChars="200"/>
        <w:rPr>
          <w:rFonts w:hint="eastAsia" w:eastAsia="宋体"/>
          <w:b/>
          <w:bCs/>
          <w:color w:val="000000" w:themeColor="text1"/>
          <w:sz w:val="24"/>
          <w:szCs w:val="32"/>
          <w:highlight w:val="none"/>
          <w:lang w:eastAsia="zh-CN"/>
          <w14:textFill>
            <w14:solidFill>
              <w14:schemeClr w14:val="tx1"/>
            </w14:solidFill>
          </w14:textFill>
        </w:rPr>
      </w:pPr>
      <w:r>
        <w:rPr>
          <w:rFonts w:hint="eastAsia"/>
          <w:color w:val="000000" w:themeColor="text1"/>
          <w:sz w:val="24"/>
          <w:szCs w:val="32"/>
          <w:highlight w:val="none"/>
          <w14:textFill>
            <w14:solidFill>
              <w14:schemeClr w14:val="tx1"/>
            </w14:solidFill>
          </w14:textFill>
        </w:rPr>
        <w:t>监测时间：202</w:t>
      </w:r>
      <w:r>
        <w:rPr>
          <w:rFonts w:hint="eastAsia"/>
          <w:color w:val="000000" w:themeColor="text1"/>
          <w:sz w:val="24"/>
          <w:szCs w:val="32"/>
          <w:highlight w:val="none"/>
          <w:lang w:val="en-US" w:eastAsia="zh-CN"/>
          <w14:textFill>
            <w14:solidFill>
              <w14:schemeClr w14:val="tx1"/>
            </w14:solidFill>
          </w14:textFill>
        </w:rPr>
        <w:t>6</w:t>
      </w:r>
      <w:r>
        <w:rPr>
          <w:rFonts w:hint="eastAsia"/>
          <w:color w:val="000000" w:themeColor="text1"/>
          <w:sz w:val="24"/>
          <w:szCs w:val="32"/>
          <w:highlight w:val="none"/>
          <w14:textFill>
            <w14:solidFill>
              <w14:schemeClr w14:val="tx1"/>
            </w14:solidFill>
          </w14:textFill>
        </w:rPr>
        <w:t>年</w:t>
      </w:r>
      <w:r>
        <w:rPr>
          <w:rFonts w:hint="eastAsia"/>
          <w:color w:val="000000" w:themeColor="text1"/>
          <w:sz w:val="24"/>
          <w:szCs w:val="32"/>
          <w:highlight w:val="none"/>
          <w:lang w:val="en-US" w:eastAsia="zh-CN"/>
          <w14:textFill>
            <w14:solidFill>
              <w14:schemeClr w14:val="tx1"/>
            </w14:solidFill>
          </w14:textFill>
        </w:rPr>
        <w:t>3</w:t>
      </w:r>
      <w:r>
        <w:rPr>
          <w:rFonts w:hint="eastAsia"/>
          <w:color w:val="000000" w:themeColor="text1"/>
          <w:sz w:val="24"/>
          <w:szCs w:val="32"/>
          <w:highlight w:val="none"/>
          <w14:textFill>
            <w14:solidFill>
              <w14:schemeClr w14:val="tx1"/>
            </w14:solidFill>
          </w14:textFill>
        </w:rPr>
        <w:t>月</w:t>
      </w:r>
      <w:r>
        <w:rPr>
          <w:rFonts w:hint="eastAsia"/>
          <w:color w:val="000000" w:themeColor="text1"/>
          <w:sz w:val="24"/>
          <w:szCs w:val="32"/>
          <w:highlight w:val="none"/>
          <w:lang w:val="en-US" w:eastAsia="zh-CN"/>
          <w14:textFill>
            <w14:solidFill>
              <w14:schemeClr w14:val="tx1"/>
            </w14:solidFill>
          </w14:textFill>
        </w:rPr>
        <w:t>18</w:t>
      </w:r>
      <w:r>
        <w:rPr>
          <w:rFonts w:hint="eastAsia"/>
          <w:color w:val="000000" w:themeColor="text1"/>
          <w:sz w:val="24"/>
          <w:szCs w:val="32"/>
          <w:highlight w:val="none"/>
          <w14:textFill>
            <w14:solidFill>
              <w14:schemeClr w14:val="tx1"/>
            </w14:solidFill>
          </w14:textFill>
        </w:rPr>
        <w:t>日</w:t>
      </w:r>
      <w:r>
        <w:rPr>
          <w:rFonts w:hint="eastAsia"/>
          <w:color w:val="000000" w:themeColor="text1"/>
          <w:sz w:val="24"/>
          <w:szCs w:val="32"/>
          <w:highlight w:val="none"/>
          <w:lang w:eastAsia="zh-CN"/>
          <w14:textFill>
            <w14:solidFill>
              <w14:schemeClr w14:val="tx1"/>
            </w14:solidFill>
          </w14:textFill>
        </w:rPr>
        <w:t>、</w:t>
      </w:r>
      <w:r>
        <w:rPr>
          <w:rFonts w:hint="eastAsia"/>
          <w:color w:val="000000" w:themeColor="text1"/>
          <w:sz w:val="24"/>
          <w:szCs w:val="32"/>
          <w:highlight w:val="none"/>
          <w:lang w:val="en-US" w:eastAsia="zh-CN"/>
          <w14:textFill>
            <w14:solidFill>
              <w14:schemeClr w14:val="tx1"/>
            </w14:solidFill>
          </w14:textFill>
        </w:rPr>
        <w:t>2026年4月21日</w:t>
      </w:r>
    </w:p>
    <w:p w14:paraId="472A1363">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96" w:name="_Toc25038"/>
      <w:r>
        <w:rPr>
          <w:rFonts w:hint="eastAsia" w:ascii="Times New Roman" w:hAnsi="Times New Roman" w:eastAsia="宋体"/>
          <w:color w:val="000000" w:themeColor="text1"/>
          <w:sz w:val="24"/>
          <w:szCs w:val="24"/>
          <w:highlight w:val="none"/>
          <w14:textFill>
            <w14:solidFill>
              <w14:schemeClr w14:val="tx1"/>
            </w14:solidFill>
          </w14:textFill>
        </w:rPr>
        <w:t>2.4采样方法及仪器</w:t>
      </w:r>
      <w:bookmarkEnd w:id="96"/>
    </w:p>
    <w:p w14:paraId="3436A6FD">
      <w:pPr>
        <w:pStyle w:val="3"/>
        <w:adjustRightInd w:val="0"/>
        <w:spacing w:after="0" w:line="360" w:lineRule="auto"/>
        <w:ind w:firstLine="480" w:firstLineChars="200"/>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监测仪器参数见表2.4-1。</w:t>
      </w:r>
    </w:p>
    <w:p w14:paraId="2FB11293">
      <w:pPr>
        <w:pStyle w:val="3"/>
        <w:adjustRightInd w:val="0"/>
        <w:spacing w:after="0" w:line="360" w:lineRule="auto"/>
        <w:ind w:firstLine="480" w:firstLineChars="200"/>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监测条件：</w:t>
      </w:r>
    </w:p>
    <w:p w14:paraId="37226300">
      <w:pPr>
        <w:pStyle w:val="3"/>
        <w:adjustRightInd w:val="0"/>
        <w:spacing w:before="120" w:beforeLines="50" w:after="0" w:line="240" w:lineRule="auto"/>
        <w:jc w:val="center"/>
        <w:rPr>
          <w:b/>
          <w:bCs/>
          <w:color w:val="000000" w:themeColor="text1"/>
          <w:sz w:val="22"/>
          <w:szCs w:val="28"/>
          <w:highlight w:val="none"/>
          <w14:textFill>
            <w14:solidFill>
              <w14:schemeClr w14:val="tx1"/>
            </w14:solidFill>
          </w14:textFill>
        </w:rPr>
      </w:pPr>
      <w:r>
        <w:rPr>
          <w:rFonts w:hint="eastAsia"/>
          <w:b/>
          <w:bCs/>
          <w:color w:val="000000" w:themeColor="text1"/>
          <w:sz w:val="22"/>
          <w:szCs w:val="28"/>
          <w:highlight w:val="none"/>
          <w14:textFill>
            <w14:solidFill>
              <w14:schemeClr w14:val="tx1"/>
            </w14:solidFill>
          </w14:textFill>
        </w:rPr>
        <w:t>表2.4-1  监测仪器一览表</w:t>
      </w:r>
    </w:p>
    <w:tbl>
      <w:tblPr>
        <w:tblStyle w:val="32"/>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59"/>
        <w:gridCol w:w="3900"/>
        <w:gridCol w:w="1876"/>
        <w:gridCol w:w="1523"/>
      </w:tblGrid>
      <w:tr w14:paraId="352E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exact"/>
          <w:jc w:val="center"/>
        </w:trPr>
        <w:tc>
          <w:tcPr>
            <w:tcW w:w="1359" w:type="dxa"/>
            <w:tcBorders>
              <w:tl2br w:val="nil"/>
              <w:tr2bl w:val="nil"/>
            </w:tcBorders>
            <w:vAlign w:val="center"/>
          </w:tcPr>
          <w:p w14:paraId="3D3CC96C">
            <w:pPr>
              <w:jc w:val="center"/>
              <w:rPr>
                <w:bCs/>
                <w:color w:val="000000" w:themeColor="text1"/>
                <w:szCs w:val="21"/>
                <w:highlight w:val="none"/>
                <w:lang w:bidi="ar"/>
                <w14:textFill>
                  <w14:solidFill>
                    <w14:schemeClr w14:val="tx1"/>
                  </w14:solidFill>
                </w14:textFill>
              </w:rPr>
            </w:pPr>
            <w:r>
              <w:rPr>
                <w:bCs/>
                <w:color w:val="000000" w:themeColor="text1"/>
                <w:szCs w:val="21"/>
                <w:highlight w:val="none"/>
                <w:lang w:bidi="ar"/>
                <w14:textFill>
                  <w14:solidFill>
                    <w14:schemeClr w14:val="tx1"/>
                  </w14:solidFill>
                </w14:textFill>
              </w:rPr>
              <w:t>类 别</w:t>
            </w:r>
          </w:p>
        </w:tc>
        <w:tc>
          <w:tcPr>
            <w:tcW w:w="3900" w:type="dxa"/>
            <w:tcBorders>
              <w:tl2br w:val="nil"/>
              <w:tr2bl w:val="nil"/>
            </w:tcBorders>
            <w:vAlign w:val="center"/>
          </w:tcPr>
          <w:p w14:paraId="60080694">
            <w:pPr>
              <w:adjustRightInd w:val="0"/>
              <w:snapToGrid w:val="0"/>
              <w:jc w:val="center"/>
              <w:rPr>
                <w:bCs/>
                <w:color w:val="000000" w:themeColor="text1"/>
                <w:szCs w:val="21"/>
                <w:highlight w:val="none"/>
                <w:lang w:bidi="ar"/>
                <w14:textFill>
                  <w14:solidFill>
                    <w14:schemeClr w14:val="tx1"/>
                  </w14:solidFill>
                </w14:textFill>
              </w:rPr>
            </w:pPr>
            <w:r>
              <w:rPr>
                <w:bCs/>
                <w:color w:val="000000" w:themeColor="text1"/>
                <w:szCs w:val="21"/>
                <w:highlight w:val="none"/>
                <w:lang w:bidi="ar"/>
                <w14:textFill>
                  <w14:solidFill>
                    <w14:schemeClr w14:val="tx1"/>
                  </w14:solidFill>
                </w14:textFill>
              </w:rPr>
              <w:t>采样方法及依据</w:t>
            </w:r>
          </w:p>
        </w:tc>
        <w:tc>
          <w:tcPr>
            <w:tcW w:w="1876" w:type="dxa"/>
            <w:tcBorders>
              <w:tl2br w:val="nil"/>
              <w:tr2bl w:val="nil"/>
            </w:tcBorders>
            <w:vAlign w:val="center"/>
          </w:tcPr>
          <w:p w14:paraId="2EF14D82">
            <w:pPr>
              <w:adjustRightInd w:val="0"/>
              <w:snapToGrid w:val="0"/>
              <w:jc w:val="center"/>
              <w:rPr>
                <w:bCs/>
                <w:color w:val="000000" w:themeColor="text1"/>
                <w:szCs w:val="21"/>
                <w:highlight w:val="none"/>
                <w:lang w:bidi="ar"/>
                <w14:textFill>
                  <w14:solidFill>
                    <w14:schemeClr w14:val="tx1"/>
                  </w14:solidFill>
                </w14:textFill>
              </w:rPr>
            </w:pPr>
            <w:r>
              <w:rPr>
                <w:bCs/>
                <w:color w:val="000000" w:themeColor="text1"/>
                <w:szCs w:val="21"/>
                <w:highlight w:val="none"/>
                <w:lang w:bidi="ar"/>
                <w14:textFill>
                  <w14:solidFill>
                    <w14:schemeClr w14:val="tx1"/>
                  </w14:solidFill>
                </w14:textFill>
              </w:rPr>
              <w:t>所用仪器</w:t>
            </w:r>
          </w:p>
        </w:tc>
        <w:tc>
          <w:tcPr>
            <w:tcW w:w="1523" w:type="dxa"/>
            <w:tcBorders>
              <w:tl2br w:val="nil"/>
              <w:tr2bl w:val="nil"/>
            </w:tcBorders>
            <w:vAlign w:val="center"/>
          </w:tcPr>
          <w:p w14:paraId="7A3743B9">
            <w:pPr>
              <w:adjustRightInd w:val="0"/>
              <w:snapToGrid w:val="0"/>
              <w:jc w:val="center"/>
              <w:rPr>
                <w:bCs/>
                <w:color w:val="000000" w:themeColor="text1"/>
                <w:szCs w:val="21"/>
                <w:highlight w:val="none"/>
                <w:lang w:bidi="ar"/>
                <w14:textFill>
                  <w14:solidFill>
                    <w14:schemeClr w14:val="tx1"/>
                  </w14:solidFill>
                </w14:textFill>
              </w:rPr>
            </w:pPr>
            <w:r>
              <w:rPr>
                <w:bCs/>
                <w:color w:val="000000" w:themeColor="text1"/>
                <w:szCs w:val="21"/>
                <w:highlight w:val="none"/>
                <w:lang w:bidi="ar"/>
                <w14:textFill>
                  <w14:solidFill>
                    <w14:schemeClr w14:val="tx1"/>
                  </w14:solidFill>
                </w14:textFill>
              </w:rPr>
              <w:t>仪器编号</w:t>
            </w:r>
          </w:p>
        </w:tc>
      </w:tr>
      <w:tr w14:paraId="3C9D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9" w:hRule="atLeast"/>
          <w:jc w:val="center"/>
        </w:trPr>
        <w:tc>
          <w:tcPr>
            <w:tcW w:w="1359" w:type="dxa"/>
            <w:tcBorders>
              <w:tl2br w:val="nil"/>
              <w:tr2bl w:val="nil"/>
            </w:tcBorders>
            <w:vAlign w:val="center"/>
          </w:tcPr>
          <w:p w14:paraId="419D504F">
            <w:pPr>
              <w:jc w:val="center"/>
              <w:rPr>
                <w:bCs/>
                <w:color w:val="000000" w:themeColor="text1"/>
                <w:szCs w:val="21"/>
                <w:highlight w:val="none"/>
                <w:lang w:bidi="ar"/>
                <w14:textFill>
                  <w14:solidFill>
                    <w14:schemeClr w14:val="tx1"/>
                  </w14:solidFill>
                </w14:textFill>
              </w:rPr>
            </w:pPr>
            <w:r>
              <w:rPr>
                <w:rFonts w:hint="eastAsia"/>
                <w:bCs/>
                <w:color w:val="000000" w:themeColor="text1"/>
                <w:szCs w:val="21"/>
                <w:highlight w:val="none"/>
                <w:lang w:bidi="ar"/>
                <w14:textFill>
                  <w14:solidFill>
                    <w14:schemeClr w14:val="tx1"/>
                  </w14:solidFill>
                </w14:textFill>
              </w:rPr>
              <w:t>电磁辐射</w:t>
            </w:r>
          </w:p>
        </w:tc>
        <w:tc>
          <w:tcPr>
            <w:tcW w:w="3900" w:type="dxa"/>
            <w:tcBorders>
              <w:tl2br w:val="nil"/>
              <w:tr2bl w:val="nil"/>
            </w:tcBorders>
            <w:vAlign w:val="center"/>
          </w:tcPr>
          <w:p w14:paraId="4B1ECDF3">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交流输变电工程电磁环境监测方法（试行）HJ 681-2013</w:t>
            </w:r>
          </w:p>
        </w:tc>
        <w:tc>
          <w:tcPr>
            <w:tcW w:w="1876" w:type="dxa"/>
            <w:tcBorders>
              <w:tl2br w:val="nil"/>
              <w:tr2bl w:val="nil"/>
            </w:tcBorders>
            <w:vAlign w:val="center"/>
          </w:tcPr>
          <w:p w14:paraId="7951A5A7">
            <w:pPr>
              <w:adjustRightInd w:val="0"/>
              <w:snapToGrid w:val="0"/>
              <w:jc w:val="center"/>
              <w:rPr>
                <w:bCs/>
                <w:color w:val="000000" w:themeColor="text1"/>
                <w:szCs w:val="21"/>
                <w:highlight w:val="none"/>
                <w:lang w:bidi="ar"/>
                <w14:textFill>
                  <w14:solidFill>
                    <w14:schemeClr w14:val="tx1"/>
                  </w14:solidFill>
                </w14:textFill>
              </w:rPr>
            </w:pPr>
            <w:r>
              <w:rPr>
                <w:rFonts w:hint="eastAsia"/>
                <w:bCs/>
                <w:color w:val="000000" w:themeColor="text1"/>
                <w:szCs w:val="21"/>
                <w:highlight w:val="none"/>
                <w:lang w:val="en-US" w:eastAsia="zh-CN" w:bidi="ar"/>
                <w14:textFill>
                  <w14:solidFill>
                    <w14:schemeClr w14:val="tx1"/>
                  </w14:solidFill>
                </w14:textFill>
              </w:rPr>
              <w:t>8053B工频/射频辐射监测仪</w:t>
            </w:r>
          </w:p>
        </w:tc>
        <w:tc>
          <w:tcPr>
            <w:tcW w:w="1523" w:type="dxa"/>
            <w:tcBorders>
              <w:tl2br w:val="nil"/>
              <w:tr2bl w:val="nil"/>
            </w:tcBorders>
            <w:vAlign w:val="center"/>
          </w:tcPr>
          <w:p w14:paraId="4C4CE297">
            <w:pPr>
              <w:jc w:val="center"/>
              <w:rPr>
                <w:bCs/>
                <w:color w:val="000000" w:themeColor="text1"/>
                <w:szCs w:val="21"/>
                <w:highlight w:val="none"/>
                <w:lang w:bidi="ar"/>
                <w14:textFill>
                  <w14:solidFill>
                    <w14:schemeClr w14:val="tx1"/>
                  </w14:solidFill>
                </w14:textFill>
              </w:rPr>
            </w:pPr>
            <w:r>
              <w:rPr>
                <w:rFonts w:hint="eastAsia"/>
                <w:bCs/>
                <w:color w:val="000000" w:themeColor="text1"/>
                <w:szCs w:val="21"/>
                <w:highlight w:val="none"/>
                <w:lang w:val="en-US" w:eastAsia="zh-CN" w:bidi="ar"/>
                <w14:textFill>
                  <w14:solidFill>
                    <w14:schemeClr w14:val="tx1"/>
                  </w14:solidFill>
                </w14:textFill>
              </w:rPr>
              <w:t>XSJS/YQ-163-3</w:t>
            </w:r>
          </w:p>
        </w:tc>
      </w:tr>
    </w:tbl>
    <w:p w14:paraId="058934E4">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97" w:name="_Toc5618"/>
      <w:r>
        <w:rPr>
          <w:rFonts w:hint="eastAsia" w:ascii="Times New Roman" w:hAnsi="Times New Roman" w:eastAsia="宋体"/>
          <w:color w:val="000000" w:themeColor="text1"/>
          <w:sz w:val="24"/>
          <w:szCs w:val="24"/>
          <w:highlight w:val="none"/>
          <w14:textFill>
            <w14:solidFill>
              <w14:schemeClr w14:val="tx1"/>
            </w14:solidFill>
          </w14:textFill>
        </w:rPr>
        <w:t>2.5监测结果</w:t>
      </w:r>
      <w:bookmarkEnd w:id="97"/>
    </w:p>
    <w:p w14:paraId="7BBEBB42">
      <w:pPr>
        <w:pStyle w:val="3"/>
        <w:adjustRightInd w:val="0"/>
        <w:spacing w:after="0" w:line="360" w:lineRule="auto"/>
        <w:ind w:firstLine="480" w:firstLineChars="200"/>
        <w:rPr>
          <w:b/>
          <w:bCs/>
          <w:color w:val="000000" w:themeColor="text1"/>
          <w:sz w:val="22"/>
          <w:szCs w:val="28"/>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本工程电磁环境现状监测结果，见表2.5-1。</w:t>
      </w:r>
    </w:p>
    <w:p w14:paraId="5F22C82A">
      <w:pPr>
        <w:pStyle w:val="3"/>
        <w:adjustRightInd w:val="0"/>
        <w:spacing w:before="120" w:beforeLines="50" w:after="0" w:line="240" w:lineRule="auto"/>
        <w:jc w:val="center"/>
        <w:rPr>
          <w:b/>
          <w:bCs/>
          <w:color w:val="000000" w:themeColor="text1"/>
          <w:sz w:val="22"/>
          <w:szCs w:val="28"/>
          <w:highlight w:val="none"/>
          <w14:textFill>
            <w14:solidFill>
              <w14:schemeClr w14:val="tx1"/>
            </w14:solidFill>
          </w14:textFill>
        </w:rPr>
      </w:pPr>
      <w:r>
        <w:rPr>
          <w:rFonts w:hint="eastAsia"/>
          <w:b/>
          <w:bCs/>
          <w:color w:val="000000" w:themeColor="text1"/>
          <w:sz w:val="22"/>
          <w:szCs w:val="28"/>
          <w:highlight w:val="none"/>
          <w14:textFill>
            <w14:solidFill>
              <w14:schemeClr w14:val="tx1"/>
            </w14:solidFill>
          </w14:textFill>
        </w:rPr>
        <w:t>表2.5-1  电磁环境现状监测结果</w:t>
      </w:r>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840"/>
        <w:gridCol w:w="2131"/>
        <w:gridCol w:w="1844"/>
      </w:tblGrid>
      <w:tr w14:paraId="41F6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13" w:type="pct"/>
            <w:tcBorders>
              <w:tl2br w:val="nil"/>
              <w:tr2bl w:val="nil"/>
            </w:tcBorders>
            <w:vAlign w:val="center"/>
          </w:tcPr>
          <w:p w14:paraId="5465D065">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监测点号</w:t>
            </w:r>
          </w:p>
        </w:tc>
        <w:tc>
          <w:tcPr>
            <w:tcW w:w="2253" w:type="pct"/>
            <w:tcBorders>
              <w:tl2br w:val="nil"/>
              <w:tr2bl w:val="nil"/>
            </w:tcBorders>
            <w:vAlign w:val="center"/>
          </w:tcPr>
          <w:p w14:paraId="60F88410">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测点描述</w:t>
            </w:r>
          </w:p>
        </w:tc>
        <w:tc>
          <w:tcPr>
            <w:tcW w:w="1250" w:type="pct"/>
            <w:tcBorders>
              <w:tl2br w:val="nil"/>
              <w:tr2bl w:val="nil"/>
            </w:tcBorders>
            <w:vAlign w:val="center"/>
          </w:tcPr>
          <w:p w14:paraId="38EF3DB1">
            <w:pPr>
              <w:pStyle w:val="3"/>
              <w:adjustRightInd w:val="0"/>
              <w:spacing w:after="0" w:line="240" w:lineRule="auto"/>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工频</w:t>
            </w:r>
            <w:r>
              <w:rPr>
                <w:color w:val="000000" w:themeColor="text1"/>
                <w:highlight w:val="none"/>
                <w14:textFill>
                  <w14:solidFill>
                    <w14:schemeClr w14:val="tx1"/>
                  </w14:solidFill>
                </w14:textFill>
              </w:rPr>
              <w:t>电场强度</w:t>
            </w:r>
          </w:p>
          <w:p w14:paraId="4D1E8E02">
            <w:pPr>
              <w:pStyle w:val="3"/>
              <w:adjustRightInd w:val="0"/>
              <w:spacing w:after="0" w:line="240" w:lineRule="auto"/>
              <w:jc w:val="center"/>
              <w:rPr>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（V/m）</w:t>
            </w:r>
          </w:p>
        </w:tc>
        <w:tc>
          <w:tcPr>
            <w:tcW w:w="1082" w:type="pct"/>
            <w:tcBorders>
              <w:tl2br w:val="nil"/>
              <w:tr2bl w:val="nil"/>
            </w:tcBorders>
            <w:vAlign w:val="center"/>
          </w:tcPr>
          <w:p w14:paraId="283AD358">
            <w:pPr>
              <w:pStyle w:val="3"/>
              <w:adjustRightInd w:val="0"/>
              <w:spacing w:after="0" w:line="240" w:lineRule="auto"/>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工频</w:t>
            </w:r>
            <w:r>
              <w:rPr>
                <w:color w:val="000000" w:themeColor="text1"/>
                <w:highlight w:val="none"/>
                <w14:textFill>
                  <w14:solidFill>
                    <w14:schemeClr w14:val="tx1"/>
                  </w14:solidFill>
                </w14:textFill>
              </w:rPr>
              <w:t>磁感应强度</w:t>
            </w:r>
          </w:p>
          <w:p w14:paraId="73CAB108">
            <w:pPr>
              <w:pStyle w:val="3"/>
              <w:adjustRightInd w:val="0"/>
              <w:spacing w:after="0" w:line="240" w:lineRule="auto"/>
              <w:jc w:val="center"/>
              <w:rPr>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（μT）</w:t>
            </w:r>
          </w:p>
        </w:tc>
      </w:tr>
      <w:tr w14:paraId="71B3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13" w:type="pct"/>
            <w:tcBorders>
              <w:tl2br w:val="nil"/>
              <w:tr2bl w:val="nil"/>
            </w:tcBorders>
            <w:vAlign w:val="center"/>
          </w:tcPr>
          <w:p w14:paraId="24C67026">
            <w:pPr>
              <w:ind w:left="-63" w:leftChars="-30" w:right="-63" w:rightChars="-3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2253" w:type="pct"/>
            <w:tcBorders>
              <w:tl2br w:val="nil"/>
              <w:tr2bl w:val="nil"/>
            </w:tcBorders>
            <w:vAlign w:val="center"/>
          </w:tcPr>
          <w:p w14:paraId="6BC9381F">
            <w:pPr>
              <w:spacing w:line="24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站站址中心</w:t>
            </w:r>
          </w:p>
        </w:tc>
        <w:tc>
          <w:tcPr>
            <w:tcW w:w="2131" w:type="dxa"/>
            <w:tcBorders>
              <w:tl2br w:val="nil"/>
              <w:tr2bl w:val="nil"/>
            </w:tcBorders>
            <w:vAlign w:val="center"/>
          </w:tcPr>
          <w:p w14:paraId="217AE0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szCs w:val="21"/>
                <w:highlight w:val="none"/>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0.566</w:t>
            </w:r>
          </w:p>
        </w:tc>
        <w:tc>
          <w:tcPr>
            <w:tcW w:w="1844" w:type="dxa"/>
            <w:tcBorders>
              <w:tl2br w:val="nil"/>
              <w:tr2bl w:val="nil"/>
            </w:tcBorders>
            <w:vAlign w:val="center"/>
          </w:tcPr>
          <w:p w14:paraId="020AC1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szCs w:val="21"/>
                <w:highlight w:val="none"/>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0.103</w:t>
            </w:r>
          </w:p>
        </w:tc>
      </w:tr>
      <w:tr w14:paraId="68A0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13" w:type="pct"/>
            <w:tcBorders>
              <w:tl2br w:val="nil"/>
              <w:tr2bl w:val="nil"/>
            </w:tcBorders>
            <w:vAlign w:val="center"/>
          </w:tcPr>
          <w:p w14:paraId="720E9CBB">
            <w:pPr>
              <w:ind w:left="-63" w:leftChars="-30" w:right="-63" w:rightChars="-30"/>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w:t>
            </w:r>
          </w:p>
        </w:tc>
        <w:tc>
          <w:tcPr>
            <w:tcW w:w="3840" w:type="dxa"/>
            <w:tcBorders>
              <w:tl2br w:val="nil"/>
              <w:tr2bl w:val="nil"/>
            </w:tcBorders>
            <w:vAlign w:val="center"/>
          </w:tcPr>
          <w:p w14:paraId="3BFD7A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跨越</w:t>
            </w:r>
            <w:r>
              <w:rPr>
                <w:rFonts w:hint="eastAsia" w:cs="Times New Roman"/>
                <w:color w:val="000000" w:themeColor="text1"/>
                <w:kern w:val="2"/>
                <w:sz w:val="21"/>
                <w:szCs w:val="21"/>
                <w:lang w:val="en-US" w:eastAsia="zh-CN"/>
                <w14:textFill>
                  <w14:solidFill>
                    <w14:schemeClr w14:val="tx1"/>
                  </w14:solidFill>
                </w14:textFill>
              </w:rPr>
              <w:t>35</w:t>
            </w: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kV</w:t>
            </w:r>
            <w:r>
              <w:rPr>
                <w:rFonts w:hint="eastAsia" w:cs="Times New Roman"/>
                <w:color w:val="000000" w:themeColor="text1"/>
                <w:kern w:val="2"/>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kV线</w:t>
            </w:r>
            <w:r>
              <w:rPr>
                <w:rFonts w:hint="eastAsia" w:cs="Times New Roman"/>
                <w:color w:val="000000" w:themeColor="text1"/>
                <w:kern w:val="2"/>
                <w:sz w:val="21"/>
                <w:szCs w:val="21"/>
                <w:lang w:val="en-US" w:eastAsia="zh-CN"/>
                <w14:textFill>
                  <w14:solidFill>
                    <w14:schemeClr w14:val="tx1"/>
                  </w14:solidFill>
                </w14:textFill>
              </w:rPr>
              <w:t>路处</w:t>
            </w:r>
          </w:p>
        </w:tc>
        <w:tc>
          <w:tcPr>
            <w:tcW w:w="2131" w:type="dxa"/>
            <w:tcBorders>
              <w:tl2br w:val="nil"/>
              <w:tr2bl w:val="nil"/>
            </w:tcBorders>
            <w:vAlign w:val="center"/>
          </w:tcPr>
          <w:p w14:paraId="086BB5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8.626</w:t>
            </w:r>
          </w:p>
        </w:tc>
        <w:tc>
          <w:tcPr>
            <w:tcW w:w="1844" w:type="dxa"/>
            <w:tcBorders>
              <w:tl2br w:val="nil"/>
              <w:tr2bl w:val="nil"/>
            </w:tcBorders>
            <w:vAlign w:val="center"/>
          </w:tcPr>
          <w:p w14:paraId="4D092F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0.154</w:t>
            </w:r>
          </w:p>
        </w:tc>
      </w:tr>
      <w:tr w14:paraId="4DCA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13" w:type="pct"/>
            <w:tcBorders>
              <w:tl2br w:val="nil"/>
              <w:tr2bl w:val="nil"/>
            </w:tcBorders>
            <w:vAlign w:val="center"/>
          </w:tcPr>
          <w:p w14:paraId="48753879">
            <w:pPr>
              <w:ind w:left="-63" w:leftChars="-30" w:right="-63" w:rightChars="-30"/>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w:t>
            </w:r>
          </w:p>
        </w:tc>
        <w:tc>
          <w:tcPr>
            <w:tcW w:w="3840" w:type="dxa"/>
            <w:tcBorders>
              <w:tl2br w:val="nil"/>
              <w:tr2bl w:val="nil"/>
            </w:tcBorders>
            <w:vAlign w:val="center"/>
          </w:tcPr>
          <w:p w14:paraId="347C38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color w:val="000000" w:themeColor="text1"/>
                <w:szCs w:val="21"/>
                <w:highlight w:val="none"/>
                <w14:textFill>
                  <w14:solidFill>
                    <w14:schemeClr w14:val="tx1"/>
                  </w14:solidFill>
                </w14:textFill>
              </w:rPr>
            </w:pPr>
            <w:r>
              <w:rPr>
                <w:rFonts w:hint="eastAsia" w:cs="Times New Roman"/>
                <w:color w:val="000000" w:themeColor="text1"/>
                <w:kern w:val="2"/>
                <w:sz w:val="21"/>
                <w:szCs w:val="21"/>
                <w:lang w:val="en-US" w:eastAsia="zh-CN"/>
                <w14:textFill>
                  <w14:solidFill>
                    <w14:schemeClr w14:val="tx1"/>
                  </w14:solidFill>
                </w14:textFill>
              </w:rPr>
              <w:t>跨越公路处</w:t>
            </w:r>
          </w:p>
        </w:tc>
        <w:tc>
          <w:tcPr>
            <w:tcW w:w="2131" w:type="dxa"/>
            <w:tcBorders>
              <w:tl2br w:val="nil"/>
              <w:tr2bl w:val="nil"/>
            </w:tcBorders>
            <w:vAlign w:val="center"/>
          </w:tcPr>
          <w:p w14:paraId="7413D1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1.473</w:t>
            </w:r>
          </w:p>
        </w:tc>
        <w:tc>
          <w:tcPr>
            <w:tcW w:w="1844" w:type="dxa"/>
            <w:tcBorders>
              <w:tl2br w:val="nil"/>
              <w:tr2bl w:val="nil"/>
            </w:tcBorders>
            <w:vAlign w:val="center"/>
          </w:tcPr>
          <w:p w14:paraId="6525FC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0.035</w:t>
            </w:r>
          </w:p>
        </w:tc>
      </w:tr>
      <w:tr w14:paraId="230A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13" w:type="pct"/>
            <w:tcBorders>
              <w:tl2br w:val="nil"/>
              <w:tr2bl w:val="nil"/>
            </w:tcBorders>
            <w:vAlign w:val="center"/>
          </w:tcPr>
          <w:p w14:paraId="2067ED31">
            <w:pPr>
              <w:ind w:left="-63" w:leftChars="-30" w:right="-63" w:rightChars="-30"/>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w:t>
            </w:r>
          </w:p>
        </w:tc>
        <w:tc>
          <w:tcPr>
            <w:tcW w:w="3840" w:type="dxa"/>
            <w:tcBorders>
              <w:tl2br w:val="nil"/>
              <w:tr2bl w:val="nil"/>
            </w:tcBorders>
            <w:vAlign w:val="center"/>
          </w:tcPr>
          <w:p w14:paraId="46D0DA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color w:val="000000" w:themeColor="text1"/>
                <w:szCs w:val="21"/>
                <w:highlight w:val="none"/>
                <w14:textFill>
                  <w14:solidFill>
                    <w14:schemeClr w14:val="tx1"/>
                  </w14:solidFill>
                </w14:textFill>
              </w:rPr>
            </w:pPr>
            <w:r>
              <w:rPr>
                <w:rFonts w:hint="eastAsia" w:cs="Times New Roman"/>
                <w:color w:val="000000" w:themeColor="text1"/>
                <w:kern w:val="2"/>
                <w:sz w:val="21"/>
                <w:szCs w:val="21"/>
                <w:lang w:val="en-US" w:eastAsia="zh-CN"/>
                <w14:textFill>
                  <w14:solidFill>
                    <w14:schemeClr w14:val="tx1"/>
                  </w14:solidFill>
                </w14:textFill>
              </w:rPr>
              <w:t>电磁环境敏感目标处</w:t>
            </w:r>
          </w:p>
        </w:tc>
        <w:tc>
          <w:tcPr>
            <w:tcW w:w="2131" w:type="dxa"/>
            <w:tcBorders>
              <w:tl2br w:val="nil"/>
              <w:tr2bl w:val="nil"/>
            </w:tcBorders>
            <w:vAlign w:val="center"/>
          </w:tcPr>
          <w:p w14:paraId="13B1DA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2.781</w:t>
            </w:r>
          </w:p>
        </w:tc>
        <w:tc>
          <w:tcPr>
            <w:tcW w:w="1844" w:type="dxa"/>
            <w:tcBorders>
              <w:tl2br w:val="nil"/>
              <w:tr2bl w:val="nil"/>
            </w:tcBorders>
            <w:vAlign w:val="center"/>
          </w:tcPr>
          <w:p w14:paraId="456921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0.067</w:t>
            </w:r>
          </w:p>
        </w:tc>
      </w:tr>
    </w:tbl>
    <w:p w14:paraId="0C7C42F5">
      <w:pPr>
        <w:pStyle w:val="3"/>
        <w:adjustRightInd w:val="0"/>
        <w:spacing w:before="120" w:beforeLines="50" w:after="0" w:line="360" w:lineRule="auto"/>
        <w:ind w:firstLine="480" w:firstLineChars="20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由表</w:t>
      </w:r>
      <w:r>
        <w:rPr>
          <w:rFonts w:hint="eastAsia"/>
          <w:color w:val="000000" w:themeColor="text1"/>
          <w:sz w:val="24"/>
          <w:szCs w:val="32"/>
          <w:highlight w:val="none"/>
          <w14:textFill>
            <w14:solidFill>
              <w14:schemeClr w14:val="tx1"/>
            </w14:solidFill>
          </w14:textFill>
        </w:rPr>
        <w:t>2</w:t>
      </w:r>
      <w:r>
        <w:rPr>
          <w:color w:val="000000" w:themeColor="text1"/>
          <w:sz w:val="24"/>
          <w:szCs w:val="32"/>
          <w:highlight w:val="none"/>
          <w14:textFill>
            <w14:solidFill>
              <w14:schemeClr w14:val="tx1"/>
            </w14:solidFill>
          </w14:textFill>
        </w:rPr>
        <w:t>.5-1可知，本项目拟建</w:t>
      </w:r>
      <w:r>
        <w:rPr>
          <w:rFonts w:hint="eastAsia"/>
          <w:color w:val="000000" w:themeColor="text1"/>
          <w:sz w:val="24"/>
          <w:szCs w:val="32"/>
          <w:highlight w:val="none"/>
          <w:lang w:val="en-US" w:eastAsia="zh-CN"/>
          <w14:textFill>
            <w14:solidFill>
              <w14:schemeClr w14:val="tx1"/>
            </w14:solidFill>
          </w14:textFill>
        </w:rPr>
        <w:t>站址</w:t>
      </w:r>
      <w:r>
        <w:rPr>
          <w:color w:val="000000" w:themeColor="text1"/>
          <w:sz w:val="24"/>
          <w:szCs w:val="32"/>
          <w:highlight w:val="none"/>
          <w14:textFill>
            <w14:solidFill>
              <w14:schemeClr w14:val="tx1"/>
            </w14:solidFill>
          </w14:textFill>
        </w:rPr>
        <w:t>监测点位</w:t>
      </w:r>
      <w:r>
        <w:rPr>
          <w:rFonts w:hint="eastAsia"/>
          <w:color w:val="000000" w:themeColor="text1"/>
          <w:sz w:val="24"/>
          <w:szCs w:val="32"/>
          <w:highlight w:val="none"/>
          <w:lang w:eastAsia="zh-CN"/>
          <w14:textFill>
            <w14:solidFill>
              <w14:schemeClr w14:val="tx1"/>
            </w14:solidFill>
          </w14:textFill>
        </w:rPr>
        <w:t>、</w:t>
      </w:r>
      <w:r>
        <w:rPr>
          <w:rFonts w:hint="eastAsia"/>
          <w:color w:val="000000" w:themeColor="text1"/>
          <w:sz w:val="24"/>
          <w:szCs w:val="32"/>
          <w:highlight w:val="none"/>
          <w:lang w:val="en-US" w:eastAsia="zh-CN"/>
          <w14:textFill>
            <w14:solidFill>
              <w14:schemeClr w14:val="tx1"/>
            </w14:solidFill>
          </w14:textFill>
        </w:rPr>
        <w:t>输电线路沿线</w:t>
      </w:r>
      <w:r>
        <w:rPr>
          <w:color w:val="000000" w:themeColor="text1"/>
          <w:sz w:val="24"/>
          <w:szCs w:val="32"/>
          <w:highlight w:val="none"/>
          <w14:textFill>
            <w14:solidFill>
              <w14:schemeClr w14:val="tx1"/>
            </w14:solidFill>
          </w14:textFill>
        </w:rPr>
        <w:t>工频电场强度、工频磁感应强度监测结果满足《电磁环境控制限值》（GB8702-2014）中的（工频电场强度≤4000V/m；工频磁感应强度≤100μT）公众曝露控制限值。</w:t>
      </w:r>
      <w:bookmarkStart w:id="98" w:name="_Toc16390"/>
      <w:bookmarkStart w:id="99" w:name="_Toc14849"/>
      <w:bookmarkStart w:id="100" w:name="_Toc10562"/>
    </w:p>
    <w:p w14:paraId="1621775D">
      <w:pPr>
        <w:pStyle w:val="4"/>
        <w:rPr>
          <w:rFonts w:eastAsia="宋体"/>
          <w:color w:val="000000" w:themeColor="text1"/>
          <w:sz w:val="28"/>
          <w:szCs w:val="28"/>
          <w:highlight w:val="none"/>
          <w14:textFill>
            <w14:solidFill>
              <w14:schemeClr w14:val="tx1"/>
            </w14:solidFill>
          </w14:textFill>
        </w:rPr>
      </w:pPr>
      <w:r>
        <w:rPr>
          <w:rFonts w:hint="eastAsia" w:eastAsia="宋体"/>
          <w:color w:val="000000" w:themeColor="text1"/>
          <w:sz w:val="28"/>
          <w:szCs w:val="28"/>
          <w:highlight w:val="none"/>
          <w14:textFill>
            <w14:solidFill>
              <w14:schemeClr w14:val="tx1"/>
            </w14:solidFill>
          </w14:textFill>
        </w:rPr>
        <w:t>3电磁环境影响预测与评价</w:t>
      </w:r>
      <w:bookmarkEnd w:id="98"/>
      <w:bookmarkEnd w:id="99"/>
      <w:bookmarkEnd w:id="100"/>
    </w:p>
    <w:p w14:paraId="0E44B3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color w:val="000000" w:themeColor="text1"/>
          <w:sz w:val="28"/>
          <w:szCs w:val="36"/>
          <w:lang w:val="en-US" w:eastAsia="zh-CN"/>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本项目变电站的电磁环境影响评价等级为二级，采用类比监测的方式进行预测分析；本项目输电线路的电磁环境影响评价等级为二级，根据《环境影响评价技术导则 输变电》（</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HJ24-2020</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）要求，架空线路电磁环境影响采用模式预测（理论计算）的方式进行预测分析。</w:t>
      </w:r>
    </w:p>
    <w:p w14:paraId="49507CE5">
      <w:pPr>
        <w:pStyle w:val="5"/>
        <w:spacing w:before="0" w:after="0" w:line="360" w:lineRule="auto"/>
        <w:rPr>
          <w:rFonts w:ascii="Times New Roman" w:hAnsi="Times New Roman" w:eastAsia="宋体"/>
          <w:color w:val="000000" w:themeColor="text1"/>
          <w:sz w:val="24"/>
          <w:szCs w:val="24"/>
          <w:highlight w:val="none"/>
          <w14:textFill>
            <w14:solidFill>
              <w14:schemeClr w14:val="tx1"/>
            </w14:solidFill>
          </w14:textFill>
        </w:rPr>
      </w:pPr>
      <w:bookmarkStart w:id="101" w:name="_Toc15120"/>
      <w:r>
        <w:rPr>
          <w:rFonts w:hint="eastAsia" w:ascii="Times New Roman" w:hAnsi="Times New Roman" w:eastAsia="宋体"/>
          <w:color w:val="000000" w:themeColor="text1"/>
          <w:sz w:val="24"/>
          <w:szCs w:val="24"/>
          <w:highlight w:val="none"/>
          <w14:textFill>
            <w14:solidFill>
              <w14:schemeClr w14:val="tx1"/>
            </w14:solidFill>
          </w14:textFill>
        </w:rPr>
        <w:t>3.1升压站电磁环境影响预测</w:t>
      </w:r>
      <w:bookmarkEnd w:id="101"/>
    </w:p>
    <w:p w14:paraId="2FD43D1A">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（1）类比对象分析</w:t>
      </w:r>
    </w:p>
    <w:p w14:paraId="7C38D519">
      <w:pPr>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本次评价新建升压站的电磁环境影响评价预测采用类比监测的方法进行。</w:t>
      </w:r>
    </w:p>
    <w:p w14:paraId="2B542B4D">
      <w:pPr>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磁环境类比测量，从严格意义讲，具有完全相同的设备型号（决定了电压等级及额定功率、额定电流等）、布置情况（决定了距离因子）和环境条件是最理想的，即：不仅有相同的主变数和容量，而且一次主接线也相同，布置情况及环境条件也相同。但是要满足这样的条件是很困难的，要解决这一实际困难，可以在关键部分相同，而达到进行类比的条件。所谓关键部分，就是主要的工频电场、工频磁场产生源。</w:t>
      </w:r>
    </w:p>
    <w:p w14:paraId="570DEF54">
      <w:pPr>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对于围墙外的工频电场，要求最近的高压带电构架布置一致、电压相同，此时就可以认为具有可比性；同样对于变电站围墙外的工频磁场，也要求最近的通流导体的布置和电流相同才具有可比性。实际情况是，工频电场的类比条件相对容易相符，因为变电站主设备和母线电压是基本稳定的，不会随时间和负荷的变化而产生大的变化。但是产生工频磁场的电流</w:t>
      </w:r>
      <w:r>
        <w:rPr>
          <w:rFonts w:hint="eastAsia" w:ascii="宋体" w:hAnsi="宋体"/>
          <w:color w:val="000000" w:themeColor="text1"/>
          <w:sz w:val="24"/>
          <w:highlight w:val="none"/>
          <w:lang w:eastAsia="zh-CN"/>
          <w14:textFill>
            <w14:solidFill>
              <w14:schemeClr w14:val="tx1"/>
            </w14:solidFill>
          </w14:textFill>
        </w:rPr>
        <w:t>却</w:t>
      </w:r>
      <w:r>
        <w:rPr>
          <w:rFonts w:hint="eastAsia" w:ascii="宋体" w:hAnsi="宋体"/>
          <w:color w:val="000000" w:themeColor="text1"/>
          <w:sz w:val="24"/>
          <w:highlight w:val="none"/>
          <w14:textFill>
            <w14:solidFill>
              <w14:schemeClr w14:val="tx1"/>
            </w14:solidFill>
          </w14:textFill>
        </w:rPr>
        <w:t>随负荷变化而有较大的变化。</w:t>
      </w:r>
    </w:p>
    <w:p w14:paraId="4CA358DC">
      <w:pPr>
        <w:spacing w:line="360" w:lineRule="auto"/>
        <w:ind w:firstLine="480" w:firstLineChars="200"/>
        <w:rPr>
          <w:rFonts w:hint="eastAsia" w:ascii="宋体" w:hAnsi="宋体"/>
          <w:b/>
          <w:color w:val="000000" w:themeColor="text1"/>
          <w:szCs w:val="21"/>
          <w:highlight w:val="none"/>
          <w14:textFill>
            <w14:solidFill>
              <w14:schemeClr w14:val="tx1"/>
            </w14:solidFill>
          </w14:textFill>
        </w:rPr>
      </w:pPr>
      <w:r>
        <w:rPr>
          <w:color w:val="000000" w:themeColor="text1"/>
          <w:kern w:val="0"/>
          <w:sz w:val="24"/>
          <w:highlight w:val="none"/>
          <w14:textFill>
            <w14:solidFill>
              <w14:schemeClr w14:val="tx1"/>
            </w14:solidFill>
          </w14:textFill>
        </w:rPr>
        <w:t>根据以往对诸多变电站的电磁环境的类比监测结果，变电站周围的工频磁场场强远小于</w:t>
      </w:r>
      <w:r>
        <w:rPr>
          <w:color w:val="000000" w:themeColor="text1"/>
          <w:sz w:val="24"/>
          <w:highlight w:val="none"/>
          <w14:textFill>
            <w14:solidFill>
              <w14:schemeClr w14:val="tx1"/>
            </w14:solidFill>
          </w14:textFill>
        </w:rPr>
        <w:t>100μT</w:t>
      </w:r>
      <w:r>
        <w:rPr>
          <w:color w:val="000000" w:themeColor="text1"/>
          <w:kern w:val="0"/>
          <w:sz w:val="24"/>
          <w:highlight w:val="none"/>
          <w14:textFill>
            <w14:solidFill>
              <w14:schemeClr w14:val="tx1"/>
            </w14:solidFill>
          </w14:textFill>
        </w:rPr>
        <w:t>的限值标准，而变电站围墙外进出线处的工频电场则有可能超过4</w:t>
      </w:r>
      <w:r>
        <w:rPr>
          <w:rFonts w:hint="eastAsia"/>
          <w:color w:val="000000" w:themeColor="text1"/>
          <w:kern w:val="0"/>
          <w:sz w:val="24"/>
          <w:highlight w:val="none"/>
          <w14:textFill>
            <w14:solidFill>
              <w14:schemeClr w14:val="tx1"/>
            </w14:solidFill>
          </w14:textFill>
        </w:rPr>
        <w:t>kV</w:t>
      </w:r>
      <w:r>
        <w:rPr>
          <w:color w:val="000000" w:themeColor="text1"/>
          <w:kern w:val="0"/>
          <w:sz w:val="24"/>
          <w:highlight w:val="none"/>
          <w14:textFill>
            <w14:solidFill>
              <w14:schemeClr w14:val="tx1"/>
            </w14:solidFill>
          </w14:textFill>
        </w:rPr>
        <w:t>/m。因此本项目主要针对工频电场选取类比对象。</w:t>
      </w:r>
      <w:r>
        <w:rPr>
          <w:color w:val="000000" w:themeColor="text1"/>
          <w:sz w:val="24"/>
          <w:highlight w:val="none"/>
          <w14:textFill>
            <w14:solidFill>
              <w14:schemeClr w14:val="tx1"/>
            </w14:solidFill>
          </w14:textFill>
        </w:rPr>
        <w:t>按照类似工程的主变规模、电压等级、布置形式等原则。现已投入使用的</w:t>
      </w:r>
      <w:r>
        <w:rPr>
          <w:rFonts w:hint="eastAsia"/>
          <w:color w:val="000000" w:themeColor="text1"/>
          <w:sz w:val="24"/>
          <w:highlight w:val="none"/>
          <w:lang w:eastAsia="zh-CN"/>
          <w14:textFill>
            <w14:solidFill>
              <w14:schemeClr w14:val="tx1"/>
            </w14:solidFill>
          </w14:textFill>
        </w:rPr>
        <w:t>张骞</w:t>
      </w:r>
      <w:r>
        <w:rPr>
          <w:rFonts w:hint="eastAsia"/>
          <w:color w:val="000000" w:themeColor="text1"/>
          <w:sz w:val="24"/>
          <w:highlight w:val="none"/>
          <w:lang w:val="en-US" w:eastAsia="zh-CN"/>
          <w14:textFill>
            <w14:solidFill>
              <w14:schemeClr w14:val="tx1"/>
            </w14:solidFill>
          </w14:textFill>
        </w:rPr>
        <w:t>110</w:t>
      </w:r>
      <w:r>
        <w:rPr>
          <w:rFonts w:hint="eastAsia"/>
          <w:color w:val="000000" w:themeColor="text1"/>
          <w:sz w:val="24"/>
          <w:highlight w:val="none"/>
          <w:lang w:eastAsia="zh-CN"/>
          <w14:textFill>
            <w14:solidFill>
              <w14:schemeClr w14:val="tx1"/>
            </w14:solidFill>
          </w14:textFill>
        </w:rPr>
        <w:t>kV升压站</w:t>
      </w:r>
      <w:r>
        <w:rPr>
          <w:color w:val="000000" w:themeColor="text1"/>
          <w:sz w:val="24"/>
          <w:highlight w:val="none"/>
          <w14:textFill>
            <w14:solidFill>
              <w14:schemeClr w14:val="tx1"/>
            </w14:solidFill>
          </w14:textFill>
        </w:rPr>
        <w:t>作为类比对象。该变电站主变压器容量为</w:t>
      </w:r>
      <w:r>
        <w:rPr>
          <w:rFonts w:hint="eastAsia"/>
          <w:color w:val="000000" w:themeColor="text1"/>
          <w:sz w:val="24"/>
          <w:highlight w:val="none"/>
          <w:lang w:val="en-US" w:eastAsia="zh-CN"/>
          <w14:textFill>
            <w14:solidFill>
              <w14:schemeClr w14:val="tx1"/>
            </w14:solidFill>
          </w14:textFill>
        </w:rPr>
        <w:t>2</w:t>
      </w: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15</w:t>
      </w:r>
      <w:r>
        <w:rPr>
          <w:color w:val="000000" w:themeColor="text1"/>
          <w:sz w:val="24"/>
          <w:highlight w:val="none"/>
          <w14:textFill>
            <w14:solidFill>
              <w14:schemeClr w14:val="tx1"/>
            </w14:solidFill>
          </w14:textFill>
        </w:rPr>
        <w:t>0MVA双卷主变，</w:t>
      </w:r>
      <w:r>
        <w:rPr>
          <w:rFonts w:hint="eastAsia"/>
          <w:color w:val="000000" w:themeColor="text1"/>
          <w:sz w:val="24"/>
          <w:highlight w:val="none"/>
          <w:lang w:val="en-US" w:eastAsia="zh-CN"/>
          <w14:textFill>
            <w14:solidFill>
              <w14:schemeClr w14:val="tx1"/>
            </w14:solidFill>
          </w14:textFill>
        </w:rPr>
        <w:t>单台主变规模略大于本项目，</w:t>
      </w:r>
      <w:r>
        <w:rPr>
          <w:color w:val="000000" w:themeColor="text1"/>
          <w:sz w:val="24"/>
          <w:highlight w:val="none"/>
          <w14:textFill>
            <w14:solidFill>
              <w14:schemeClr w14:val="tx1"/>
            </w14:solidFill>
          </w14:textFill>
        </w:rPr>
        <w:t>电压等级为</w:t>
      </w:r>
      <w:r>
        <w:rPr>
          <w:rFonts w:hint="eastAsia"/>
          <w:color w:val="000000" w:themeColor="text1"/>
          <w:sz w:val="24"/>
          <w:highlight w:val="none"/>
          <w:lang w:val="en-US" w:eastAsia="zh-CN"/>
          <w14:textFill>
            <w14:solidFill>
              <w14:schemeClr w14:val="tx1"/>
            </w14:solidFill>
          </w14:textFill>
        </w:rPr>
        <w:t>11</w:t>
      </w:r>
      <w:r>
        <w:rPr>
          <w:color w:val="000000" w:themeColor="text1"/>
          <w:sz w:val="24"/>
          <w:highlight w:val="none"/>
          <w14:textFill>
            <w14:solidFill>
              <w14:schemeClr w14:val="tx1"/>
            </w14:solidFill>
          </w14:textFill>
        </w:rPr>
        <w:t>0</w:t>
      </w:r>
      <w:r>
        <w:rPr>
          <w:rFonts w:hint="eastAsia"/>
          <w:color w:val="000000" w:themeColor="text1"/>
          <w:sz w:val="24"/>
          <w:highlight w:val="none"/>
          <w14:textFill>
            <w14:solidFill>
              <w14:schemeClr w14:val="tx1"/>
            </w14:solidFill>
          </w14:textFill>
        </w:rPr>
        <w:t>kV</w:t>
      </w:r>
      <w:r>
        <w:rPr>
          <w:color w:val="000000" w:themeColor="text1"/>
          <w:sz w:val="24"/>
          <w:highlight w:val="none"/>
          <w14:textFill>
            <w14:solidFill>
              <w14:schemeClr w14:val="tx1"/>
            </w14:solidFill>
          </w14:textFill>
        </w:rPr>
        <w:t>，为户外GIS布置形式。类比变电站与本项目</w:t>
      </w:r>
      <w:r>
        <w:rPr>
          <w:rFonts w:hint="eastAsia"/>
          <w:color w:val="000000" w:themeColor="text1"/>
          <w:sz w:val="24"/>
          <w:highlight w:val="none"/>
          <w14:textFill>
            <w14:solidFill>
              <w14:schemeClr w14:val="tx1"/>
            </w14:solidFill>
          </w14:textFill>
        </w:rPr>
        <w:t>新建升压站工程</w:t>
      </w:r>
      <w:r>
        <w:rPr>
          <w:color w:val="000000" w:themeColor="text1"/>
          <w:sz w:val="24"/>
          <w:highlight w:val="none"/>
          <w14:textFill>
            <w14:solidFill>
              <w14:schemeClr w14:val="tx1"/>
            </w14:solidFill>
          </w14:textFill>
        </w:rPr>
        <w:t>主要技术参数对照，见表3.1-1</w:t>
      </w:r>
      <w:r>
        <w:rPr>
          <w:rFonts w:hint="eastAsia" w:ascii="宋体" w:hAnsi="宋体"/>
          <w:color w:val="000000" w:themeColor="text1"/>
          <w:sz w:val="24"/>
          <w:highlight w:val="none"/>
          <w14:textFill>
            <w14:solidFill>
              <w14:schemeClr w14:val="tx1"/>
            </w14:solidFill>
          </w14:textFill>
        </w:rPr>
        <w:t>。</w:t>
      </w:r>
    </w:p>
    <w:p w14:paraId="3194C69D">
      <w:pPr>
        <w:spacing w:before="120" w:beforeLines="50"/>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表</w:t>
      </w:r>
      <w:r>
        <w:rPr>
          <w:b/>
          <w:color w:val="000000" w:themeColor="text1"/>
          <w:sz w:val="24"/>
          <w:highlight w:val="none"/>
          <w14:textFill>
            <w14:solidFill>
              <w14:schemeClr w14:val="tx1"/>
            </w14:solidFill>
          </w14:textFill>
        </w:rPr>
        <w:t>3.1-1</w:t>
      </w:r>
      <w:r>
        <w:rPr>
          <w:rFonts w:hint="eastAsia" w:ascii="宋体" w:hAnsi="宋体"/>
          <w:b/>
          <w:color w:val="000000" w:themeColor="text1"/>
          <w:sz w:val="24"/>
          <w:highlight w:val="none"/>
          <w14:textFill>
            <w14:solidFill>
              <w14:schemeClr w14:val="tx1"/>
            </w14:solidFill>
          </w14:textFill>
        </w:rPr>
        <w:t xml:space="preserve">  主要技术指标对照表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974"/>
        <w:gridCol w:w="3459"/>
        <w:gridCol w:w="1679"/>
        <w:gridCol w:w="1305"/>
      </w:tblGrid>
      <w:tr w14:paraId="4D08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339454F2">
            <w:pPr>
              <w:spacing w:before="48" w:beforeLines="20" w:after="48" w:afterLines="20"/>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主要指标</w:t>
            </w:r>
          </w:p>
        </w:tc>
        <w:tc>
          <w:tcPr>
            <w:tcW w:w="2054" w:type="pct"/>
            <w:vAlign w:val="center"/>
          </w:tcPr>
          <w:p w14:paraId="5C8B8E92">
            <w:pPr>
              <w:spacing w:before="48" w:beforeLines="20" w:after="48" w:afterLines="20"/>
              <w:jc w:val="center"/>
              <w:rPr>
                <w:b/>
                <w:color w:val="000000" w:themeColor="text1"/>
                <w:szCs w:val="21"/>
                <w:highlight w:val="none"/>
                <w14:textFill>
                  <w14:solidFill>
                    <w14:schemeClr w14:val="tx1"/>
                  </w14:solidFill>
                </w14:textFill>
              </w:rPr>
            </w:pPr>
            <w:r>
              <w:rPr>
                <w:rFonts w:hint="eastAsia"/>
                <w:b/>
                <w:color w:val="000000" w:themeColor="text1"/>
                <w:szCs w:val="21"/>
                <w:highlight w:val="none"/>
                <w:lang w:eastAsia="zh-CN"/>
                <w14:textFill>
                  <w14:solidFill>
                    <w14:schemeClr w14:val="tx1"/>
                  </w14:solidFill>
                </w14:textFill>
              </w:rPr>
              <w:t>张骞</w:t>
            </w:r>
            <w:r>
              <w:rPr>
                <w:rFonts w:hint="eastAsia"/>
                <w:b/>
                <w:color w:val="000000" w:themeColor="text1"/>
                <w:szCs w:val="21"/>
                <w:highlight w:val="none"/>
                <w:lang w:val="en-US" w:eastAsia="zh-CN"/>
                <w14:textFill>
                  <w14:solidFill>
                    <w14:schemeClr w14:val="tx1"/>
                  </w14:solidFill>
                </w14:textFill>
              </w:rPr>
              <w:t>110</w:t>
            </w:r>
            <w:r>
              <w:rPr>
                <w:rFonts w:hint="eastAsia"/>
                <w:b/>
                <w:color w:val="000000" w:themeColor="text1"/>
                <w:szCs w:val="21"/>
                <w:highlight w:val="none"/>
                <w:lang w:eastAsia="zh-CN"/>
                <w14:textFill>
                  <w14:solidFill>
                    <w14:schemeClr w14:val="tx1"/>
                  </w14:solidFill>
                </w14:textFill>
              </w:rPr>
              <w:t>kV升压站</w:t>
            </w:r>
          </w:p>
        </w:tc>
        <w:tc>
          <w:tcPr>
            <w:tcW w:w="997" w:type="pct"/>
            <w:vAlign w:val="center"/>
          </w:tcPr>
          <w:p w14:paraId="70E95BE4">
            <w:pPr>
              <w:spacing w:before="48" w:beforeLines="20" w:after="48" w:afterLines="20"/>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本项目</w:t>
            </w:r>
          </w:p>
        </w:tc>
        <w:tc>
          <w:tcPr>
            <w:tcW w:w="775" w:type="pct"/>
            <w:vAlign w:val="center"/>
          </w:tcPr>
          <w:p w14:paraId="43772666">
            <w:pPr>
              <w:jc w:val="center"/>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可比性分析</w:t>
            </w:r>
          </w:p>
        </w:tc>
      </w:tr>
      <w:tr w14:paraId="6736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6C3385AB">
            <w:pPr>
              <w:spacing w:before="48" w:beforeLines="20" w:after="48" w:afterLine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主变规模</w:t>
            </w:r>
          </w:p>
        </w:tc>
        <w:tc>
          <w:tcPr>
            <w:tcW w:w="2054" w:type="pct"/>
            <w:vAlign w:val="center"/>
          </w:tcPr>
          <w:p w14:paraId="0F9BF287">
            <w:pPr>
              <w:jc w:val="center"/>
              <w:rPr>
                <w:color w:val="000000" w:themeColor="text1"/>
                <w:szCs w:val="21"/>
                <w:highlight w:val="none"/>
                <w14:textFill>
                  <w14:solidFill>
                    <w14:schemeClr w14:val="tx1"/>
                  </w14:solidFill>
                </w14:textFill>
              </w:rPr>
            </w:pPr>
            <w:r>
              <w:rPr>
                <w:rFonts w:hint="default"/>
                <w:color w:val="000000" w:themeColor="text1"/>
                <w:szCs w:val="21"/>
                <w:highlight w:val="none"/>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15</w:t>
            </w:r>
            <w:r>
              <w:rPr>
                <w:rFonts w:hint="default"/>
                <w:color w:val="000000" w:themeColor="text1"/>
                <w:szCs w:val="21"/>
                <w:highlight w:val="none"/>
                <w14:textFill>
                  <w14:solidFill>
                    <w14:schemeClr w14:val="tx1"/>
                  </w14:solidFill>
                </w14:textFill>
              </w:rPr>
              <w:t>0MVA</w:t>
            </w:r>
          </w:p>
        </w:tc>
        <w:tc>
          <w:tcPr>
            <w:tcW w:w="997" w:type="pct"/>
            <w:vAlign w:val="center"/>
          </w:tcPr>
          <w:p w14:paraId="6CB3CCD4">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12</w:t>
            </w:r>
            <w:r>
              <w:rPr>
                <w:rFonts w:hint="eastAsia"/>
                <w:color w:val="000000" w:themeColor="text1"/>
                <w:szCs w:val="21"/>
                <w:highlight w:val="none"/>
                <w14:textFill>
                  <w14:solidFill>
                    <w14:schemeClr w14:val="tx1"/>
                  </w14:solidFill>
                </w14:textFill>
              </w:rPr>
              <w:t>0</w:t>
            </w:r>
            <w:r>
              <w:rPr>
                <w:color w:val="000000" w:themeColor="text1"/>
                <w:szCs w:val="21"/>
                <w:highlight w:val="none"/>
                <w14:textFill>
                  <w14:solidFill>
                    <w14:schemeClr w14:val="tx1"/>
                  </w14:solidFill>
                </w14:textFill>
              </w:rPr>
              <w:t>MVA</w:t>
            </w:r>
          </w:p>
        </w:tc>
        <w:tc>
          <w:tcPr>
            <w:tcW w:w="775" w:type="pct"/>
            <w:vAlign w:val="center"/>
          </w:tcPr>
          <w:p w14:paraId="48C5CC2A">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类比项目大于本项目</w:t>
            </w:r>
          </w:p>
        </w:tc>
      </w:tr>
      <w:tr w14:paraId="2741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25FC3E4F">
            <w:pPr>
              <w:spacing w:before="48" w:beforeLines="20" w:after="48" w:afterLine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电压等级</w:t>
            </w:r>
          </w:p>
        </w:tc>
        <w:tc>
          <w:tcPr>
            <w:tcW w:w="2054" w:type="pct"/>
            <w:vAlign w:val="center"/>
          </w:tcPr>
          <w:p w14:paraId="58EF2C7F">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110</w:t>
            </w:r>
            <w:r>
              <w:rPr>
                <w:rFonts w:hint="eastAsia"/>
                <w:color w:val="000000" w:themeColor="text1"/>
                <w:szCs w:val="21"/>
                <w:highlight w:val="none"/>
                <w:lang w:eastAsia="zh-CN"/>
                <w14:textFill>
                  <w14:solidFill>
                    <w14:schemeClr w14:val="tx1"/>
                  </w14:solidFill>
                </w14:textFill>
              </w:rPr>
              <w:t>kV</w:t>
            </w:r>
          </w:p>
        </w:tc>
        <w:tc>
          <w:tcPr>
            <w:tcW w:w="997" w:type="pct"/>
            <w:vAlign w:val="center"/>
          </w:tcPr>
          <w:p w14:paraId="6A8AEF22">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11</w:t>
            </w:r>
            <w:r>
              <w:rPr>
                <w:rFonts w:hint="eastAsia"/>
                <w:color w:val="000000" w:themeColor="text1"/>
                <w:szCs w:val="21"/>
                <w:highlight w:val="none"/>
                <w14:textFill>
                  <w14:solidFill>
                    <w14:schemeClr w14:val="tx1"/>
                  </w14:solidFill>
                </w14:textFill>
              </w:rPr>
              <w:t>0kV</w:t>
            </w:r>
          </w:p>
        </w:tc>
        <w:tc>
          <w:tcPr>
            <w:tcW w:w="775" w:type="pct"/>
            <w:vAlign w:val="center"/>
          </w:tcPr>
          <w:p w14:paraId="6F04D3E0">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一致</w:t>
            </w:r>
          </w:p>
        </w:tc>
      </w:tr>
      <w:tr w14:paraId="2B1B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08A0A01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主变布置形式</w:t>
            </w:r>
          </w:p>
        </w:tc>
        <w:tc>
          <w:tcPr>
            <w:tcW w:w="2054" w:type="pct"/>
            <w:vAlign w:val="center"/>
          </w:tcPr>
          <w:p w14:paraId="1529850B">
            <w:pPr>
              <w:jc w:val="center"/>
              <w:rPr>
                <w:color w:val="000000" w:themeColor="text1"/>
                <w:szCs w:val="21"/>
                <w:highlight w:val="none"/>
                <w14:textFill>
                  <w14:solidFill>
                    <w14:schemeClr w14:val="tx1"/>
                  </w14:solidFill>
                </w14:textFill>
              </w:rPr>
            </w:pPr>
            <w:r>
              <w:rPr>
                <w:rFonts w:hint="default"/>
                <w:color w:val="000000" w:themeColor="text1"/>
                <w:szCs w:val="21"/>
                <w:highlight w:val="none"/>
                <w14:textFill>
                  <w14:solidFill>
                    <w14:schemeClr w14:val="tx1"/>
                  </w14:solidFill>
                </w14:textFill>
              </w:rPr>
              <w:t>户外</w:t>
            </w:r>
          </w:p>
        </w:tc>
        <w:tc>
          <w:tcPr>
            <w:tcW w:w="997" w:type="pct"/>
            <w:vAlign w:val="center"/>
          </w:tcPr>
          <w:p w14:paraId="74E1BACE">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户外</w:t>
            </w:r>
          </w:p>
        </w:tc>
        <w:tc>
          <w:tcPr>
            <w:tcW w:w="775" w:type="pct"/>
            <w:vAlign w:val="center"/>
          </w:tcPr>
          <w:p w14:paraId="12C85970">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主变布置形式相同</w:t>
            </w:r>
          </w:p>
        </w:tc>
      </w:tr>
      <w:tr w14:paraId="638A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172" w:type="pct"/>
            <w:vAlign w:val="center"/>
          </w:tcPr>
          <w:p w14:paraId="01F9C27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占地面积</w:t>
            </w:r>
          </w:p>
        </w:tc>
        <w:tc>
          <w:tcPr>
            <w:tcW w:w="2054" w:type="pct"/>
            <w:vAlign w:val="center"/>
          </w:tcPr>
          <w:p w14:paraId="65A58965">
            <w:pPr>
              <w:jc w:val="center"/>
              <w:rPr>
                <w:color w:val="000000" w:themeColor="text1"/>
                <w:szCs w:val="21"/>
                <w:highlight w:val="none"/>
                <w14:textFill>
                  <w14:solidFill>
                    <w14:schemeClr w14:val="tx1"/>
                  </w14:solidFill>
                </w14:textFill>
              </w:rPr>
            </w:pPr>
            <w:r>
              <w:rPr>
                <w:rFonts w:hint="default"/>
                <w:color w:val="000000" w:themeColor="text1"/>
                <w:szCs w:val="21"/>
                <w:highlight w:val="none"/>
                <w14:textFill>
                  <w14:solidFill>
                    <w14:schemeClr w14:val="tx1"/>
                  </w14:solidFill>
                </w14:textFill>
              </w:rPr>
              <w:t>3</w:t>
            </w:r>
            <w:r>
              <w:rPr>
                <w:rFonts w:hint="eastAsia"/>
                <w:color w:val="000000" w:themeColor="text1"/>
                <w:szCs w:val="21"/>
                <w:highlight w:val="none"/>
                <w:lang w:val="en-US" w:eastAsia="zh-CN"/>
                <w14:textFill>
                  <w14:solidFill>
                    <w14:schemeClr w14:val="tx1"/>
                  </w14:solidFill>
                </w14:textFill>
              </w:rPr>
              <w:t>5621</w:t>
            </w:r>
            <w:r>
              <w:rPr>
                <w:rFonts w:hint="default"/>
                <w:color w:val="000000" w:themeColor="text1"/>
                <w:szCs w:val="21"/>
                <w:highlight w:val="none"/>
                <w14:textFill>
                  <w14:solidFill>
                    <w14:schemeClr w14:val="tx1"/>
                  </w14:solidFill>
                </w14:textFill>
              </w:rPr>
              <w:t>m</w:t>
            </w:r>
            <w:r>
              <w:rPr>
                <w:rFonts w:hint="default"/>
                <w:color w:val="000000" w:themeColor="text1"/>
                <w:szCs w:val="21"/>
                <w:highlight w:val="none"/>
                <w:vertAlign w:val="superscript"/>
                <w14:textFill>
                  <w14:solidFill>
                    <w14:schemeClr w14:val="tx1"/>
                  </w14:solidFill>
                </w14:textFill>
              </w:rPr>
              <w:t>2</w:t>
            </w:r>
          </w:p>
        </w:tc>
        <w:tc>
          <w:tcPr>
            <w:tcW w:w="997" w:type="pct"/>
            <w:vAlign w:val="center"/>
          </w:tcPr>
          <w:p w14:paraId="1A94DCCF">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33350</w:t>
            </w:r>
            <w:r>
              <w:rPr>
                <w:color w:val="000000" w:themeColor="text1"/>
                <w:szCs w:val="21"/>
                <w:highlight w:val="none"/>
                <w14:textFill>
                  <w14:solidFill>
                    <w14:schemeClr w14:val="tx1"/>
                  </w14:solidFill>
                </w14:textFill>
              </w:rPr>
              <w:t>m</w:t>
            </w:r>
            <w:r>
              <w:rPr>
                <w:color w:val="000000" w:themeColor="text1"/>
                <w:szCs w:val="21"/>
                <w:highlight w:val="none"/>
                <w:vertAlign w:val="superscript"/>
                <w14:textFill>
                  <w14:solidFill>
                    <w14:schemeClr w14:val="tx1"/>
                  </w14:solidFill>
                </w14:textFill>
              </w:rPr>
              <w:t>2</w:t>
            </w:r>
          </w:p>
        </w:tc>
        <w:tc>
          <w:tcPr>
            <w:tcW w:w="775" w:type="pct"/>
            <w:vAlign w:val="center"/>
          </w:tcPr>
          <w:p w14:paraId="5BE7B801">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类比项目</w:t>
            </w:r>
            <w:r>
              <w:rPr>
                <w:rFonts w:hint="eastAsia"/>
                <w:color w:val="000000" w:themeColor="text1"/>
                <w:szCs w:val="21"/>
                <w:highlight w:val="none"/>
                <w:lang w:val="en-US" w:eastAsia="zh-CN"/>
                <w14:textFill>
                  <w14:solidFill>
                    <w14:schemeClr w14:val="tx1"/>
                  </w14:solidFill>
                </w14:textFill>
              </w:rPr>
              <w:t>略</w:t>
            </w:r>
            <w:r>
              <w:rPr>
                <w:color w:val="000000" w:themeColor="text1"/>
                <w:szCs w:val="21"/>
                <w:highlight w:val="none"/>
                <w14:textFill>
                  <w14:solidFill>
                    <w14:schemeClr w14:val="tx1"/>
                  </w14:solidFill>
                </w14:textFill>
              </w:rPr>
              <w:t>大于本项目</w:t>
            </w:r>
          </w:p>
        </w:tc>
      </w:tr>
      <w:tr w14:paraId="5009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6452497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220</w:t>
            </w:r>
            <w:r>
              <w:rPr>
                <w:rFonts w:hint="eastAsia"/>
                <w:color w:val="000000" w:themeColor="text1"/>
                <w:szCs w:val="21"/>
                <w:highlight w:val="none"/>
                <w14:textFill>
                  <w14:solidFill>
                    <w14:schemeClr w14:val="tx1"/>
                  </w14:solidFill>
                </w14:textFill>
              </w:rPr>
              <w:t>kV</w:t>
            </w:r>
            <w:r>
              <w:rPr>
                <w:color w:val="000000" w:themeColor="text1"/>
                <w:szCs w:val="21"/>
                <w:highlight w:val="none"/>
                <w14:textFill>
                  <w14:solidFill>
                    <w14:schemeClr w14:val="tx1"/>
                  </w14:solidFill>
                </w14:textFill>
              </w:rPr>
              <w:t>/110</w:t>
            </w:r>
            <w:r>
              <w:rPr>
                <w:rFonts w:hint="eastAsia"/>
                <w:color w:val="000000" w:themeColor="text1"/>
                <w:szCs w:val="21"/>
                <w:highlight w:val="none"/>
                <w14:textFill>
                  <w14:solidFill>
                    <w14:schemeClr w14:val="tx1"/>
                  </w14:solidFill>
                </w14:textFill>
              </w:rPr>
              <w:t>kV</w:t>
            </w:r>
            <w:r>
              <w:rPr>
                <w:color w:val="000000" w:themeColor="text1"/>
                <w:szCs w:val="21"/>
                <w:highlight w:val="none"/>
                <w14:textFill>
                  <w14:solidFill>
                    <w14:schemeClr w14:val="tx1"/>
                  </w14:solidFill>
                </w14:textFill>
              </w:rPr>
              <w:t>配电装置</w:t>
            </w:r>
          </w:p>
        </w:tc>
        <w:tc>
          <w:tcPr>
            <w:tcW w:w="2054" w:type="pct"/>
            <w:vAlign w:val="center"/>
          </w:tcPr>
          <w:p w14:paraId="661B9A39">
            <w:pPr>
              <w:jc w:val="center"/>
              <w:rPr>
                <w:color w:val="000000" w:themeColor="text1"/>
                <w:szCs w:val="21"/>
                <w:highlight w:val="none"/>
                <w14:textFill>
                  <w14:solidFill>
                    <w14:schemeClr w14:val="tx1"/>
                  </w14:solidFill>
                </w14:textFill>
              </w:rPr>
            </w:pPr>
            <w:r>
              <w:rPr>
                <w:rFonts w:hint="default"/>
                <w:color w:val="000000" w:themeColor="text1"/>
                <w:szCs w:val="21"/>
                <w:highlight w:val="none"/>
                <w14:textFill>
                  <w14:solidFill>
                    <w14:schemeClr w14:val="tx1"/>
                  </w14:solidFill>
                </w14:textFill>
              </w:rPr>
              <w:t>户外布置GIS</w:t>
            </w:r>
          </w:p>
        </w:tc>
        <w:tc>
          <w:tcPr>
            <w:tcW w:w="997" w:type="pct"/>
            <w:vAlign w:val="center"/>
          </w:tcPr>
          <w:p w14:paraId="2DEC682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户外布置GIS</w:t>
            </w:r>
          </w:p>
        </w:tc>
        <w:tc>
          <w:tcPr>
            <w:tcW w:w="775" w:type="pct"/>
            <w:vAlign w:val="center"/>
          </w:tcPr>
          <w:p w14:paraId="6163E306">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一致</w:t>
            </w:r>
          </w:p>
        </w:tc>
      </w:tr>
      <w:tr w14:paraId="5AAA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110E58C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220</w:t>
            </w:r>
            <w:r>
              <w:rPr>
                <w:rFonts w:hint="eastAsia"/>
                <w:color w:val="000000" w:themeColor="text1"/>
                <w:szCs w:val="21"/>
                <w:highlight w:val="none"/>
                <w14:textFill>
                  <w14:solidFill>
                    <w14:schemeClr w14:val="tx1"/>
                  </w14:solidFill>
                </w14:textFill>
              </w:rPr>
              <w:t>kV</w:t>
            </w:r>
            <w:r>
              <w:rPr>
                <w:color w:val="000000" w:themeColor="text1"/>
                <w:szCs w:val="21"/>
                <w:highlight w:val="none"/>
                <w14:textFill>
                  <w14:solidFill>
                    <w14:schemeClr w14:val="tx1"/>
                  </w14:solidFill>
                </w14:textFill>
              </w:rPr>
              <w:t>/110</w:t>
            </w:r>
            <w:r>
              <w:rPr>
                <w:rFonts w:hint="eastAsia"/>
                <w:color w:val="000000" w:themeColor="text1"/>
                <w:szCs w:val="21"/>
                <w:highlight w:val="none"/>
                <w14:textFill>
                  <w14:solidFill>
                    <w14:schemeClr w14:val="tx1"/>
                  </w14:solidFill>
                </w14:textFill>
              </w:rPr>
              <w:t>kV</w:t>
            </w:r>
            <w:r>
              <w:rPr>
                <w:color w:val="000000" w:themeColor="text1"/>
                <w:szCs w:val="21"/>
                <w:highlight w:val="none"/>
                <w14:textFill>
                  <w14:solidFill>
                    <w14:schemeClr w14:val="tx1"/>
                  </w14:solidFill>
                </w14:textFill>
              </w:rPr>
              <w:t>线路</w:t>
            </w:r>
          </w:p>
          <w:p w14:paraId="6E6FE51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进出回数</w:t>
            </w:r>
          </w:p>
        </w:tc>
        <w:tc>
          <w:tcPr>
            <w:tcW w:w="2054" w:type="pct"/>
            <w:vAlign w:val="center"/>
          </w:tcPr>
          <w:p w14:paraId="39370A9E">
            <w:pPr>
              <w:jc w:val="center"/>
              <w:rPr>
                <w:color w:val="000000" w:themeColor="text1"/>
                <w:szCs w:val="21"/>
                <w:highlight w:val="none"/>
                <w14:textFill>
                  <w14:solidFill>
                    <w14:schemeClr w14:val="tx1"/>
                  </w14:solidFill>
                </w14:textFill>
              </w:rPr>
            </w:pPr>
            <w:r>
              <w:rPr>
                <w:rFonts w:hint="default"/>
                <w:color w:val="000000" w:themeColor="text1"/>
                <w:szCs w:val="21"/>
                <w:highlight w:val="none"/>
                <w14:textFill>
                  <w14:solidFill>
                    <w14:schemeClr w14:val="tx1"/>
                  </w14:solidFill>
                </w14:textFill>
              </w:rPr>
              <w:t>110</w:t>
            </w:r>
            <w:r>
              <w:rPr>
                <w:rFonts w:hint="eastAsia"/>
                <w:color w:val="000000" w:themeColor="text1"/>
                <w:szCs w:val="21"/>
                <w:highlight w:val="none"/>
                <w:lang w:eastAsia="zh-CN"/>
                <w14:textFill>
                  <w14:solidFill>
                    <w14:schemeClr w14:val="tx1"/>
                  </w14:solidFill>
                </w14:textFill>
              </w:rPr>
              <w:t>kV</w:t>
            </w:r>
            <w:r>
              <w:rPr>
                <w:rFonts w:hint="default"/>
                <w:color w:val="000000" w:themeColor="text1"/>
                <w:szCs w:val="21"/>
                <w:highlight w:val="none"/>
                <w14:textFill>
                  <w14:solidFill>
                    <w14:schemeClr w14:val="tx1"/>
                  </w14:solidFill>
                </w14:textFill>
              </w:rPr>
              <w:t>出线：</w:t>
            </w:r>
            <w:r>
              <w:rPr>
                <w:rFonts w:hint="eastAsia"/>
                <w:color w:val="000000" w:themeColor="text1"/>
                <w:szCs w:val="21"/>
                <w:highlight w:val="none"/>
                <w:lang w:val="en-US" w:eastAsia="zh-CN"/>
                <w14:textFill>
                  <w14:solidFill>
                    <w14:schemeClr w14:val="tx1"/>
                  </w14:solidFill>
                </w14:textFill>
              </w:rPr>
              <w:t>1</w:t>
            </w:r>
            <w:r>
              <w:rPr>
                <w:rFonts w:hint="default"/>
                <w:color w:val="000000" w:themeColor="text1"/>
                <w:szCs w:val="21"/>
                <w:highlight w:val="none"/>
                <w14:textFill>
                  <w14:solidFill>
                    <w14:schemeClr w14:val="tx1"/>
                  </w14:solidFill>
                </w14:textFill>
              </w:rPr>
              <w:t>回；</w:t>
            </w:r>
          </w:p>
        </w:tc>
        <w:tc>
          <w:tcPr>
            <w:tcW w:w="997" w:type="pct"/>
            <w:vAlign w:val="center"/>
          </w:tcPr>
          <w:p w14:paraId="047A1B37">
            <w:pPr>
              <w:ind w:right="-63" w:rightChars="-30"/>
              <w:jc w:val="left"/>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110</w:t>
            </w:r>
            <w:r>
              <w:rPr>
                <w:rFonts w:hint="eastAsia"/>
                <w:color w:val="000000" w:themeColor="text1"/>
                <w:szCs w:val="21"/>
                <w:highlight w:val="none"/>
                <w14:textFill>
                  <w14:solidFill>
                    <w14:schemeClr w14:val="tx1"/>
                  </w14:solidFill>
                </w14:textFill>
              </w:rPr>
              <w:t>kV</w:t>
            </w:r>
            <w:r>
              <w:rPr>
                <w:color w:val="000000" w:themeColor="text1"/>
                <w:szCs w:val="21"/>
                <w:highlight w:val="none"/>
                <w14:textFill>
                  <w14:solidFill>
                    <w14:schemeClr w14:val="tx1"/>
                  </w14:solidFill>
                </w14:textFill>
              </w:rPr>
              <w:t>出线：</w:t>
            </w:r>
            <w:r>
              <w:rPr>
                <w:rFonts w:hint="eastAsia"/>
                <w:color w:val="000000" w:themeColor="text1"/>
                <w:szCs w:val="21"/>
                <w:highlight w:val="none"/>
                <w:lang w:val="en-US" w:eastAsia="zh-CN"/>
                <w14:textFill>
                  <w14:solidFill>
                    <w14:schemeClr w14:val="tx1"/>
                  </w14:solidFill>
                </w14:textFill>
              </w:rPr>
              <w:t>1</w:t>
            </w:r>
            <w:r>
              <w:rPr>
                <w:color w:val="000000" w:themeColor="text1"/>
                <w:szCs w:val="21"/>
                <w:highlight w:val="none"/>
                <w14:textFill>
                  <w14:solidFill>
                    <w14:schemeClr w14:val="tx1"/>
                  </w14:solidFill>
                </w14:textFill>
              </w:rPr>
              <w:t>回；</w:t>
            </w:r>
          </w:p>
        </w:tc>
        <w:tc>
          <w:tcPr>
            <w:tcW w:w="775" w:type="pct"/>
            <w:vAlign w:val="center"/>
          </w:tcPr>
          <w:p w14:paraId="5B72B584">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一致</w:t>
            </w:r>
          </w:p>
        </w:tc>
      </w:tr>
      <w:tr w14:paraId="0419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5726A5B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运行工况</w:t>
            </w:r>
          </w:p>
        </w:tc>
        <w:tc>
          <w:tcPr>
            <w:tcW w:w="3459" w:type="dxa"/>
            <w:vAlign w:val="center"/>
          </w:tcPr>
          <w:p w14:paraId="18719EB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63" w:leftChars="-30" w:right="-63" w:rightChars="-3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运行电压：118.35kV，</w:t>
            </w:r>
          </w:p>
          <w:p w14:paraId="432C7B5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63" w:leftChars="-30" w:right="-63" w:rightChars="-30"/>
              <w:jc w:val="center"/>
              <w:textAlignment w:val="auto"/>
              <w:rPr>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运行电流：15.86A</w:t>
            </w:r>
          </w:p>
        </w:tc>
        <w:tc>
          <w:tcPr>
            <w:tcW w:w="997" w:type="pct"/>
            <w:vAlign w:val="center"/>
          </w:tcPr>
          <w:p w14:paraId="29C067B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775" w:type="pct"/>
            <w:vAlign w:val="center"/>
          </w:tcPr>
          <w:p w14:paraId="5556F5A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494A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172" w:type="pct"/>
            <w:vAlign w:val="center"/>
          </w:tcPr>
          <w:p w14:paraId="6CC4282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环境条件</w:t>
            </w:r>
          </w:p>
        </w:tc>
        <w:tc>
          <w:tcPr>
            <w:tcW w:w="3459" w:type="dxa"/>
            <w:vAlign w:val="center"/>
          </w:tcPr>
          <w:p w14:paraId="3C44F64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63" w:leftChars="-30" w:right="-63" w:rightChars="-30"/>
              <w:jc w:val="center"/>
              <w:textAlignment w:val="auto"/>
              <w:rPr>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喀什地区</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气候干旱少雨</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c>
          <w:tcPr>
            <w:tcW w:w="997" w:type="pct"/>
            <w:vAlign w:val="center"/>
          </w:tcPr>
          <w:p w14:paraId="3CA8A562">
            <w:pPr>
              <w:jc w:val="left"/>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吐鲁番市</w:t>
            </w:r>
            <w:r>
              <w:rPr>
                <w:rFonts w:hint="eastAsia"/>
                <w:color w:val="000000" w:themeColor="text1"/>
                <w:kern w:val="0"/>
                <w:szCs w:val="21"/>
                <w:highlight w:val="none"/>
                <w:lang w:val="en-US" w:eastAsia="zh-CN"/>
                <w14:textFill>
                  <w14:solidFill>
                    <w14:schemeClr w14:val="tx1"/>
                  </w14:solidFill>
                </w14:textFill>
              </w:rPr>
              <w:t>托克逊</w:t>
            </w:r>
            <w:r>
              <w:rPr>
                <w:rFonts w:hint="eastAsia"/>
                <w:color w:val="000000" w:themeColor="text1"/>
                <w:kern w:val="0"/>
                <w:szCs w:val="21"/>
                <w:highlight w:val="none"/>
                <w14:textFill>
                  <w14:solidFill>
                    <w14:schemeClr w14:val="tx1"/>
                  </w14:solidFill>
                </w14:textFill>
              </w:rPr>
              <w:t>县，</w:t>
            </w:r>
            <w:r>
              <w:rPr>
                <w:color w:val="000000" w:themeColor="text1"/>
                <w:szCs w:val="21"/>
                <w:highlight w:val="none"/>
                <w14:textFill>
                  <w14:solidFill>
                    <w14:schemeClr w14:val="tx1"/>
                  </w14:solidFill>
                </w14:textFill>
              </w:rPr>
              <w:t>气候干旱</w:t>
            </w:r>
            <w:r>
              <w:rPr>
                <w:rFonts w:hint="eastAsia"/>
                <w:color w:val="000000" w:themeColor="text1"/>
                <w:szCs w:val="21"/>
                <w:highlight w:val="none"/>
                <w14:textFill>
                  <w14:solidFill>
                    <w14:schemeClr w14:val="tx1"/>
                  </w14:solidFill>
                </w14:textFill>
              </w:rPr>
              <w:t>少雨、</w:t>
            </w:r>
            <w:r>
              <w:rPr>
                <w:color w:val="000000" w:themeColor="text1"/>
                <w:szCs w:val="21"/>
                <w:highlight w:val="none"/>
                <w14:textFill>
                  <w14:solidFill>
                    <w14:schemeClr w14:val="tx1"/>
                  </w14:solidFill>
                </w14:textFill>
              </w:rPr>
              <w:t>戈壁</w:t>
            </w:r>
            <w:r>
              <w:rPr>
                <w:rFonts w:hint="eastAsia"/>
                <w:color w:val="000000" w:themeColor="text1"/>
                <w:szCs w:val="21"/>
                <w:highlight w:val="none"/>
                <w14:textFill>
                  <w14:solidFill>
                    <w14:schemeClr w14:val="tx1"/>
                  </w14:solidFill>
                </w14:textFill>
              </w:rPr>
              <w:t>荒漠地貌</w:t>
            </w:r>
          </w:p>
        </w:tc>
        <w:tc>
          <w:tcPr>
            <w:tcW w:w="775" w:type="pct"/>
            <w:vAlign w:val="center"/>
          </w:tcPr>
          <w:p w14:paraId="2CDD8528">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环境条件基本一致</w:t>
            </w:r>
          </w:p>
        </w:tc>
      </w:tr>
    </w:tbl>
    <w:p w14:paraId="3BC342F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在同等电压等级，典型设计的各类</w:t>
      </w:r>
      <w:r>
        <w:rPr>
          <w:rFonts w:hint="eastAsia"/>
          <w:color w:val="000000" w:themeColor="text1"/>
          <w:sz w:val="24"/>
          <w:highlight w:val="none"/>
          <w:lang w:val="en-US" w:eastAsia="zh-CN"/>
          <w14:textFill>
            <w14:solidFill>
              <w14:schemeClr w14:val="tx1"/>
            </w14:solidFill>
          </w14:textFill>
        </w:rPr>
        <w:t>升压</w:t>
      </w:r>
      <w:r>
        <w:rPr>
          <w:color w:val="000000" w:themeColor="text1"/>
          <w:sz w:val="24"/>
          <w:highlight w:val="none"/>
          <w14:textFill>
            <w14:solidFill>
              <w14:schemeClr w14:val="tx1"/>
            </w14:solidFill>
          </w14:textFill>
        </w:rPr>
        <w:t>站，相互间即具有一定可比性，从表3</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-1分析可知，类比升压站和本工程</w:t>
      </w:r>
      <w:r>
        <w:rPr>
          <w:rFonts w:hint="eastAsia"/>
          <w:color w:val="000000" w:themeColor="text1"/>
          <w:sz w:val="24"/>
          <w:highlight w:val="none"/>
          <w:lang w:val="en-US" w:eastAsia="zh-CN"/>
          <w14:textFill>
            <w14:solidFill>
              <w14:schemeClr w14:val="tx1"/>
            </w14:solidFill>
          </w14:textFill>
        </w:rPr>
        <w:t>升压</w:t>
      </w:r>
      <w:r>
        <w:rPr>
          <w:color w:val="000000" w:themeColor="text1"/>
          <w:sz w:val="24"/>
          <w:highlight w:val="none"/>
          <w14:textFill>
            <w14:solidFill>
              <w14:schemeClr w14:val="tx1"/>
            </w14:solidFill>
          </w14:textFill>
        </w:rPr>
        <w:t>站的电压等级、布置方式、环境条件、基本一致，主变规模大于本项目，类比结果保守可信。因此，类比站主变工频场、磁感应强度磁场的监测结果用于本工程分析是合理的，类比可行。</w:t>
      </w:r>
    </w:p>
    <w:p w14:paraId="4CECB4C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）类比工程监测项目</w:t>
      </w:r>
    </w:p>
    <w:p w14:paraId="2FE109B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工频电场、工频磁场：距离地面1.5m高处工频电场强度、工频磁场强度。</w:t>
      </w:r>
    </w:p>
    <w:p w14:paraId="673EAB3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）类比工程监测方法</w:t>
      </w:r>
    </w:p>
    <w:p w14:paraId="6A3C235E">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监测方法采用《交流输变电工程电磁环境监测方法（试行）》（HJ681-2013）中所规定的工频电场、工频磁场的测试方法进行。</w:t>
      </w:r>
    </w:p>
    <w:p w14:paraId="2025AFAE">
      <w:pPr>
        <w:spacing w:line="360" w:lineRule="auto"/>
        <w:ind w:firstLine="480" w:firstLineChars="200"/>
        <w:rPr>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）类比工程监测仪器</w:t>
      </w:r>
    </w:p>
    <w:p w14:paraId="60D17A94">
      <w:pPr>
        <w:spacing w:before="120" w:beforeLines="50"/>
        <w:jc w:val="center"/>
        <w:rPr>
          <w:b/>
          <w:bCs/>
          <w:color w:val="000000" w:themeColor="text1"/>
          <w:kern w:val="0"/>
          <w:sz w:val="24"/>
          <w:highlight w:val="none"/>
          <w:lang w:bidi="ar"/>
          <w14:textFill>
            <w14:solidFill>
              <w14:schemeClr w14:val="tx1"/>
            </w14:solidFill>
          </w14:textFill>
        </w:rPr>
      </w:pPr>
      <w:r>
        <w:rPr>
          <w:rFonts w:hint="eastAsia"/>
          <w:b/>
          <w:bCs/>
          <w:color w:val="000000" w:themeColor="text1"/>
          <w:kern w:val="0"/>
          <w:sz w:val="24"/>
          <w:highlight w:val="none"/>
          <w:lang w:bidi="ar"/>
          <w14:textFill>
            <w14:solidFill>
              <w14:schemeClr w14:val="tx1"/>
            </w14:solidFill>
          </w14:textFill>
        </w:rPr>
        <w:t>表3.1-2  监测仪器参数表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70"/>
        <w:gridCol w:w="1164"/>
        <w:gridCol w:w="1672"/>
        <w:gridCol w:w="1887"/>
        <w:gridCol w:w="2943"/>
      </w:tblGrid>
      <w:tr w14:paraId="1CBE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02" w:type="pct"/>
            <w:noWrap w:val="0"/>
            <w:tcMar>
              <w:top w:w="0" w:type="dxa"/>
              <w:left w:w="0" w:type="dxa"/>
              <w:bottom w:w="0" w:type="dxa"/>
              <w:right w:w="0" w:type="dxa"/>
            </w:tcMar>
            <w:vAlign w:val="center"/>
          </w:tcPr>
          <w:p w14:paraId="1FC3DA6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序号</w:t>
            </w:r>
          </w:p>
        </w:tc>
        <w:tc>
          <w:tcPr>
            <w:tcW w:w="698" w:type="pct"/>
            <w:noWrap w:val="0"/>
            <w:tcMar>
              <w:top w:w="0" w:type="dxa"/>
              <w:left w:w="0" w:type="dxa"/>
              <w:bottom w:w="0" w:type="dxa"/>
              <w:right w:w="0" w:type="dxa"/>
            </w:tcMar>
            <w:vAlign w:val="center"/>
          </w:tcPr>
          <w:p w14:paraId="2F53312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监测项目</w:t>
            </w:r>
          </w:p>
        </w:tc>
        <w:tc>
          <w:tcPr>
            <w:tcW w:w="1002" w:type="pct"/>
            <w:noWrap w:val="0"/>
            <w:tcMar>
              <w:top w:w="0" w:type="dxa"/>
              <w:left w:w="0" w:type="dxa"/>
              <w:bottom w:w="0" w:type="dxa"/>
              <w:right w:w="0" w:type="dxa"/>
            </w:tcMar>
            <w:vAlign w:val="center"/>
          </w:tcPr>
          <w:p w14:paraId="3A61FCB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设备名称</w:t>
            </w:r>
          </w:p>
        </w:tc>
        <w:tc>
          <w:tcPr>
            <w:tcW w:w="1131" w:type="pct"/>
            <w:noWrap w:val="0"/>
            <w:tcMar>
              <w:top w:w="0" w:type="dxa"/>
              <w:left w:w="0" w:type="dxa"/>
              <w:bottom w:w="0" w:type="dxa"/>
              <w:right w:w="0" w:type="dxa"/>
            </w:tcMar>
            <w:vAlign w:val="center"/>
          </w:tcPr>
          <w:p w14:paraId="01E27A0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测量范围</w:t>
            </w:r>
          </w:p>
        </w:tc>
        <w:tc>
          <w:tcPr>
            <w:tcW w:w="1764" w:type="pct"/>
            <w:noWrap w:val="0"/>
            <w:vAlign w:val="center"/>
          </w:tcPr>
          <w:p w14:paraId="2F8680E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检定/校准机构</w:t>
            </w:r>
          </w:p>
        </w:tc>
      </w:tr>
      <w:tr w14:paraId="74DB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02" w:type="pct"/>
            <w:noWrap w:val="0"/>
            <w:tcMar>
              <w:top w:w="0" w:type="dxa"/>
              <w:left w:w="0" w:type="dxa"/>
              <w:bottom w:w="0" w:type="dxa"/>
              <w:right w:w="0" w:type="dxa"/>
            </w:tcMar>
            <w:vAlign w:val="center"/>
          </w:tcPr>
          <w:p w14:paraId="1ABA496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698" w:type="pct"/>
            <w:noWrap w:val="0"/>
            <w:tcMar>
              <w:top w:w="0" w:type="dxa"/>
              <w:left w:w="0" w:type="dxa"/>
              <w:bottom w:w="0" w:type="dxa"/>
              <w:right w:w="0" w:type="dxa"/>
            </w:tcMar>
            <w:vAlign w:val="center"/>
          </w:tcPr>
          <w:p w14:paraId="3374ACA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工频电场</w:t>
            </w:r>
          </w:p>
        </w:tc>
        <w:tc>
          <w:tcPr>
            <w:tcW w:w="1002" w:type="pct"/>
            <w:noWrap w:val="0"/>
            <w:tcMar>
              <w:top w:w="0" w:type="dxa"/>
              <w:left w:w="0" w:type="dxa"/>
              <w:bottom w:w="0" w:type="dxa"/>
              <w:right w:w="0" w:type="dxa"/>
            </w:tcMar>
            <w:vAlign w:val="center"/>
          </w:tcPr>
          <w:p w14:paraId="2541C1A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NBM550</w:t>
            </w:r>
          </w:p>
          <w:p w14:paraId="6D49CF8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电磁场强测试仪</w:t>
            </w:r>
          </w:p>
        </w:tc>
        <w:tc>
          <w:tcPr>
            <w:tcW w:w="1131" w:type="pct"/>
            <w:noWrap w:val="0"/>
            <w:tcMar>
              <w:top w:w="0" w:type="dxa"/>
              <w:left w:w="0" w:type="dxa"/>
              <w:bottom w:w="0" w:type="dxa"/>
              <w:right w:w="0" w:type="dxa"/>
            </w:tcMar>
            <w:vAlign w:val="center"/>
          </w:tcPr>
          <w:p w14:paraId="42C8C72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5mV/m～100kV/m</w:t>
            </w:r>
          </w:p>
        </w:tc>
        <w:tc>
          <w:tcPr>
            <w:tcW w:w="1764" w:type="pct"/>
            <w:noWrap w:val="0"/>
            <w:vAlign w:val="center"/>
          </w:tcPr>
          <w:p w14:paraId="623C651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上海市计量测试技术研究院华东国家计量测试中心</w:t>
            </w:r>
          </w:p>
        </w:tc>
      </w:tr>
    </w:tbl>
    <w:p w14:paraId="382E77A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监测条件：天气</w:t>
      </w:r>
      <w:r>
        <w:rPr>
          <w:rFonts w:hint="eastAsia" w:cs="Times New Roman"/>
          <w:color w:val="000000" w:themeColor="text1"/>
          <w:sz w:val="24"/>
          <w:highlight w:val="none"/>
          <w:lang w:eastAsia="zh-CN"/>
          <w14:textFill>
            <w14:solidFill>
              <w14:schemeClr w14:val="tx1"/>
            </w14:solidFill>
          </w14:textFill>
        </w:rPr>
        <w:t>晴</w:t>
      </w:r>
      <w:r>
        <w:rPr>
          <w:rFonts w:hint="default" w:ascii="Times New Roman" w:hAnsi="Times New Roman" w:cs="Times New Roman"/>
          <w:color w:val="000000" w:themeColor="text1"/>
          <w:sz w:val="24"/>
          <w:highlight w:val="none"/>
          <w14:textFill>
            <w14:solidFill>
              <w14:schemeClr w14:val="tx1"/>
            </w14:solidFill>
          </w14:textFill>
        </w:rPr>
        <w:t>、相对湿度</w:t>
      </w:r>
      <w:r>
        <w:rPr>
          <w:rFonts w:hint="eastAsia" w:cs="Times New Roman"/>
          <w:color w:val="000000" w:themeColor="text1"/>
          <w:sz w:val="24"/>
          <w:highlight w:val="none"/>
          <w:lang w:val="en-US" w:eastAsia="zh-CN"/>
          <w14:textFill>
            <w14:solidFill>
              <w14:schemeClr w14:val="tx1"/>
            </w14:solidFill>
          </w14:textFill>
        </w:rPr>
        <w:t>18</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22</w:t>
      </w:r>
      <w:r>
        <w:rPr>
          <w:rFonts w:hint="default" w:ascii="Times New Roman" w:hAnsi="Times New Roman" w:cs="Times New Roman"/>
          <w:color w:val="000000" w:themeColor="text1"/>
          <w:sz w:val="24"/>
          <w:highlight w:val="none"/>
          <w14:textFill>
            <w14:solidFill>
              <w14:schemeClr w14:val="tx1"/>
            </w14:solidFill>
          </w14:textFill>
        </w:rPr>
        <w:t>%、温度</w:t>
      </w:r>
      <w:r>
        <w:rPr>
          <w:rFonts w:hint="eastAsia" w:cs="Times New Roman"/>
          <w:color w:val="000000" w:themeColor="text1"/>
          <w:sz w:val="24"/>
          <w:highlight w:val="none"/>
          <w:lang w:val="en-US" w:eastAsia="zh-CN"/>
          <w14:textFill>
            <w14:solidFill>
              <w14:schemeClr w14:val="tx1"/>
            </w14:solidFill>
          </w14:textFill>
        </w:rPr>
        <w:t>24</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33</w:t>
      </w:r>
      <w:r>
        <w:rPr>
          <w:rFonts w:hint="default" w:ascii="Times New Roman" w:hAnsi="Times New Roman" w:cs="Times New Roman"/>
          <w:color w:val="000000" w:themeColor="text1"/>
          <w:sz w:val="24"/>
          <w:highlight w:val="none"/>
          <w14:textFill>
            <w14:solidFill>
              <w14:schemeClr w14:val="tx1"/>
            </w14:solidFill>
          </w14:textFill>
        </w:rPr>
        <w:t>℃、风速&lt;</w:t>
      </w:r>
      <w:r>
        <w:rPr>
          <w:rFonts w:hint="eastAsia" w:cs="Times New Roman"/>
          <w:color w:val="000000" w:themeColor="text1"/>
          <w:sz w:val="24"/>
          <w:highlight w:val="none"/>
          <w:lang w:val="en-US" w:eastAsia="zh-CN"/>
          <w14:textFill>
            <w14:solidFill>
              <w14:schemeClr w14:val="tx1"/>
            </w14:solidFill>
          </w14:textFill>
        </w:rPr>
        <w:t>3.5</w:t>
      </w:r>
      <w:r>
        <w:rPr>
          <w:rFonts w:hint="default" w:ascii="Times New Roman" w:hAnsi="Times New Roman" w:cs="Times New Roman"/>
          <w:color w:val="000000" w:themeColor="text1"/>
          <w:sz w:val="24"/>
          <w:highlight w:val="none"/>
          <w14:textFill>
            <w14:solidFill>
              <w14:schemeClr w14:val="tx1"/>
            </w14:solidFill>
          </w14:textFill>
        </w:rPr>
        <w:t>m/s。</w:t>
      </w:r>
    </w:p>
    <w:p w14:paraId="68C2A0DE">
      <w:pPr>
        <w:widowControl/>
        <w:spacing w:line="360" w:lineRule="auto"/>
        <w:ind w:firstLine="480" w:firstLineChars="200"/>
        <w:jc w:val="left"/>
        <w:rPr>
          <w:color w:val="000000" w:themeColor="text1"/>
          <w:kern w:val="0"/>
          <w:sz w:val="24"/>
          <w:highlight w:val="none"/>
          <w:lang w:bidi="ar"/>
          <w14:textFill>
            <w14:solidFill>
              <w14:schemeClr w14:val="tx1"/>
            </w14:solidFill>
          </w14:textFill>
        </w:rPr>
      </w:pPr>
      <w:r>
        <w:rPr>
          <w:color w:val="000000" w:themeColor="text1"/>
          <w:kern w:val="0"/>
          <w:sz w:val="24"/>
          <w:highlight w:val="none"/>
          <w:lang w:bidi="ar"/>
          <w14:textFill>
            <w14:solidFill>
              <w14:schemeClr w14:val="tx1"/>
            </w14:solidFill>
          </w14:textFill>
        </w:rPr>
        <w:t>（</w:t>
      </w:r>
      <w:r>
        <w:rPr>
          <w:rFonts w:hint="eastAsia"/>
          <w:color w:val="000000" w:themeColor="text1"/>
          <w:kern w:val="0"/>
          <w:sz w:val="24"/>
          <w:highlight w:val="none"/>
          <w:lang w:bidi="ar"/>
          <w14:textFill>
            <w14:solidFill>
              <w14:schemeClr w14:val="tx1"/>
            </w14:solidFill>
          </w14:textFill>
        </w:rPr>
        <w:t>5</w:t>
      </w:r>
      <w:r>
        <w:rPr>
          <w:color w:val="000000" w:themeColor="text1"/>
          <w:kern w:val="0"/>
          <w:sz w:val="24"/>
          <w:highlight w:val="none"/>
          <w:lang w:bidi="ar"/>
          <w14:textFill>
            <w14:solidFill>
              <w14:schemeClr w14:val="tx1"/>
            </w14:solidFill>
          </w14:textFill>
        </w:rPr>
        <w:t>）类比对象监测结果</w:t>
      </w:r>
    </w:p>
    <w:p w14:paraId="3B864E4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工频电场、工频磁场类比监测结果见表</w:t>
      </w:r>
      <w:r>
        <w:rPr>
          <w:rFonts w:hint="eastAsia" w:cs="Times New Roman"/>
          <w:color w:val="000000" w:themeColor="text1"/>
          <w:sz w:val="24"/>
          <w:szCs w:val="24"/>
          <w:lang w:val="en-US" w:eastAsia="zh-CN"/>
          <w14:textFill>
            <w14:solidFill>
              <w14:schemeClr w14:val="tx1"/>
            </w14:solidFill>
          </w14:textFill>
        </w:rPr>
        <w:t>3.1-3</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5878EF16">
      <w:pPr>
        <w:keepNext w:val="0"/>
        <w:keepLines w:val="0"/>
        <w:pageBreakBefore w:val="0"/>
        <w:widowControl w:val="0"/>
        <w:kinsoku/>
        <w:wordWrap/>
        <w:overflowPunct/>
        <w:topLinePunct w:val="0"/>
        <w:autoSpaceDE/>
        <w:autoSpaceDN/>
        <w:bidi w:val="0"/>
        <w:adjustRightInd/>
        <w:snapToGrid/>
        <w:spacing w:before="157" w:beforeLines="50"/>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表3.1-3</w:t>
      </w:r>
      <w:r>
        <w:rPr>
          <w:rFonts w:hint="eastAsia" w:ascii="Times New Roman" w:hAnsi="Times New Roman" w:eastAsia="宋体" w:cs="Times New Roman"/>
          <w:b/>
          <w:bCs/>
          <w:color w:val="000000" w:themeColor="text1"/>
          <w:kern w:val="0"/>
          <w:sz w:val="21"/>
          <w:szCs w:val="21"/>
          <w:lang w:val="en-US" w:eastAsia="zh-CN" w:bidi="ar"/>
          <w14:textFill>
            <w14:solidFill>
              <w14:schemeClr w14:val="tx1"/>
            </w14:solidFill>
          </w14:textFill>
        </w:rPr>
        <w:t xml:space="preserve">  </w:t>
      </w:r>
      <w:r>
        <w:rPr>
          <w:rFonts w:hint="eastAsia" w:cs="Times New Roman"/>
          <w:b/>
          <w:bCs/>
          <w:color w:val="000000" w:themeColor="text1"/>
          <w:kern w:val="0"/>
          <w:sz w:val="21"/>
          <w:szCs w:val="21"/>
          <w:lang w:val="en-US" w:eastAsia="zh-CN" w:bidi="ar"/>
          <w14:textFill>
            <w14:solidFill>
              <w14:schemeClr w14:val="tx1"/>
            </w14:solidFill>
          </w14:textFill>
        </w:rPr>
        <w:t>类比</w:t>
      </w: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变电站工频电场、工频磁场测试结果</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2364"/>
        <w:gridCol w:w="2682"/>
        <w:gridCol w:w="2480"/>
      </w:tblGrid>
      <w:tr w14:paraId="45DE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 w:hRule="atLeast"/>
          <w:jc w:val="center"/>
        </w:trPr>
        <w:tc>
          <w:tcPr>
            <w:tcW w:w="1016" w:type="dxa"/>
            <w:noWrap w:val="0"/>
            <w:vAlign w:val="center"/>
          </w:tcPr>
          <w:p w14:paraId="05BD30DB">
            <w:pPr>
              <w:keepNext w:val="0"/>
              <w:keepLines w:val="0"/>
              <w:widowControl w:val="0"/>
              <w:suppressLineNumbers w:val="0"/>
              <w:adjustRightInd w:val="0"/>
              <w:snapToGrid w:val="0"/>
              <w:spacing w:before="0" w:beforeLines="10" w:beforeAutospacing="0" w:after="0" w:afterLines="10" w:afterAutospacing="0" w:line="240" w:lineRule="auto"/>
              <w:ind w:left="422" w:right="0" w:hanging="420" w:hangingChars="200"/>
              <w:contextualSpacing/>
              <w:jc w:val="cente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序号</w:t>
            </w:r>
          </w:p>
        </w:tc>
        <w:tc>
          <w:tcPr>
            <w:tcW w:w="2551" w:type="dxa"/>
            <w:noWrap w:val="0"/>
            <w:vAlign w:val="center"/>
          </w:tcPr>
          <w:p w14:paraId="60E442C1">
            <w:pPr>
              <w:keepNext w:val="0"/>
              <w:keepLines w:val="0"/>
              <w:widowControl w:val="0"/>
              <w:suppressLineNumbers w:val="0"/>
              <w:adjustRightInd w:val="0"/>
              <w:snapToGrid w:val="0"/>
              <w:spacing w:before="0" w:beforeLines="10" w:beforeAutospacing="0" w:after="0" w:afterLines="10" w:afterAutospacing="0" w:line="240" w:lineRule="auto"/>
              <w:ind w:left="422" w:right="0" w:hanging="420" w:hangingChars="200"/>
              <w:contextualSpacing/>
              <w:jc w:val="cente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测点位置</w:t>
            </w:r>
          </w:p>
        </w:tc>
        <w:tc>
          <w:tcPr>
            <w:tcW w:w="2842" w:type="dxa"/>
            <w:noWrap w:val="0"/>
            <w:vAlign w:val="center"/>
          </w:tcPr>
          <w:p w14:paraId="3DE6F134">
            <w:pPr>
              <w:keepNext w:val="0"/>
              <w:keepLines w:val="0"/>
              <w:widowControl w:val="0"/>
              <w:suppressLineNumbers w:val="0"/>
              <w:adjustRightInd w:val="0"/>
              <w:snapToGrid w:val="0"/>
              <w:spacing w:before="0" w:beforeLines="10" w:beforeAutospacing="0" w:after="0" w:afterLines="10" w:afterAutospacing="0" w:line="240" w:lineRule="auto"/>
              <w:ind w:left="422" w:right="0" w:hanging="420" w:hangingChars="200"/>
              <w:contextualSpacing/>
              <w:jc w:val="cente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电场强度（V/m）</w:t>
            </w:r>
          </w:p>
        </w:tc>
        <w:tc>
          <w:tcPr>
            <w:tcW w:w="2631" w:type="dxa"/>
            <w:noWrap w:val="0"/>
            <w:vAlign w:val="center"/>
          </w:tcPr>
          <w:p w14:paraId="6EBAE43D">
            <w:pPr>
              <w:keepNext w:val="0"/>
              <w:keepLines w:val="0"/>
              <w:widowControl w:val="0"/>
              <w:suppressLineNumbers w:val="0"/>
              <w:adjustRightInd w:val="0"/>
              <w:snapToGrid w:val="0"/>
              <w:spacing w:before="0" w:beforeLines="10" w:beforeAutospacing="0" w:after="0" w:afterLines="10" w:afterAutospacing="0" w:line="240" w:lineRule="auto"/>
              <w:ind w:left="422" w:right="0" w:hanging="420" w:hangingChars="200"/>
              <w:contextualSpacing/>
              <w:jc w:val="cente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磁感应强度（μT）</w:t>
            </w:r>
          </w:p>
        </w:tc>
      </w:tr>
      <w:tr w14:paraId="46F6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 w:hRule="atLeast"/>
          <w:jc w:val="center"/>
        </w:trPr>
        <w:tc>
          <w:tcPr>
            <w:tcW w:w="1016" w:type="dxa"/>
            <w:noWrap w:val="0"/>
            <w:vAlign w:val="center"/>
          </w:tcPr>
          <w:p w14:paraId="13919AA7">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1</w:t>
            </w:r>
          </w:p>
        </w:tc>
        <w:tc>
          <w:tcPr>
            <w:tcW w:w="2551" w:type="dxa"/>
            <w:noWrap w:val="0"/>
            <w:vAlign w:val="center"/>
          </w:tcPr>
          <w:p w14:paraId="0B9C315D">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东侧围墙外5m处</w:t>
            </w:r>
          </w:p>
        </w:tc>
        <w:tc>
          <w:tcPr>
            <w:tcW w:w="2842" w:type="dxa"/>
            <w:noWrap w:val="0"/>
            <w:vAlign w:val="center"/>
          </w:tcPr>
          <w:p w14:paraId="2A48E6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38.74</w:t>
            </w:r>
          </w:p>
        </w:tc>
        <w:tc>
          <w:tcPr>
            <w:tcW w:w="2631" w:type="dxa"/>
            <w:noWrap w:val="0"/>
            <w:vAlign w:val="center"/>
          </w:tcPr>
          <w:p w14:paraId="50D9062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0.2212</w:t>
            </w:r>
          </w:p>
        </w:tc>
      </w:tr>
      <w:tr w14:paraId="318F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 w:hRule="atLeast"/>
          <w:jc w:val="center"/>
        </w:trPr>
        <w:tc>
          <w:tcPr>
            <w:tcW w:w="1016" w:type="dxa"/>
            <w:noWrap w:val="0"/>
            <w:vAlign w:val="center"/>
          </w:tcPr>
          <w:p w14:paraId="4D1CC3B9">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2</w:t>
            </w:r>
          </w:p>
        </w:tc>
        <w:tc>
          <w:tcPr>
            <w:tcW w:w="2551" w:type="dxa"/>
            <w:noWrap w:val="0"/>
            <w:vAlign w:val="center"/>
          </w:tcPr>
          <w:p w14:paraId="713E4448">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南侧围墙外5m处</w:t>
            </w:r>
          </w:p>
        </w:tc>
        <w:tc>
          <w:tcPr>
            <w:tcW w:w="2842" w:type="dxa"/>
            <w:noWrap w:val="0"/>
            <w:vAlign w:val="center"/>
          </w:tcPr>
          <w:p w14:paraId="11C9B1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8.387</w:t>
            </w:r>
          </w:p>
        </w:tc>
        <w:tc>
          <w:tcPr>
            <w:tcW w:w="2631" w:type="dxa"/>
            <w:noWrap w:val="0"/>
            <w:vAlign w:val="center"/>
          </w:tcPr>
          <w:p w14:paraId="002F8DA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0.1784</w:t>
            </w:r>
          </w:p>
        </w:tc>
      </w:tr>
      <w:tr w14:paraId="056B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 w:hRule="atLeast"/>
          <w:jc w:val="center"/>
        </w:trPr>
        <w:tc>
          <w:tcPr>
            <w:tcW w:w="1016" w:type="dxa"/>
            <w:noWrap w:val="0"/>
            <w:vAlign w:val="center"/>
          </w:tcPr>
          <w:p w14:paraId="45ACE19E">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3</w:t>
            </w:r>
          </w:p>
        </w:tc>
        <w:tc>
          <w:tcPr>
            <w:tcW w:w="2551" w:type="dxa"/>
            <w:noWrap w:val="0"/>
            <w:vAlign w:val="center"/>
          </w:tcPr>
          <w:p w14:paraId="1B7C3E6E">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西侧围墙外5m处</w:t>
            </w:r>
          </w:p>
        </w:tc>
        <w:tc>
          <w:tcPr>
            <w:tcW w:w="2842" w:type="dxa"/>
            <w:noWrap w:val="0"/>
            <w:vAlign w:val="center"/>
          </w:tcPr>
          <w:p w14:paraId="09721B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4.796</w:t>
            </w:r>
          </w:p>
        </w:tc>
        <w:tc>
          <w:tcPr>
            <w:tcW w:w="2631" w:type="dxa"/>
            <w:noWrap w:val="0"/>
            <w:vAlign w:val="center"/>
          </w:tcPr>
          <w:p w14:paraId="63EDB38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0.2113</w:t>
            </w:r>
          </w:p>
        </w:tc>
      </w:tr>
      <w:tr w14:paraId="750F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 w:hRule="atLeast"/>
          <w:jc w:val="center"/>
        </w:trPr>
        <w:tc>
          <w:tcPr>
            <w:tcW w:w="1016" w:type="dxa"/>
            <w:noWrap w:val="0"/>
            <w:vAlign w:val="center"/>
          </w:tcPr>
          <w:p w14:paraId="2DF893E7">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4</w:t>
            </w:r>
          </w:p>
        </w:tc>
        <w:tc>
          <w:tcPr>
            <w:tcW w:w="2551" w:type="dxa"/>
            <w:noWrap w:val="0"/>
            <w:vAlign w:val="center"/>
          </w:tcPr>
          <w:p w14:paraId="5D094DEE">
            <w:pPr>
              <w:keepNext w:val="0"/>
              <w:keepLines w:val="0"/>
              <w:widowControl w:val="0"/>
              <w:suppressLineNumbers w:val="0"/>
              <w:adjustRightInd w:val="0"/>
              <w:snapToGrid w:val="0"/>
              <w:spacing w:before="0" w:beforeLines="10" w:beforeAutospacing="0" w:after="0" w:afterLines="10" w:afterAutospacing="0" w:line="240" w:lineRule="auto"/>
              <w:ind w:left="420" w:right="0" w:hanging="420" w:hangingChars="200"/>
              <w:contextualSpacing/>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北侧围墙外5m处</w:t>
            </w:r>
          </w:p>
        </w:tc>
        <w:tc>
          <w:tcPr>
            <w:tcW w:w="2842" w:type="dxa"/>
            <w:noWrap w:val="0"/>
            <w:vAlign w:val="center"/>
          </w:tcPr>
          <w:p w14:paraId="2B108D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15.73</w:t>
            </w:r>
          </w:p>
        </w:tc>
        <w:tc>
          <w:tcPr>
            <w:tcW w:w="2631" w:type="dxa"/>
            <w:noWrap w:val="0"/>
            <w:vAlign w:val="center"/>
          </w:tcPr>
          <w:p w14:paraId="299E5FF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0.2403</w:t>
            </w:r>
          </w:p>
        </w:tc>
      </w:tr>
    </w:tbl>
    <w:p w14:paraId="6553CEF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w:t>
      </w:r>
      <w:r>
        <w:rPr>
          <w:rFonts w:hint="default" w:ascii="Times New Roman" w:hAnsi="Times New Roman" w:cs="Times New Roman"/>
          <w:color w:val="000000" w:themeColor="text1"/>
          <w:sz w:val="24"/>
          <w:lang w:eastAsia="zh-CN"/>
          <w14:textFill>
            <w14:solidFill>
              <w14:schemeClr w14:val="tx1"/>
            </w14:solidFill>
          </w14:textFill>
        </w:rPr>
        <w:t>张骞</w:t>
      </w:r>
      <w:r>
        <w:rPr>
          <w:rFonts w:hint="default" w:ascii="Times New Roman" w:hAnsi="Times New Roman" w:cs="Times New Roman"/>
          <w:color w:val="000000" w:themeColor="text1"/>
          <w:sz w:val="24"/>
          <w:lang w:val="en-US" w:eastAsia="zh-CN"/>
          <w14:textFill>
            <w14:solidFill>
              <w14:schemeClr w14:val="tx1"/>
            </w14:solidFill>
          </w14:textFill>
        </w:rPr>
        <w:t>110</w:t>
      </w:r>
      <w:r>
        <w:rPr>
          <w:rFonts w:hint="default" w:ascii="Times New Roman" w:hAnsi="Times New Roman" w:cs="Times New Roman"/>
          <w:color w:val="000000" w:themeColor="text1"/>
          <w:sz w:val="24"/>
          <w:lang w:eastAsia="zh-CN"/>
          <w14:textFill>
            <w14:solidFill>
              <w14:schemeClr w14:val="tx1"/>
            </w14:solidFill>
          </w14:textFill>
        </w:rPr>
        <w:t>kV升压站</w:t>
      </w:r>
      <w:r>
        <w:rPr>
          <w:rFonts w:hint="default" w:ascii="Times New Roman" w:hAnsi="Times New Roman" w:cs="Times New Roman"/>
          <w:color w:val="000000" w:themeColor="text1"/>
          <w:sz w:val="24"/>
          <w14:textFill>
            <w14:solidFill>
              <w14:schemeClr w14:val="tx1"/>
            </w14:solidFill>
          </w14:textFill>
        </w:rPr>
        <w:t>工频电场、工频磁场测试结果可以看出，变电站围墙外工频电场强度为</w:t>
      </w:r>
      <w:r>
        <w:rPr>
          <w:rFonts w:hint="eastAsia" w:cs="Times New Roman"/>
          <w:color w:val="000000" w:themeColor="text1"/>
          <w:sz w:val="24"/>
          <w:lang w:val="en-US" w:eastAsia="zh-CN"/>
          <w14:textFill>
            <w14:solidFill>
              <w14:schemeClr w14:val="tx1"/>
            </w14:solidFill>
          </w14:textFill>
        </w:rPr>
        <w:t>4.796</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38.74</w:t>
      </w:r>
      <w:r>
        <w:rPr>
          <w:rFonts w:hint="default" w:ascii="Times New Roman" w:hAnsi="Times New Roman" w:cs="Times New Roman"/>
          <w:color w:val="000000" w:themeColor="text1"/>
          <w:sz w:val="24"/>
          <w14:textFill>
            <w14:solidFill>
              <w14:schemeClr w14:val="tx1"/>
            </w14:solidFill>
          </w14:textFill>
        </w:rPr>
        <w:t>V/m，工频磁感应强度为0.</w:t>
      </w:r>
      <w:r>
        <w:rPr>
          <w:rFonts w:hint="eastAsia" w:cs="Times New Roman"/>
          <w:color w:val="000000" w:themeColor="text1"/>
          <w:sz w:val="24"/>
          <w:lang w:val="en-US" w:eastAsia="zh-CN"/>
          <w14:textFill>
            <w14:solidFill>
              <w14:schemeClr w14:val="tx1"/>
            </w14:solidFill>
          </w14:textFill>
        </w:rPr>
        <w:t>1784</w:t>
      </w:r>
      <w:r>
        <w:rPr>
          <w:rFonts w:hint="default" w:ascii="Times New Roman" w:hAnsi="Times New Roman" w:cs="Times New Roman"/>
          <w:color w:val="000000" w:themeColor="text1"/>
          <w:sz w:val="24"/>
          <w14:textFill>
            <w14:solidFill>
              <w14:schemeClr w14:val="tx1"/>
            </w14:solidFill>
          </w14:textFill>
        </w:rPr>
        <w:t>～0.</w:t>
      </w:r>
      <w:r>
        <w:rPr>
          <w:rFonts w:hint="eastAsia" w:cs="Times New Roman"/>
          <w:color w:val="000000" w:themeColor="text1"/>
          <w:sz w:val="24"/>
          <w:lang w:val="en-US" w:eastAsia="zh-CN"/>
          <w14:textFill>
            <w14:solidFill>
              <w14:schemeClr w14:val="tx1"/>
            </w14:solidFill>
          </w14:textFill>
        </w:rPr>
        <w:t>2403</w:t>
      </w:r>
      <w:r>
        <w:rPr>
          <w:rFonts w:hint="default" w:ascii="Times New Roman" w:hAnsi="Times New Roman" w:cs="Times New Roman"/>
          <w:color w:val="000000" w:themeColor="text1"/>
          <w:sz w:val="24"/>
          <w14:textFill>
            <w14:solidFill>
              <w14:schemeClr w14:val="tx1"/>
            </w14:solidFill>
          </w14:textFill>
        </w:rPr>
        <w:t>μT，满足《电磁环境控制限值》</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GB8702-2014</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中规定公众曝露控制限值：工频电场强度4000V/m，工频磁感应强度100μT。</w:t>
      </w:r>
    </w:p>
    <w:p w14:paraId="7D317959">
      <w:pPr>
        <w:pageBreakBefore w:val="0"/>
        <w:kinsoku/>
        <w:wordWrap/>
        <w:topLinePunct w:val="0"/>
        <w:bidi w:val="0"/>
        <w:spacing w:line="360" w:lineRule="auto"/>
        <w:ind w:firstLine="480" w:firstLineChars="200"/>
        <w:rPr>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以类比结果中可能造成的最大影响为基准，本项目</w:t>
      </w:r>
      <w:r>
        <w:rPr>
          <w:rFonts w:hint="eastAsia" w:ascii="Times New Roman" w:hAnsi="Times New Roman" w:cs="Times New Roman"/>
          <w:color w:val="000000" w:themeColor="text1"/>
          <w:sz w:val="24"/>
          <w:lang w:val="en-US" w:eastAsia="zh-CN"/>
          <w14:textFill>
            <w14:solidFill>
              <w14:schemeClr w14:val="tx1"/>
            </w14:solidFill>
          </w14:textFill>
        </w:rPr>
        <w:t>11</w:t>
      </w:r>
      <w:r>
        <w:rPr>
          <w:rFonts w:hint="default" w:ascii="Times New Roman" w:hAnsi="Times New Roman" w:cs="Times New Roman"/>
          <w:color w:val="000000" w:themeColor="text1"/>
          <w:sz w:val="24"/>
          <w14:textFill>
            <w14:solidFill>
              <w14:schemeClr w14:val="tx1"/>
            </w14:solidFill>
          </w14:textFill>
        </w:rPr>
        <w:t>0</w:t>
      </w:r>
      <w:r>
        <w:rPr>
          <w:rFonts w:hint="eastAsia" w:cs="Times New Roman"/>
          <w:color w:val="000000" w:themeColor="text1"/>
          <w:sz w:val="24"/>
          <w:lang w:eastAsia="zh-CN"/>
          <w14:textFill>
            <w14:solidFill>
              <w14:schemeClr w14:val="tx1"/>
            </w14:solidFill>
          </w14:textFill>
        </w:rPr>
        <w:t>kV</w:t>
      </w:r>
      <w:r>
        <w:rPr>
          <w:rFonts w:hint="eastAsia" w:ascii="Times New Roman" w:hAnsi="Times New Roman" w:cs="Times New Roman"/>
          <w:color w:val="000000" w:themeColor="text1"/>
          <w:sz w:val="24"/>
          <w:lang w:val="en-US" w:eastAsia="zh-CN"/>
          <w14:textFill>
            <w14:solidFill>
              <w14:schemeClr w14:val="tx1"/>
            </w14:solidFill>
          </w14:textFill>
        </w:rPr>
        <w:t>变电</w:t>
      </w:r>
      <w:r>
        <w:rPr>
          <w:rFonts w:hint="default" w:ascii="Times New Roman" w:hAnsi="Times New Roman" w:cs="Times New Roman"/>
          <w:color w:val="000000" w:themeColor="text1"/>
          <w:sz w:val="24"/>
          <w14:textFill>
            <w14:solidFill>
              <w14:schemeClr w14:val="tx1"/>
            </w14:solidFill>
          </w14:textFill>
        </w:rPr>
        <w:t>站建成投运后，变电站周围的工频电场强度和工频磁感应强度满足《电磁环境控制限值》</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GB8702-2014</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中规定公众曝露控制限值：工频电场强度4000V/m，工频磁感应强度100μT</w:t>
      </w:r>
      <w:r>
        <w:rPr>
          <w:rFonts w:hint="eastAsia" w:ascii="Times New Roman" w:hAnsi="Times New Roman" w:cs="Times New Roman"/>
          <w:color w:val="000000" w:themeColor="text1"/>
          <w:sz w:val="24"/>
          <w:lang w:eastAsia="zh-CN"/>
          <w14:textFill>
            <w14:solidFill>
              <w14:schemeClr w14:val="tx1"/>
            </w14:solidFill>
          </w14:textFill>
        </w:rPr>
        <w:t>。</w:t>
      </w:r>
    </w:p>
    <w:p w14:paraId="0812ECCD">
      <w:pPr>
        <w:widowControl/>
        <w:spacing w:line="360" w:lineRule="auto"/>
        <w:ind w:firstLine="480" w:firstLineChars="200"/>
        <w:jc w:val="left"/>
        <w:rPr>
          <w:color w:val="000000" w:themeColor="text1"/>
          <w:kern w:val="0"/>
          <w:sz w:val="24"/>
          <w:highlight w:val="none"/>
          <w:lang w:bidi="ar"/>
          <w14:textFill>
            <w14:solidFill>
              <w14:schemeClr w14:val="tx1"/>
            </w14:solidFill>
          </w14:textFill>
        </w:rPr>
      </w:pPr>
      <w:r>
        <w:rPr>
          <w:rFonts w:hint="eastAsia"/>
          <w:color w:val="000000" w:themeColor="text1"/>
          <w:kern w:val="0"/>
          <w:sz w:val="24"/>
          <w:highlight w:val="none"/>
          <w:lang w:bidi="ar"/>
          <w14:textFill>
            <w14:solidFill>
              <w14:schemeClr w14:val="tx1"/>
            </w14:solidFill>
          </w14:textFill>
        </w:rPr>
        <w:t>（6）电磁环境影响评价结论</w:t>
      </w:r>
    </w:p>
    <w:p w14:paraId="591339EE">
      <w:pPr>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根据类比监测结果进行分析，类比工程工频电场强度以及工频磁感应强度都远低于</w:t>
      </w:r>
      <w:r>
        <w:rPr>
          <w:rFonts w:hint="eastAsia" w:ascii="宋体" w:hAnsi="宋体"/>
          <w:color w:val="000000" w:themeColor="text1"/>
          <w:sz w:val="24"/>
          <w:highlight w:val="none"/>
          <w14:textFill>
            <w14:solidFill>
              <w14:schemeClr w14:val="tx1"/>
            </w14:solidFill>
          </w14:textFill>
        </w:rPr>
        <w:t>《电磁环境控制限值》（</w:t>
      </w:r>
      <w:r>
        <w:rPr>
          <w:color w:val="000000" w:themeColor="text1"/>
          <w:sz w:val="24"/>
          <w:highlight w:val="none"/>
          <w14:textFill>
            <w14:solidFill>
              <w14:schemeClr w14:val="tx1"/>
            </w14:solidFill>
          </w14:textFill>
        </w:rPr>
        <w:t>GB8702-2014</w:t>
      </w:r>
      <w:r>
        <w:rPr>
          <w:rFonts w:hint="eastAsia" w:ascii="宋体" w:hAnsi="宋体"/>
          <w:color w:val="000000" w:themeColor="text1"/>
          <w:sz w:val="24"/>
          <w:highlight w:val="none"/>
          <w14:textFill>
            <w14:solidFill>
              <w14:schemeClr w14:val="tx1"/>
            </w14:solidFill>
          </w14:textFill>
        </w:rPr>
        <w:t>）中控制限值要求，类比工程与本项目</w:t>
      </w:r>
      <w:r>
        <w:rPr>
          <w:rFonts w:hint="eastAsia"/>
          <w:color w:val="000000" w:themeColor="text1"/>
          <w:sz w:val="24"/>
          <w:highlight w:val="none"/>
          <w14:textFill>
            <w14:solidFill>
              <w14:schemeClr w14:val="tx1"/>
            </w14:solidFill>
          </w14:textFill>
        </w:rPr>
        <w:t>升压</w:t>
      </w:r>
      <w:r>
        <w:rPr>
          <w:color w:val="000000" w:themeColor="text1"/>
          <w:sz w:val="24"/>
          <w:highlight w:val="none"/>
          <w14:textFill>
            <w14:solidFill>
              <w14:schemeClr w14:val="tx1"/>
            </w14:solidFill>
          </w14:textFill>
        </w:rPr>
        <w:t>站</w:t>
      </w:r>
      <w:r>
        <w:rPr>
          <w:rFonts w:hint="eastAsia" w:ascii="宋体" w:hAnsi="宋体"/>
          <w:color w:val="000000" w:themeColor="text1"/>
          <w:sz w:val="24"/>
          <w:highlight w:val="none"/>
          <w14:textFill>
            <w14:solidFill>
              <w14:schemeClr w14:val="tx1"/>
            </w14:solidFill>
          </w14:textFill>
        </w:rPr>
        <w:t>主变布置形式、配电装置等主要参数基本一致。类比分析可知，本项目</w:t>
      </w:r>
      <w:r>
        <w:rPr>
          <w:rFonts w:hint="eastAsia"/>
          <w:color w:val="000000" w:themeColor="text1"/>
          <w:sz w:val="24"/>
          <w:highlight w:val="none"/>
          <w14:textFill>
            <w14:solidFill>
              <w14:schemeClr w14:val="tx1"/>
            </w14:solidFill>
          </w14:textFill>
        </w:rPr>
        <w:t>升压</w:t>
      </w:r>
      <w:r>
        <w:rPr>
          <w:color w:val="000000" w:themeColor="text1"/>
          <w:sz w:val="24"/>
          <w:highlight w:val="none"/>
          <w14:textFill>
            <w14:solidFill>
              <w14:schemeClr w14:val="tx1"/>
            </w14:solidFill>
          </w14:textFill>
        </w:rPr>
        <w:t>站</w:t>
      </w:r>
      <w:r>
        <w:rPr>
          <w:rFonts w:hint="eastAsia" w:ascii="宋体" w:hAnsi="宋体"/>
          <w:color w:val="000000" w:themeColor="text1"/>
          <w:sz w:val="24"/>
          <w:highlight w:val="none"/>
          <w14:textFill>
            <w14:solidFill>
              <w14:schemeClr w14:val="tx1"/>
            </w14:solidFill>
          </w14:textFill>
        </w:rPr>
        <w:t>建成投运后，对</w:t>
      </w:r>
      <w:r>
        <w:rPr>
          <w:rFonts w:hint="eastAsia"/>
          <w:color w:val="000000" w:themeColor="text1"/>
          <w:sz w:val="24"/>
          <w:highlight w:val="none"/>
          <w14:textFill>
            <w14:solidFill>
              <w14:schemeClr w14:val="tx1"/>
            </w14:solidFill>
          </w14:textFill>
        </w:rPr>
        <w:t>升压</w:t>
      </w:r>
      <w:r>
        <w:rPr>
          <w:color w:val="000000" w:themeColor="text1"/>
          <w:sz w:val="24"/>
          <w:highlight w:val="none"/>
          <w14:textFill>
            <w14:solidFill>
              <w14:schemeClr w14:val="tx1"/>
            </w14:solidFill>
          </w14:textFill>
        </w:rPr>
        <w:t>站</w:t>
      </w:r>
      <w:r>
        <w:rPr>
          <w:rFonts w:hint="eastAsia" w:ascii="宋体" w:hAnsi="宋体"/>
          <w:color w:val="000000" w:themeColor="text1"/>
          <w:sz w:val="24"/>
          <w:highlight w:val="none"/>
          <w14:textFill>
            <w14:solidFill>
              <w14:schemeClr w14:val="tx1"/>
            </w14:solidFill>
          </w14:textFill>
        </w:rPr>
        <w:t>周围环境产生的影响在可接受范围，均能满足《电磁环境控制限值》（</w:t>
      </w:r>
      <w:r>
        <w:rPr>
          <w:color w:val="000000" w:themeColor="text1"/>
          <w:sz w:val="24"/>
          <w:highlight w:val="none"/>
          <w14:textFill>
            <w14:solidFill>
              <w14:schemeClr w14:val="tx1"/>
            </w14:solidFill>
          </w14:textFill>
        </w:rPr>
        <w:t>GB8702-2014</w:t>
      </w:r>
      <w:r>
        <w:rPr>
          <w:rFonts w:hint="eastAsia" w:ascii="宋体" w:hAnsi="宋体"/>
          <w:color w:val="000000" w:themeColor="text1"/>
          <w:sz w:val="24"/>
          <w:highlight w:val="none"/>
          <w14:textFill>
            <w14:solidFill>
              <w14:schemeClr w14:val="tx1"/>
            </w14:solidFill>
          </w14:textFill>
        </w:rPr>
        <w:t>）规定公众曝露控制限值：工频电场强度</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4000V/m，工频磁感应强度</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100μT</w:t>
      </w:r>
      <w:r>
        <w:rPr>
          <w:rFonts w:hint="eastAsia"/>
          <w:color w:val="000000" w:themeColor="text1"/>
          <w:sz w:val="24"/>
          <w:highlight w:val="none"/>
          <w14:textFill>
            <w14:solidFill>
              <w14:schemeClr w14:val="tx1"/>
            </w14:solidFill>
          </w14:textFill>
        </w:rPr>
        <w:t>。</w:t>
      </w:r>
    </w:p>
    <w:p w14:paraId="04E6361B">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bookmarkStart w:id="102" w:name="_Toc9248"/>
      <w:r>
        <w:rPr>
          <w:rFonts w:hint="eastAsia" w:ascii="Times New Roman" w:hAnsi="Times New Roman" w:eastAsia="宋体" w:cs="Times New Roman"/>
          <w:color w:val="000000" w:themeColor="text1"/>
          <w:sz w:val="24"/>
          <w:szCs w:val="24"/>
          <w:lang w:val="en-US" w:eastAsia="zh-CN"/>
          <w14:textFill>
            <w14:solidFill>
              <w14:schemeClr w14:val="tx1"/>
            </w14:solidFill>
          </w14:textFill>
        </w:rPr>
        <w:t>3.2架空线路电磁环境影响预测</w:t>
      </w:r>
      <w:bookmarkEnd w:id="102"/>
    </w:p>
    <w:p w14:paraId="3E204F2A">
      <w:pPr>
        <w:pStyle w:val="3"/>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b/>
          <w:bCs/>
          <w:color w:val="000000" w:themeColor="text1"/>
          <w:sz w:val="24"/>
          <w:szCs w:val="32"/>
          <w:lang w:val="en-US" w:eastAsia="zh-CN"/>
          <w14:textFill>
            <w14:solidFill>
              <w14:schemeClr w14:val="tx1"/>
            </w14:solidFill>
          </w14:textFill>
        </w:rPr>
      </w:pPr>
      <w:r>
        <w:rPr>
          <w:rFonts w:hint="eastAsia"/>
          <w:b/>
          <w:bCs/>
          <w:color w:val="000000" w:themeColor="text1"/>
          <w:sz w:val="24"/>
          <w:szCs w:val="32"/>
          <w:lang w:val="en-US" w:eastAsia="zh-CN"/>
          <w14:textFill>
            <w14:solidFill>
              <w14:schemeClr w14:val="tx1"/>
            </w14:solidFill>
          </w14:textFill>
        </w:rPr>
        <w:t>3.2.1计算方法</w:t>
      </w:r>
    </w:p>
    <w:p w14:paraId="0726A6C6">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b w:val="0"/>
          <w:bCs w:val="0"/>
          <w:color w:val="000000" w:themeColor="text1"/>
          <w:sz w:val="24"/>
          <w:szCs w:val="32"/>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输电线路产生的工频电场、工频磁场影响预测计算，根据《环境影响评价技术导则</w:t>
      </w:r>
      <w:r>
        <w:rPr>
          <w:rFonts w:hint="eastAsia" w:ascii="Times New Roman" w:hAnsi="Times New Roman" w:cs="Times New Roman"/>
          <w:b w:val="0"/>
          <w:bCs w:val="0"/>
          <w:color w:val="000000" w:themeColor="text1"/>
          <w:sz w:val="24"/>
          <w:szCs w:val="32"/>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输变电》</w:t>
      </w:r>
      <w:r>
        <w:rPr>
          <w:rFonts w:hint="eastAsia" w:ascii="Times New Roman" w:hAnsi="Times New Roman" w:cs="Times New Roman"/>
          <w:b w:val="0"/>
          <w:bCs w:val="0"/>
          <w:color w:val="000000" w:themeColor="text1"/>
          <w:sz w:val="24"/>
          <w:szCs w:val="32"/>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HJ24-2020</w:t>
      </w:r>
      <w:r>
        <w:rPr>
          <w:rFonts w:hint="eastAsia" w:ascii="Times New Roman" w:hAnsi="Times New Roman" w:cs="Times New Roman"/>
          <w:b w:val="0"/>
          <w:bCs w:val="0"/>
          <w:color w:val="000000" w:themeColor="text1"/>
          <w:sz w:val="24"/>
          <w:szCs w:val="32"/>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 xml:space="preserve">附录C、D推荐的计算模式进行。 </w:t>
      </w:r>
    </w:p>
    <w:p w14:paraId="30A26A71">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b w:val="0"/>
          <w:bCs w:val="0"/>
          <w:color w:val="000000" w:themeColor="text1"/>
          <w:sz w:val="24"/>
          <w:szCs w:val="32"/>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以上计算方法适用于线路无限长而且平行于地面，由于任何线路长度都是有限的，并且有弧垂，因此需要做如下假设，设建设项目线路无限长，线路经过最大弧垂点平行于地面。这样计算出来的结果将比实际值大，对于衡量线路不超标是完全适用的，并据此指引线路的设计方案将是保守和安全的。具体计算方法如下：</w:t>
      </w:r>
    </w:p>
    <w:p w14:paraId="081B0CFE">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b w:val="0"/>
          <w:bCs w:val="0"/>
          <w:color w:val="000000" w:themeColor="text1"/>
          <w:sz w:val="24"/>
          <w:szCs w:val="32"/>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32"/>
          <w:lang w:val="en-US" w:eastAsia="zh-CN"/>
          <w14:textFill>
            <w14:solidFill>
              <w14:schemeClr w14:val="tx1"/>
            </w14:solidFill>
          </w14:textFill>
        </w:rPr>
        <w:t>（1）</w:t>
      </w: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工频电场强度预测</w:t>
      </w:r>
    </w:p>
    <w:p w14:paraId="5AF2B087">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b w:val="0"/>
          <w:bCs w:val="0"/>
          <w:color w:val="000000" w:themeColor="text1"/>
          <w:sz w:val="24"/>
          <w:szCs w:val="32"/>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高压输电线上的等效电荷是线电荷，由于高压输电线半径r远远小于架设高度h，所以等效电荷的位置可以认为是在输电导线的几何中心。</w:t>
      </w:r>
    </w:p>
    <w:p w14:paraId="6F33BBF1">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cs="Times New Roman"/>
          <w:b w:val="0"/>
          <w:bCs w:val="0"/>
          <w:color w:val="000000" w:themeColor="text1"/>
          <w:sz w:val="24"/>
          <w:szCs w:val="32"/>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设输电线路为无限长并且平行于地面，地面可视为良导体，利用镜像法计算输电线上的等效电荷。</w:t>
      </w:r>
    </w:p>
    <w:p w14:paraId="70C28B32">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为了计算多导线线路中导线上的等效电荷，可写出下列矩阵方程</w:t>
      </w:r>
      <w:r>
        <w:rPr>
          <w:rFonts w:hint="eastAsia" w:ascii="Times New Roman" w:hAnsi="Times New Roman" w:cs="Times New Roman"/>
          <w:b w:val="0"/>
          <w:bCs w:val="0"/>
          <w:color w:val="000000" w:themeColor="text1"/>
          <w:sz w:val="24"/>
          <w:szCs w:val="32"/>
          <w:lang w:val="en-US" w:eastAsia="zh-CN"/>
          <w14:textFill>
            <w14:solidFill>
              <w14:schemeClr w14:val="tx1"/>
            </w14:solidFill>
          </w14:textFill>
        </w:rPr>
        <w:t>：</w:t>
      </w:r>
    </w:p>
    <w:p w14:paraId="4B95D9D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式中：U——各导线对地电压的单列矩阵；</w:t>
      </w:r>
    </w:p>
    <w:p w14:paraId="707526FF">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left"/>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Q——各导线上等效电荷的单列矩阵；</w:t>
      </w:r>
    </w:p>
    <w:p w14:paraId="7454B546">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left"/>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 xml:space="preserve">λ——各导线的电位系数组成的m阶方阵（m为导线数目）。 </w:t>
      </w:r>
    </w:p>
    <w:p w14:paraId="5CBF88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﹝U﹞矩阵可由输电线的电压和相位确定，从环境保护考虑以额定电压的1.05倍作为计算电压。</w:t>
      </w:r>
    </w:p>
    <w:p w14:paraId="7CA0CF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对于110</w:t>
      </w:r>
      <w:r>
        <w:rPr>
          <w:rFonts w:hint="eastAsia" w:cs="Times New Roman"/>
          <w:b w:val="0"/>
          <w:bCs w:val="0"/>
          <w:color w:val="000000" w:themeColor="text1"/>
          <w:kern w:val="2"/>
          <w:sz w:val="24"/>
          <w:szCs w:val="32"/>
          <w:lang w:val="en-US" w:eastAsia="zh-CN" w:bidi="ar-SA"/>
          <w14:textFill>
            <w14:solidFill>
              <w14:schemeClr w14:val="tx1"/>
            </w14:solidFill>
          </w14:textFill>
        </w:rPr>
        <w:t>kV</w:t>
      </w: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三相导线，各相导线对地电压为：</w:t>
      </w:r>
    </w:p>
    <w:p w14:paraId="61C6F3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916555" cy="365760"/>
            <wp:effectExtent l="0" t="0" r="9525" b="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10"/>
                    <a:stretch>
                      <a:fillRect/>
                    </a:stretch>
                  </pic:blipFill>
                  <pic:spPr>
                    <a:xfrm>
                      <a:off x="0" y="0"/>
                      <a:ext cx="2916555" cy="365760"/>
                    </a:xfrm>
                    <a:prstGeom prst="rect">
                      <a:avLst/>
                    </a:prstGeom>
                    <a:noFill/>
                    <a:ln>
                      <a:noFill/>
                    </a:ln>
                  </pic:spPr>
                </pic:pic>
              </a:graphicData>
            </a:graphic>
          </wp:inline>
        </w:drawing>
      </w:r>
    </w:p>
    <w:p w14:paraId="061D9B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110</w:t>
      </w:r>
      <w:r>
        <w:rPr>
          <w:rFonts w:hint="eastAsia" w:cs="Times New Roman"/>
          <w:b w:val="0"/>
          <w:bCs w:val="0"/>
          <w:color w:val="000000" w:themeColor="text1"/>
          <w:kern w:val="2"/>
          <w:sz w:val="24"/>
          <w:szCs w:val="32"/>
          <w:lang w:val="en-US" w:eastAsia="zh-CN" w:bidi="ar-SA"/>
          <w14:textFill>
            <w14:solidFill>
              <w14:schemeClr w14:val="tx1"/>
            </w14:solidFill>
          </w14:textFill>
        </w:rPr>
        <w:t>kV</w:t>
      </w: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各相导线对地电压分量为：</w:t>
      </w:r>
    </w:p>
    <w:p w14:paraId="5B7E63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UA=（66.7+j0）</w:t>
      </w:r>
      <w:r>
        <w:rPr>
          <w:rFonts w:hint="eastAsia" w:cs="Times New Roman"/>
          <w:b w:val="0"/>
          <w:bCs w:val="0"/>
          <w:color w:val="000000" w:themeColor="text1"/>
          <w:kern w:val="2"/>
          <w:sz w:val="24"/>
          <w:szCs w:val="32"/>
          <w:lang w:val="en-US" w:eastAsia="zh-CN" w:bidi="ar-SA"/>
          <w14:textFill>
            <w14:solidFill>
              <w14:schemeClr w14:val="tx1"/>
            </w14:solidFill>
          </w14:textFill>
        </w:rPr>
        <w:t>kV</w:t>
      </w:r>
    </w:p>
    <w:p w14:paraId="1A00DA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UB=（-33.4+j66.7）</w:t>
      </w:r>
      <w:r>
        <w:rPr>
          <w:rFonts w:hint="eastAsia" w:cs="Times New Roman"/>
          <w:b w:val="0"/>
          <w:bCs w:val="0"/>
          <w:color w:val="000000" w:themeColor="text1"/>
          <w:kern w:val="2"/>
          <w:sz w:val="24"/>
          <w:szCs w:val="32"/>
          <w:lang w:val="en-US" w:eastAsia="zh-CN" w:bidi="ar-SA"/>
          <w14:textFill>
            <w14:solidFill>
              <w14:schemeClr w14:val="tx1"/>
            </w14:solidFill>
          </w14:textFill>
        </w:rPr>
        <w:t>kV</w:t>
      </w:r>
    </w:p>
    <w:p w14:paraId="365EAE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32"/>
          <w:lang w:val="en-US" w:eastAsia="zh-CN" w:bidi="ar-SA"/>
          <w14:textFill>
            <w14:solidFill>
              <w14:schemeClr w14:val="tx1"/>
            </w14:solidFill>
          </w14:textFill>
        </w:rPr>
        <w:t>UC=（-33.4-j66.7）</w:t>
      </w:r>
      <w:r>
        <w:rPr>
          <w:rFonts w:hint="eastAsia" w:cs="Times New Roman"/>
          <w:b w:val="0"/>
          <w:bCs w:val="0"/>
          <w:color w:val="000000" w:themeColor="text1"/>
          <w:kern w:val="2"/>
          <w:sz w:val="24"/>
          <w:szCs w:val="32"/>
          <w:lang w:val="en-US" w:eastAsia="zh-CN" w:bidi="ar-SA"/>
          <w14:textFill>
            <w14:solidFill>
              <w14:schemeClr w14:val="tx1"/>
            </w14:solidFill>
          </w14:textFill>
        </w:rPr>
        <w:t>kV</w:t>
      </w:r>
    </w:p>
    <w:p w14:paraId="58C00FF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1416685</wp:posOffset>
            </wp:positionH>
            <wp:positionV relativeFrom="page">
              <wp:posOffset>6029960</wp:posOffset>
            </wp:positionV>
            <wp:extent cx="2514600" cy="1062355"/>
            <wp:effectExtent l="0" t="0" r="0" b="4445"/>
            <wp:wrapTopAndBottom/>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11"/>
                    <a:srcRect t="10588" b="7402"/>
                    <a:stretch>
                      <a:fillRect/>
                    </a:stretch>
                  </pic:blipFill>
                  <pic:spPr>
                    <a:xfrm>
                      <a:off x="0" y="0"/>
                      <a:ext cx="2514600" cy="1062355"/>
                    </a:xfrm>
                    <a:prstGeom prst="rect">
                      <a:avLst/>
                    </a:prstGeom>
                    <a:noFill/>
                    <a:ln>
                      <a:noFill/>
                    </a:ln>
                  </pic:spPr>
                </pic:pic>
              </a:graphicData>
            </a:graphic>
          </wp:anchor>
        </w:drawing>
      </w:r>
      <w:r>
        <w:rPr>
          <w:color w:val="000000" w:themeColor="text1"/>
          <w14:textFill>
            <w14:solidFill>
              <w14:schemeClr w14:val="tx1"/>
            </w14:solidFill>
          </w14:textFill>
        </w:rPr>
        <w:drawing>
          <wp:inline distT="0" distB="0" distL="114300" distR="114300">
            <wp:extent cx="2931795" cy="2284730"/>
            <wp:effectExtent l="0" t="0" r="9525" b="1270"/>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12">
                      <a:lum bright="-6000" contrast="24000"/>
                    </a:blip>
                    <a:srcRect b="2067"/>
                    <a:stretch>
                      <a:fillRect/>
                    </a:stretch>
                  </pic:blipFill>
                  <pic:spPr>
                    <a:xfrm>
                      <a:off x="0" y="0"/>
                      <a:ext cx="2931795" cy="2284730"/>
                    </a:xfrm>
                    <a:prstGeom prst="rect">
                      <a:avLst/>
                    </a:prstGeom>
                    <a:noFill/>
                    <a:ln>
                      <a:noFill/>
                    </a:ln>
                  </pic:spPr>
                </pic:pic>
              </a:graphicData>
            </a:graphic>
          </wp:inline>
        </w:drawing>
      </w:r>
    </w:p>
    <w:p w14:paraId="2220DB1E">
      <w:pPr>
        <w:keepNext w:val="0"/>
        <w:keepLines w:val="0"/>
        <w:widowControl/>
        <w:suppressLineNumbers w:val="0"/>
        <w:jc w:val="center"/>
        <w:rPr>
          <w:rFonts w:hint="eastAsia" w:ascii="Times New Roman" w:hAnsi="Times New Roman" w:cs="Times New Roman"/>
          <w:b/>
          <w:bCs/>
          <w:color w:val="000000" w:themeColor="text1"/>
          <w:sz w:val="22"/>
          <w:szCs w:val="28"/>
          <w:lang w:val="en-US" w:eastAsia="zh-CN"/>
          <w14:textFill>
            <w14:solidFill>
              <w14:schemeClr w14:val="tx1"/>
            </w14:solidFill>
          </w14:textFill>
        </w:rPr>
      </w:pPr>
      <w:r>
        <w:rPr>
          <w:rFonts w:hint="default" w:ascii="Times New Roman" w:hAnsi="Times New Roman" w:cs="Times New Roman"/>
          <w:b/>
          <w:bCs/>
          <w:color w:val="000000" w:themeColor="text1"/>
          <w:sz w:val="22"/>
          <w:szCs w:val="28"/>
          <w:lang w:val="en-US" w:eastAsia="zh-CN"/>
          <w14:textFill>
            <w14:solidFill>
              <w14:schemeClr w14:val="tx1"/>
            </w14:solidFill>
          </w14:textFill>
        </w:rPr>
        <w:t>图</w:t>
      </w:r>
      <w:r>
        <w:rPr>
          <w:rFonts w:hint="eastAsia" w:cs="Times New Roman"/>
          <w:b/>
          <w:bCs/>
          <w:color w:val="000000" w:themeColor="text1"/>
          <w:sz w:val="22"/>
          <w:szCs w:val="28"/>
          <w:lang w:val="en-US" w:eastAsia="zh-CN"/>
          <w14:textFill>
            <w14:solidFill>
              <w14:schemeClr w14:val="tx1"/>
            </w14:solidFill>
          </w14:textFill>
        </w:rPr>
        <w:t>3</w:t>
      </w:r>
      <w:r>
        <w:rPr>
          <w:rFonts w:hint="default" w:ascii="Times New Roman" w:hAnsi="Times New Roman" w:cs="Times New Roman"/>
          <w:b/>
          <w:bCs/>
          <w:color w:val="000000" w:themeColor="text1"/>
          <w:sz w:val="22"/>
          <w:szCs w:val="28"/>
          <w:lang w:val="en-US" w:eastAsia="zh-CN"/>
          <w14:textFill>
            <w14:solidFill>
              <w14:schemeClr w14:val="tx1"/>
            </w14:solidFill>
          </w14:textFill>
        </w:rPr>
        <w:t>.2-1</w:t>
      </w:r>
      <w:r>
        <w:rPr>
          <w:rFonts w:hint="eastAsia" w:ascii="Times New Roman" w:hAnsi="Times New Roman" w:cs="Times New Roman"/>
          <w:b/>
          <w:bCs/>
          <w:color w:val="000000" w:themeColor="text1"/>
          <w:sz w:val="22"/>
          <w:szCs w:val="28"/>
          <w:lang w:val="en-US" w:eastAsia="zh-CN"/>
          <w14:textFill>
            <w14:solidFill>
              <w14:schemeClr w14:val="tx1"/>
            </w14:solidFill>
          </w14:textFill>
        </w:rPr>
        <w:t xml:space="preserve"> </w:t>
      </w:r>
      <w:r>
        <w:rPr>
          <w:rFonts w:hint="eastAsia" w:cs="Times New Roman"/>
          <w:b/>
          <w:bCs/>
          <w:color w:val="000000" w:themeColor="text1"/>
          <w:sz w:val="22"/>
          <w:szCs w:val="28"/>
          <w:lang w:val="en-US" w:eastAsia="zh-CN"/>
          <w14:textFill>
            <w14:solidFill>
              <w14:schemeClr w14:val="tx1"/>
            </w14:solidFill>
          </w14:textFill>
        </w:rPr>
        <w:t xml:space="preserve"> </w:t>
      </w:r>
      <w:r>
        <w:rPr>
          <w:rFonts w:hint="eastAsia" w:ascii="Times New Roman" w:hAnsi="Times New Roman" w:cs="Times New Roman"/>
          <w:b/>
          <w:bCs/>
          <w:color w:val="000000" w:themeColor="text1"/>
          <w:sz w:val="22"/>
          <w:szCs w:val="28"/>
          <w:lang w:val="en-US" w:eastAsia="zh-CN"/>
          <w14:textFill>
            <w14:solidFill>
              <w14:schemeClr w14:val="tx1"/>
            </w14:solidFill>
          </w14:textFill>
        </w:rPr>
        <w:t>对地电压计算图</w:t>
      </w:r>
    </w:p>
    <w:p w14:paraId="28B9B49F">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﹝λ﹞矩阵由镜像原理求得。地面为电位等于零的平面，地面的感应电荷可由对应地面导线的镜像电荷代替，用i，j，… 表示相互平行的实际导线，用i′，j′，… 表示它们的镜像，电位系数可写为：</w:t>
      </w:r>
    </w:p>
    <w:p w14:paraId="021A75ED">
      <w:pPr>
        <w:keepNext w:val="0"/>
        <w:keepLines w:val="0"/>
        <w:pageBreakBefore w:val="0"/>
        <w:widowControl/>
        <w:suppressLineNumbers w:val="0"/>
        <w:kinsoku/>
        <w:wordWrap/>
        <w:overflowPunct/>
        <w:topLinePunct w:val="0"/>
        <w:autoSpaceDE/>
        <w:autoSpaceDN/>
        <w:bidi w:val="0"/>
        <w:adjustRightInd/>
        <w:snapToGrid/>
        <w:spacing w:line="360" w:lineRule="auto"/>
        <w:ind w:firstLine="3600" w:firstLineChars="1500"/>
        <w:jc w:val="left"/>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position w:val="-104"/>
          <w:sz w:val="24"/>
          <w:szCs w:val="24"/>
          <w:lang w:val="en-US" w:eastAsia="zh-CN" w:bidi="ar"/>
          <w14:textFill>
            <w14:solidFill>
              <w14:schemeClr w14:val="tx1"/>
            </w14:solidFill>
          </w14:textFill>
        </w:rPr>
        <w:object>
          <v:shape id="_x0000_i1025" o:spt="75" type="#_x0000_t75" style="height:126pt;width:78pt;" o:ole="t" filled="f" o:preferrelative="t" stroked="f" coordsize="21600,21600">
            <v:path/>
            <v:fill on="f" focussize="0,0"/>
            <v:stroke on="f"/>
            <v:imagedata r:id="rId14" o:title=""/>
            <o:lock v:ext="edit" aspectratio="t"/>
            <w10:wrap type="none"/>
            <w10:anchorlock/>
          </v:shape>
          <o:OLEObject Type="Embed" ProgID="Equation.KSEE3" ShapeID="_x0000_i1025" DrawAspect="Content" ObjectID="_1468075725" r:id="rId13">
            <o:LockedField>false</o:LockedField>
          </o:OLEObject>
        </w:object>
      </w:r>
    </w:p>
    <w:p w14:paraId="69A6F0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式中：ε</w:t>
      </w:r>
      <w:r>
        <w:rPr>
          <w:rFonts w:hint="default" w:ascii="Times New Roman" w:hAnsi="Times New Roman" w:cs="Times New Roman"/>
          <w:color w:val="000000" w:themeColor="text1"/>
          <w:kern w:val="0"/>
          <w:sz w:val="24"/>
          <w:szCs w:val="24"/>
          <w:vertAlign w:val="subscript"/>
          <w:lang w:val="en-US" w:eastAsia="zh-CN" w:bidi="ar"/>
          <w14:textFill>
            <w14:solidFill>
              <w14:schemeClr w14:val="tx1"/>
            </w14:solidFill>
          </w14:textFill>
        </w:rPr>
        <w:t>0</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——真空介电常数，</w:t>
      </w:r>
      <w:r>
        <w:rPr>
          <w:rFonts w:hint="default" w:ascii="Times New Roman" w:hAnsi="Times New Roman" w:cs="Times New Roman"/>
          <w:color w:val="000000" w:themeColor="text1"/>
          <w:kern w:val="0"/>
          <w:position w:val="-24"/>
          <w:sz w:val="24"/>
          <w:szCs w:val="24"/>
          <w:vertAlign w:val="baseline"/>
          <w:lang w:val="en-US" w:eastAsia="zh-CN" w:bidi="ar"/>
          <w14:textFill>
            <w14:solidFill>
              <w14:schemeClr w14:val="tx1"/>
            </w14:solidFill>
          </w14:textFill>
        </w:rPr>
        <w:object>
          <v:shape id="_x0000_i1026" o:spt="75" type="#_x0000_t75" style="height:31pt;width:103pt;" o:ole="t" filled="f" o:preferrelative="t" stroked="f" coordsize="21600,21600">
            <v:path/>
            <v:fill on="f" focussize="0,0"/>
            <v:stroke on="f"/>
            <v:imagedata r:id="rId16" o:title=""/>
            <o:lock v:ext="edit" aspectratio="t"/>
            <w10:wrap type="none"/>
            <w10:anchorlock/>
          </v:shape>
          <o:OLEObject Type="Embed" ProgID="Equation.KSEE3" ShapeID="_x0000_i1026" DrawAspect="Content" ObjectID="_1468075726" r:id="rId15">
            <o:LockedField>false</o:LockedField>
          </o:OLEObject>
        </w:objec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w:t>
      </w:r>
    </w:p>
    <w:p w14:paraId="16F36514">
      <w:pPr>
        <w:pStyle w:val="13"/>
        <w:keepNext w:val="0"/>
        <w:keepLines w:val="0"/>
        <w:pageBreakBefore w:val="0"/>
        <w:kinsoku/>
        <w:wordWrap/>
        <w:overflowPunct/>
        <w:topLinePunct w:val="0"/>
        <w:autoSpaceDE/>
        <w:autoSpaceDN/>
        <w:bidi w:val="0"/>
        <w:adjustRightInd/>
        <w:snapToGrid/>
        <w:spacing w:after="0" w:line="360" w:lineRule="auto"/>
        <w:textAlignment w:val="auto"/>
        <w:rPr>
          <w:rFonts w:hint="eastAsia" w:ascii="Times New Roman" w:hAnsi="Times New Roman" w:cs="Times New Roman"/>
          <w:color w:val="000000" w:themeColor="text1"/>
          <w:kern w:val="0"/>
          <w:sz w:val="24"/>
          <w:szCs w:val="24"/>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 xml:space="preserve">        R</w:t>
      </w:r>
      <w:r>
        <w:rPr>
          <w:rFonts w:hint="default" w:ascii="Times New Roman" w:hAnsi="Times New Roman" w:cs="Times New Roman"/>
          <w:color w:val="000000" w:themeColor="text1"/>
          <w:kern w:val="0"/>
          <w:sz w:val="24"/>
          <w:szCs w:val="24"/>
          <w:vertAlign w:val="subscript"/>
          <w:lang w:val="en-US" w:eastAsia="zh-CN" w:bidi="ar"/>
          <w14:textFill>
            <w14:solidFill>
              <w14:schemeClr w14:val="tx1"/>
            </w14:solidFill>
          </w14:textFill>
        </w:rPr>
        <w:t>i</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——输电导线半径，对于分裂导线可用等效单根导线半径</w:t>
      </w:r>
      <w:r>
        <w:rPr>
          <w:rFonts w:hint="eastAsia" w:ascii="Times New Roman" w:hAnsi="Times New Roman" w:cs="Times New Roman"/>
          <w:color w:val="000000" w:themeColor="text1"/>
          <w:kern w:val="0"/>
          <w:sz w:val="24"/>
          <w:szCs w:val="24"/>
          <w:vertAlign w:val="baseline"/>
          <w:lang w:val="en-US" w:eastAsia="zh-CN" w:bidi="ar"/>
          <w14:textFill>
            <w14:solidFill>
              <w14:schemeClr w14:val="tx1"/>
            </w14:solidFill>
          </w14:textFill>
        </w:rPr>
        <w:t>代</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入，R</w:t>
      </w:r>
      <w:r>
        <w:rPr>
          <w:rFonts w:hint="default" w:ascii="Times New Roman" w:hAnsi="Times New Roman" w:cs="Times New Roman"/>
          <w:color w:val="000000" w:themeColor="text1"/>
          <w:kern w:val="0"/>
          <w:sz w:val="24"/>
          <w:szCs w:val="24"/>
          <w:vertAlign w:val="subscript"/>
          <w:lang w:val="en-US" w:eastAsia="zh-CN" w:bidi="ar"/>
          <w14:textFill>
            <w14:solidFill>
              <w14:schemeClr w14:val="tx1"/>
            </w14:solidFill>
          </w14:textFill>
        </w:rPr>
        <w:t>i</w:t>
      </w:r>
      <w:r>
        <w:rPr>
          <w:rFonts w:hint="eastAsia" w:ascii="Times New Roman" w:hAnsi="Times New Roman" w:cs="Times New Roman"/>
          <w:color w:val="000000" w:themeColor="text1"/>
          <w:kern w:val="0"/>
          <w:sz w:val="24"/>
          <w:szCs w:val="24"/>
          <w:vertAlign w:val="baseline"/>
          <w:lang w:val="en-US" w:eastAsia="zh-CN" w:bidi="ar"/>
          <w14:textFill>
            <w14:solidFill>
              <w14:schemeClr w14:val="tx1"/>
            </w14:solidFill>
          </w14:textFill>
        </w:rPr>
        <w:t>的计算式为（等效半径计算图，见图4.2-3）：</w:t>
      </w:r>
    </w:p>
    <w:p w14:paraId="1259E2EC">
      <w:pPr>
        <w:pStyle w:val="13"/>
        <w:ind w:firstLine="3840" w:firstLineChars="1600"/>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kern w:val="0"/>
          <w:position w:val="-26"/>
          <w:sz w:val="24"/>
          <w:szCs w:val="24"/>
          <w:vertAlign w:val="baseline"/>
          <w:lang w:val="en-US" w:eastAsia="zh-CN" w:bidi="ar"/>
          <w14:textFill>
            <w14:solidFill>
              <w14:schemeClr w14:val="tx1"/>
            </w14:solidFill>
          </w14:textFill>
        </w:rPr>
        <w:object>
          <v:shape id="_x0000_i1027" o:spt="75" type="#_x0000_t75" style="height:35pt;width:59pt;" o:ole="t" filled="f" o:preferrelative="t" stroked="f" coordsize="21600,21600">
            <v:path/>
            <v:fill on="f" focussize="0,0"/>
            <v:stroke on="f"/>
            <v:imagedata r:id="rId18" o:title=""/>
            <o:lock v:ext="edit" aspectratio="t"/>
            <w10:wrap type="none"/>
            <w10:anchorlock/>
          </v:shape>
          <o:OLEObject Type="Embed" ProgID="Equation.KSEE3" ShapeID="_x0000_i1027" DrawAspect="Content" ObjectID="_1468075727" r:id="rId17">
            <o:LockedField>false</o:LockedField>
          </o:OLEObject>
        </w:object>
      </w:r>
    </w:p>
    <w:p w14:paraId="7E8164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式中：</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R</w:t>
      </w:r>
      <w:r>
        <w:rPr>
          <w:rFonts w:hint="default" w:ascii="Times New Roman" w:hAnsi="Times New Roman" w:cs="Times New Roman"/>
          <w:b w:val="0"/>
          <w:bCs w:val="0"/>
          <w:color w:val="000000" w:themeColor="text1"/>
          <w:kern w:val="0"/>
          <w:sz w:val="24"/>
          <w:szCs w:val="24"/>
          <w:vertAlign w:val="baseline"/>
          <w:lang w:val="en-US" w:eastAsia="zh-CN" w:bidi="ar"/>
          <w14:textFill>
            <w14:solidFill>
              <w14:schemeClr w14:val="tx1"/>
            </w14:solidFill>
          </w14:textFill>
        </w:rPr>
        <w:t>——</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分裂导线半径，m；</w:t>
      </w:r>
    </w:p>
    <w:p w14:paraId="3F755938">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n</w:t>
      </w:r>
      <w:r>
        <w:rPr>
          <w:rFonts w:hint="default" w:ascii="Times New Roman" w:hAnsi="Times New Roman" w:cs="Times New Roman"/>
          <w:b w:val="0"/>
          <w:bCs w:val="0"/>
          <w:color w:val="000000" w:themeColor="text1"/>
          <w:kern w:val="0"/>
          <w:sz w:val="24"/>
          <w:szCs w:val="24"/>
          <w:vertAlign w:val="baseline"/>
          <w:lang w:val="en-US" w:eastAsia="zh-CN" w:bidi="ar"/>
          <w14:textFill>
            <w14:solidFill>
              <w14:schemeClr w14:val="tx1"/>
            </w14:solidFill>
          </w14:textFill>
        </w:rPr>
        <w:t>——</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次导线根数；</w:t>
      </w:r>
    </w:p>
    <w:p w14:paraId="6693A6B8">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eastAsia"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r——</w:t>
      </w:r>
      <w:r>
        <w:rPr>
          <w:rFonts w:hint="eastAsia" w:ascii="Times New Roman" w:hAnsi="Times New Roman" w:cs="Times New Roman"/>
          <w:b w:val="0"/>
          <w:bCs w:val="0"/>
          <w:color w:val="000000" w:themeColor="text1"/>
          <w:sz w:val="24"/>
          <w:lang w:val="en-US" w:eastAsia="zh-CN"/>
          <w14:textFill>
            <w14:solidFill>
              <w14:schemeClr w14:val="tx1"/>
            </w14:solidFill>
          </w14:textFill>
        </w:rPr>
        <w:t>次导线半径，m；</w:t>
      </w:r>
    </w:p>
    <w:p w14:paraId="6BE728F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由</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U</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矩阵和</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λ</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矩阵，利用式等效电荷矩阵方程即可解出</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Q</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矩阵。空间任意一点的电场强度可根据叠加原理计算得出，在</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x，y</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点的电场强度分量</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Ex</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和</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Ey</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可表示为：</w:t>
      </w:r>
    </w:p>
    <w:p w14:paraId="5373DCD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color w:val="000000" w:themeColor="text1"/>
          <w14:textFill>
            <w14:solidFill>
              <w14:schemeClr w14:val="tx1"/>
            </w14:solidFill>
          </w14:textFill>
        </w:rPr>
        <w:drawing>
          <wp:inline distT="0" distB="0" distL="114300" distR="114300">
            <wp:extent cx="4055745" cy="1657350"/>
            <wp:effectExtent l="0" t="0" r="13335" b="3810"/>
            <wp:docPr id="5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7"/>
                    <pic:cNvPicPr>
                      <a:picLocks noChangeAspect="1"/>
                    </pic:cNvPicPr>
                  </pic:nvPicPr>
                  <pic:blipFill>
                    <a:blip r:embed="rId19">
                      <a:lum bright="-6000" contrast="18000"/>
                    </a:blip>
                    <a:stretch>
                      <a:fillRect/>
                    </a:stretch>
                  </pic:blipFill>
                  <pic:spPr>
                    <a:xfrm>
                      <a:off x="0" y="0"/>
                      <a:ext cx="4055745" cy="1657350"/>
                    </a:xfrm>
                    <a:prstGeom prst="rect">
                      <a:avLst/>
                    </a:prstGeom>
                    <a:noFill/>
                    <a:ln>
                      <a:noFill/>
                    </a:ln>
                  </pic:spPr>
                </pic:pic>
              </a:graphicData>
            </a:graphic>
          </wp:inline>
        </w:drawing>
      </w:r>
    </w:p>
    <w:p w14:paraId="7BDFAFF2">
      <w:pPr>
        <w:keepNext w:val="0"/>
        <w:keepLines w:val="0"/>
        <w:pageBreakBefore w:val="0"/>
        <w:widowControl w:val="0"/>
        <w:kinsoku/>
        <w:wordWrap/>
        <w:overflowPunct/>
        <w:topLinePunct w:val="0"/>
        <w:autoSpaceDE/>
        <w:autoSpaceDN/>
        <w:bidi w:val="0"/>
        <w:adjustRightInd/>
        <w:snapToGrid/>
        <w:spacing w:line="360" w:lineRule="auto"/>
        <w:ind w:firstLine="883" w:firstLineChars="400"/>
        <w:textAlignment w:val="auto"/>
        <w:rPr>
          <w:rFonts w:hint="eastAsia" w:cs="Times New Roman"/>
          <w:b/>
          <w:color w:val="000000" w:themeColor="text1"/>
          <w:sz w:val="22"/>
          <w:szCs w:val="22"/>
          <w:lang w:val="en-US" w:eastAsia="zh-CN"/>
          <w14:textFill>
            <w14:solidFill>
              <w14:schemeClr w14:val="tx1"/>
            </w14:solidFill>
          </w14:textFill>
        </w:rPr>
      </w:pPr>
      <w:r>
        <w:rPr>
          <w:rFonts w:hint="eastAsia" w:cs="Times New Roman"/>
          <w:b/>
          <w:color w:val="000000" w:themeColor="text1"/>
          <w:sz w:val="22"/>
          <w:szCs w:val="22"/>
          <w:lang w:val="en-US" w:eastAsia="zh-CN"/>
          <w14:textFill>
            <w14:solidFill>
              <w14:schemeClr w14:val="tx1"/>
            </w14:solidFill>
          </w14:textFill>
        </w:rPr>
        <w:t>图3.2-2  电位系数计算图                 图3.2-3  等效半径计算图</w:t>
      </w:r>
    </w:p>
    <w:p w14:paraId="045D9773">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color w:val="000000" w:themeColor="text1"/>
          <w14:textFill>
            <w14:solidFill>
              <w14:schemeClr w14:val="tx1"/>
            </w14:solidFill>
          </w14:textFill>
        </w:rPr>
        <w:drawing>
          <wp:inline distT="0" distB="0" distL="114300" distR="114300">
            <wp:extent cx="2457450" cy="1028700"/>
            <wp:effectExtent l="0" t="0" r="11430" b="7620"/>
            <wp:docPr id="5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8"/>
                    <pic:cNvPicPr>
                      <a:picLocks noChangeAspect="1"/>
                    </pic:cNvPicPr>
                  </pic:nvPicPr>
                  <pic:blipFill>
                    <a:blip r:embed="rId20"/>
                    <a:stretch>
                      <a:fillRect/>
                    </a:stretch>
                  </pic:blipFill>
                  <pic:spPr>
                    <a:xfrm>
                      <a:off x="0" y="0"/>
                      <a:ext cx="2457450" cy="1028700"/>
                    </a:xfrm>
                    <a:prstGeom prst="rect">
                      <a:avLst/>
                    </a:prstGeom>
                    <a:noFill/>
                    <a:ln>
                      <a:noFill/>
                    </a:ln>
                  </pic:spPr>
                </pic:pic>
              </a:graphicData>
            </a:graphic>
          </wp:inline>
        </w:drawing>
      </w:r>
    </w:p>
    <w:p w14:paraId="2D4266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式中：</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x</w:t>
      </w:r>
      <w:r>
        <w:rPr>
          <w:rFonts w:hint="default" w:ascii="Times New Roman" w:hAnsi="Times New Roman" w:cs="Times New Roman"/>
          <w:b w:val="0"/>
          <w:bCs w:val="0"/>
          <w:color w:val="000000" w:themeColor="text1"/>
          <w:kern w:val="0"/>
          <w:sz w:val="24"/>
          <w:szCs w:val="24"/>
          <w:vertAlign w:val="subscript"/>
          <w:lang w:val="en-US" w:eastAsia="zh-CN" w:bidi="ar"/>
          <w14:textFill>
            <w14:solidFill>
              <w14:schemeClr w14:val="tx1"/>
            </w14:solidFill>
          </w14:textFill>
        </w:rPr>
        <w:t>i</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，y</w:t>
      </w:r>
      <w:r>
        <w:rPr>
          <w:rFonts w:hint="default" w:ascii="Times New Roman" w:hAnsi="Times New Roman" w:cs="Times New Roman"/>
          <w:b w:val="0"/>
          <w:bCs w:val="0"/>
          <w:color w:val="000000" w:themeColor="text1"/>
          <w:kern w:val="0"/>
          <w:sz w:val="24"/>
          <w:szCs w:val="24"/>
          <w:vertAlign w:val="subscript"/>
          <w:lang w:val="en-US" w:eastAsia="zh-CN" w:bidi="ar"/>
          <w14:textFill>
            <w14:solidFill>
              <w14:schemeClr w14:val="tx1"/>
            </w14:solidFill>
          </w14:textFill>
        </w:rPr>
        <w:t>i</w:t>
      </w:r>
      <w:r>
        <w:rPr>
          <w:rFonts w:hint="default" w:ascii="Times New Roman" w:hAnsi="Times New Roman" w:cs="Times New Roman"/>
          <w:b w:val="0"/>
          <w:bCs w:val="0"/>
          <w:color w:val="000000" w:themeColor="text1"/>
          <w:sz w:val="24"/>
          <w:lang w:val="en-US" w:eastAsia="zh-CN"/>
          <w14:textFill>
            <w14:solidFill>
              <w14:schemeClr w14:val="tx1"/>
            </w14:solidFill>
          </w14:textFill>
        </w:rPr>
        <w:t>——导线i的坐标（i=1、2、...m）；</w:t>
      </w:r>
    </w:p>
    <w:p w14:paraId="29074D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      m——导线数目；</w:t>
      </w:r>
    </w:p>
    <w:p w14:paraId="338897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      L</w:t>
      </w:r>
      <w:r>
        <w:rPr>
          <w:rFonts w:hint="default" w:ascii="Times New Roman" w:hAnsi="Times New Roman" w:cs="Times New Roman"/>
          <w:b w:val="0"/>
          <w:bCs w:val="0"/>
          <w:color w:val="000000" w:themeColor="text1"/>
          <w:sz w:val="24"/>
          <w:vertAlign w:val="subscript"/>
          <w:lang w:val="en-US" w:eastAsia="zh-CN"/>
          <w14:textFill>
            <w14:solidFill>
              <w14:schemeClr w14:val="tx1"/>
            </w14:solidFill>
          </w14:textFill>
        </w:rPr>
        <w:t>i</w:t>
      </w:r>
      <w:r>
        <w:rPr>
          <w:rFonts w:hint="default" w:ascii="Times New Roman" w:hAnsi="Times New Roman" w:cs="Times New Roman"/>
          <w:b w:val="0"/>
          <w:bCs w:val="0"/>
          <w:color w:val="000000" w:themeColor="text1"/>
          <w:sz w:val="24"/>
          <w:lang w:val="en-US" w:eastAsia="zh-CN"/>
          <w14:textFill>
            <w14:solidFill>
              <w14:schemeClr w14:val="tx1"/>
            </w14:solidFill>
          </w14:textFill>
        </w:rPr>
        <w:t>，L</w:t>
      </w:r>
      <w:r>
        <w:rPr>
          <w:rFonts w:hint="default" w:ascii="Times New Roman" w:hAnsi="Times New Roman" w:cs="Times New Roman"/>
          <w:b w:val="0"/>
          <w:bCs w:val="0"/>
          <w:color w:val="000000" w:themeColor="text1"/>
          <w:sz w:val="24"/>
          <w:vertAlign w:val="superscript"/>
          <w:lang w:val="en-US" w:eastAsia="zh-CN"/>
          <w14:textFill>
            <w14:solidFill>
              <w14:schemeClr w14:val="tx1"/>
            </w14:solidFill>
          </w14:textFill>
        </w:rPr>
        <w:t>’</w:t>
      </w:r>
      <w:r>
        <w:rPr>
          <w:rFonts w:hint="default" w:ascii="Times New Roman" w:hAnsi="Times New Roman" w:cs="Times New Roman"/>
          <w:b w:val="0"/>
          <w:bCs w:val="0"/>
          <w:color w:val="000000" w:themeColor="text1"/>
          <w:sz w:val="24"/>
          <w:vertAlign w:val="subscript"/>
          <w:lang w:val="en-US" w:eastAsia="zh-CN"/>
          <w14:textFill>
            <w14:solidFill>
              <w14:schemeClr w14:val="tx1"/>
            </w14:solidFill>
          </w14:textFill>
        </w:rPr>
        <w:t>i</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lang w:val="en-US" w:eastAsia="zh-CN"/>
          <w14:textFill>
            <w14:solidFill>
              <w14:schemeClr w14:val="tx1"/>
            </w14:solidFill>
          </w14:textFill>
        </w:rPr>
        <w:t>封闭额为导线i及其镜像至计算点的距离，m。</w:t>
      </w:r>
    </w:p>
    <w:p w14:paraId="5D93D1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b w:val="0"/>
          <w:bCs w:val="0"/>
          <w:color w:val="000000" w:themeColor="text1"/>
          <w:sz w:val="24"/>
          <w:lang w:val="en-US" w:eastAsia="zh-CN"/>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2094230</wp:posOffset>
            </wp:positionH>
            <wp:positionV relativeFrom="page">
              <wp:posOffset>6443345</wp:posOffset>
            </wp:positionV>
            <wp:extent cx="1552575" cy="1123950"/>
            <wp:effectExtent l="0" t="0" r="1905" b="3810"/>
            <wp:wrapTopAndBottom/>
            <wp:docPr id="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9"/>
                    <pic:cNvPicPr>
                      <a:picLocks noChangeAspect="1"/>
                    </pic:cNvPicPr>
                  </pic:nvPicPr>
                  <pic:blipFill>
                    <a:blip r:embed="rId21"/>
                    <a:stretch>
                      <a:fillRect/>
                    </a:stretch>
                  </pic:blipFill>
                  <pic:spPr>
                    <a:xfrm>
                      <a:off x="0" y="0"/>
                      <a:ext cx="1552575" cy="1123950"/>
                    </a:xfrm>
                    <a:prstGeom prst="rect">
                      <a:avLst/>
                    </a:prstGeom>
                    <a:noFill/>
                    <a:ln>
                      <a:noFill/>
                    </a:ln>
                  </pic:spPr>
                </pic:pic>
              </a:graphicData>
            </a:graphic>
          </wp:anchor>
        </w:drawing>
      </w:r>
      <w:r>
        <w:rPr>
          <w:rFonts w:hint="eastAsia" w:ascii="Times New Roman" w:hAnsi="Times New Roman" w:cs="Times New Roman"/>
          <w:b w:val="0"/>
          <w:bCs w:val="0"/>
          <w:color w:val="000000" w:themeColor="text1"/>
          <w:sz w:val="24"/>
          <w:lang w:val="en-US" w:eastAsia="zh-CN"/>
          <w14:textFill>
            <w14:solidFill>
              <w14:schemeClr w14:val="tx1"/>
            </w14:solidFill>
          </w14:textFill>
        </w:rPr>
        <w:t>对于三相交流线路，可根据求得的电荷计算空间任一点电场强度的水平和垂直分量为：</w:t>
      </w:r>
    </w:p>
    <w:p w14:paraId="562DBA0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式中：E</w:t>
      </w:r>
      <w:r>
        <w:rPr>
          <w:rFonts w:hint="eastAsia" w:ascii="Times New Roman" w:hAnsi="Times New Roman" w:cs="Times New Roman"/>
          <w:b w:val="0"/>
          <w:bCs w:val="0"/>
          <w:color w:val="000000" w:themeColor="text1"/>
          <w:sz w:val="24"/>
          <w:vertAlign w:val="subscript"/>
          <w:lang w:val="en-US" w:eastAsia="zh-CN"/>
          <w14:textFill>
            <w14:solidFill>
              <w14:schemeClr w14:val="tx1"/>
            </w14:solidFill>
          </w14:textFill>
        </w:rPr>
        <w:t>xR</w:t>
      </w: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——由各导线的实部电荷在该点产生场强的水平分量； </w:t>
      </w:r>
    </w:p>
    <w:p w14:paraId="419AE58A">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E</w:t>
      </w:r>
      <w:r>
        <w:rPr>
          <w:rFonts w:hint="default" w:ascii="Times New Roman" w:hAnsi="Times New Roman" w:cs="Times New Roman"/>
          <w:b w:val="0"/>
          <w:bCs w:val="0"/>
          <w:color w:val="000000" w:themeColor="text1"/>
          <w:sz w:val="24"/>
          <w:vertAlign w:val="subscript"/>
          <w:lang w:val="en-US" w:eastAsia="zh-CN"/>
          <w14:textFill>
            <w14:solidFill>
              <w14:schemeClr w14:val="tx1"/>
            </w14:solidFill>
          </w14:textFill>
        </w:rPr>
        <w:t>xI</w:t>
      </w: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——由各导线的虚部电荷在该点产生场强的水平分量； </w:t>
      </w:r>
    </w:p>
    <w:p w14:paraId="58CE5D3F">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E</w:t>
      </w:r>
      <w:r>
        <w:rPr>
          <w:rFonts w:hint="default" w:ascii="Times New Roman" w:hAnsi="Times New Roman" w:cs="Times New Roman"/>
          <w:b w:val="0"/>
          <w:bCs w:val="0"/>
          <w:color w:val="000000" w:themeColor="text1"/>
          <w:sz w:val="24"/>
          <w:vertAlign w:val="subscript"/>
          <w:lang w:val="en-US" w:eastAsia="zh-CN"/>
          <w14:textFill>
            <w14:solidFill>
              <w14:schemeClr w14:val="tx1"/>
            </w14:solidFill>
          </w14:textFill>
        </w:rPr>
        <w:t>yR</w:t>
      </w: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——由各导线的实部电荷在该点产生场强的垂直分量； </w:t>
      </w:r>
    </w:p>
    <w:p w14:paraId="10678FA8">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E</w:t>
      </w:r>
      <w:r>
        <w:rPr>
          <w:rFonts w:hint="default" w:ascii="Times New Roman" w:hAnsi="Times New Roman" w:cs="Times New Roman"/>
          <w:b w:val="0"/>
          <w:bCs w:val="0"/>
          <w:color w:val="000000" w:themeColor="text1"/>
          <w:sz w:val="24"/>
          <w:vertAlign w:val="subscript"/>
          <w:lang w:val="en-US" w:eastAsia="zh-CN"/>
          <w14:textFill>
            <w14:solidFill>
              <w14:schemeClr w14:val="tx1"/>
            </w14:solidFill>
          </w14:textFill>
        </w:rPr>
        <w:t>yI</w:t>
      </w:r>
      <w:r>
        <w:rPr>
          <w:rFonts w:hint="default" w:ascii="Times New Roman" w:hAnsi="Times New Roman" w:cs="Times New Roman"/>
          <w:b w:val="0"/>
          <w:bCs w:val="0"/>
          <w:color w:val="000000" w:themeColor="text1"/>
          <w:sz w:val="24"/>
          <w:lang w:val="en-US" w:eastAsia="zh-CN"/>
          <w14:textFill>
            <w14:solidFill>
              <w14:schemeClr w14:val="tx1"/>
            </w14:solidFill>
          </w14:textFill>
        </w:rPr>
        <w:t>——由各导线的虚部电荷在该点产生场强的垂直分量。</w:t>
      </w:r>
    </w:p>
    <w:p w14:paraId="11EC01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该点的合成的电场强度则为：</w:t>
      </w:r>
    </w:p>
    <w:p w14:paraId="2B1AD6E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1493520</wp:posOffset>
            </wp:positionH>
            <wp:positionV relativeFrom="paragraph">
              <wp:posOffset>20955</wp:posOffset>
            </wp:positionV>
            <wp:extent cx="2676525" cy="621665"/>
            <wp:effectExtent l="0" t="0" r="5715" b="3175"/>
            <wp:wrapTopAndBottom/>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r:embed="rId22"/>
                    <a:srcRect b="17384"/>
                    <a:stretch>
                      <a:fillRect/>
                    </a:stretch>
                  </pic:blipFill>
                  <pic:spPr>
                    <a:xfrm>
                      <a:off x="0" y="0"/>
                      <a:ext cx="2676525" cy="621665"/>
                    </a:xfrm>
                    <a:prstGeom prst="rect">
                      <a:avLst/>
                    </a:prstGeom>
                    <a:noFill/>
                    <a:ln>
                      <a:noFill/>
                    </a:ln>
                  </pic:spPr>
                </pic:pic>
              </a:graphicData>
            </a:graphic>
          </wp:anchor>
        </w:drawing>
      </w:r>
      <w:r>
        <w:rPr>
          <w:rFonts w:hint="eastAsia" w:ascii="Times New Roman" w:hAnsi="Times New Roman" w:cs="Times New Roman"/>
          <w:b w:val="0"/>
          <w:bCs w:val="0"/>
          <w:color w:val="000000" w:themeColor="text1"/>
          <w:sz w:val="24"/>
          <w:lang w:val="en-US" w:eastAsia="zh-CN"/>
          <w14:textFill>
            <w14:solidFill>
              <w14:schemeClr w14:val="tx1"/>
            </w14:solidFill>
          </w14:textFill>
        </w:rPr>
        <w:t>式中</w:t>
      </w:r>
      <w:r>
        <w:rPr>
          <w:rFonts w:hint="eastAsia" w:cs="Times New Roman"/>
          <w:b w:val="0"/>
          <w:bCs w:val="0"/>
          <w:color w:val="000000" w:themeColor="text1"/>
          <w:sz w:val="24"/>
          <w:lang w:val="en-US" w:eastAsia="zh-CN"/>
          <w14:textFill>
            <w14:solidFill>
              <w14:schemeClr w14:val="tx1"/>
            </w14:solidFill>
          </w14:textFill>
        </w:rPr>
        <w:t>：</w:t>
      </w:r>
    </w:p>
    <w:p w14:paraId="5B521AA0">
      <w:pPr>
        <w:keepNext w:val="0"/>
        <w:keepLines w:val="0"/>
        <w:pageBreakBefore w:val="0"/>
        <w:widowControl w:val="0"/>
        <w:kinsoku/>
        <w:wordWrap/>
        <w:overflowPunct/>
        <w:topLinePunct w:val="0"/>
        <w:autoSpaceDE/>
        <w:autoSpaceDN/>
        <w:bidi w:val="0"/>
        <w:adjustRightInd/>
        <w:snapToGrid/>
        <w:spacing w:line="240" w:lineRule="auto"/>
        <w:ind w:firstLine="1200" w:firstLineChars="500"/>
        <w:jc w:val="center"/>
        <w:textAlignment w:val="auto"/>
        <w:rPr>
          <w:rFonts w:hint="eastAsia" w:cs="Times New Roman"/>
          <w:b w:val="0"/>
          <w:bCs w:val="0"/>
          <w:color w:val="000000" w:themeColor="text1"/>
          <w:position w:val="-64"/>
          <w:sz w:val="24"/>
          <w:lang w:val="en-US" w:eastAsia="zh-CN"/>
          <w14:textFill>
            <w14:solidFill>
              <w14:schemeClr w14:val="tx1"/>
            </w14:solidFill>
          </w14:textFill>
        </w:rPr>
      </w:pPr>
      <w:r>
        <w:rPr>
          <w:rFonts w:hint="eastAsia" w:cs="Times New Roman"/>
          <w:b w:val="0"/>
          <w:bCs w:val="0"/>
          <w:color w:val="000000" w:themeColor="text1"/>
          <w:position w:val="-64"/>
          <w:sz w:val="24"/>
          <w:lang w:val="en-US" w:eastAsia="zh-CN"/>
          <w14:textFill>
            <w14:solidFill>
              <w14:schemeClr w14:val="tx1"/>
            </w14:solidFill>
          </w14:textFill>
        </w:rPr>
        <w:object>
          <v:shape id="_x0000_i1028" o:spt="75" type="#_x0000_t75" style="height:22.6pt;width:80pt;" o:ole="t" filled="f" o:preferrelative="t" stroked="f" coordsize="21600,21600">
            <v:path/>
            <v:fill on="f" focussize="0,0"/>
            <v:stroke on="f"/>
            <v:imagedata r:id="rId24" cropbottom="44377f" o:title=""/>
            <o:lock v:ext="edit" aspectratio="t"/>
            <w10:wrap type="none"/>
            <w10:anchorlock/>
          </v:shape>
          <o:OLEObject Type="Embed" ProgID="Equation.KSEE3" ShapeID="_x0000_i1028" DrawAspect="Content" ObjectID="_1468075728" r:id="rId23">
            <o:LockedField>false</o:LockedField>
          </o:OLEObject>
        </w:object>
      </w:r>
    </w:p>
    <w:p w14:paraId="0BBF5444">
      <w:pPr>
        <w:keepNext w:val="0"/>
        <w:keepLines w:val="0"/>
        <w:pageBreakBefore w:val="0"/>
        <w:widowControl w:val="0"/>
        <w:kinsoku/>
        <w:wordWrap/>
        <w:overflowPunct/>
        <w:topLinePunct w:val="0"/>
        <w:autoSpaceDE/>
        <w:autoSpaceDN/>
        <w:bidi w:val="0"/>
        <w:adjustRightInd/>
        <w:snapToGrid/>
        <w:spacing w:line="240" w:lineRule="auto"/>
        <w:ind w:firstLine="1200" w:firstLineChars="500"/>
        <w:jc w:val="center"/>
        <w:textAlignment w:val="auto"/>
        <w:rPr>
          <w:rFonts w:hint="eastAsia" w:cs="Times New Roman"/>
          <w:b w:val="0"/>
          <w:bCs w:val="0"/>
          <w:color w:val="000000" w:themeColor="text1"/>
          <w:position w:val="-64"/>
          <w:sz w:val="24"/>
          <w:lang w:val="en-US" w:eastAsia="zh-CN"/>
          <w14:textFill>
            <w14:solidFill>
              <w14:schemeClr w14:val="tx1"/>
            </w14:solidFill>
          </w14:textFill>
        </w:rPr>
      </w:pPr>
      <w:r>
        <w:rPr>
          <w:rFonts w:hint="eastAsia" w:cs="Times New Roman"/>
          <w:b w:val="0"/>
          <w:bCs w:val="0"/>
          <w:color w:val="000000" w:themeColor="text1"/>
          <w:position w:val="-64"/>
          <w:sz w:val="24"/>
          <w:lang w:val="en-US" w:eastAsia="zh-CN"/>
          <w14:textFill>
            <w14:solidFill>
              <w14:schemeClr w14:val="tx1"/>
            </w14:solidFill>
          </w14:textFill>
        </w:rPr>
        <w:object>
          <v:shape id="_x0000_i1029" o:spt="75" type="#_x0000_t75" style="height:26.6pt;width:80pt;" o:ole="t" filled="f" o:preferrelative="t" stroked="f" coordsize="21600,21600">
            <v:path/>
            <v:fill on="f" focussize="0,0"/>
            <v:stroke on="f"/>
            <v:imagedata r:id="rId24" croptop="40632f" o:title=""/>
            <o:lock v:ext="edit" aspectratio="t"/>
            <w10:wrap type="none"/>
            <w10:anchorlock/>
          </v:shape>
          <o:OLEObject Type="Embed" ProgID="Equation.KSEE3" ShapeID="_x0000_i1029" DrawAspect="Content" ObjectID="_1468075729" r:id="rId25">
            <o:LockedField>false</o:LockedField>
          </o:OLEObject>
        </w:object>
      </w:r>
    </w:p>
    <w:p w14:paraId="40F32A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（2）工频磁感应强度预测</w:t>
      </w:r>
    </w:p>
    <w:p w14:paraId="79AA31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b w:val="0"/>
          <w:bCs/>
          <w:color w:val="000000" w:themeColor="text1"/>
          <w:sz w:val="24"/>
          <w:lang w:val="en-US" w:eastAsia="zh-CN"/>
          <w14:textFill>
            <w14:solidFill>
              <w14:schemeClr w14:val="tx1"/>
            </w14:solidFill>
          </w14:textFill>
        </w:rPr>
      </w:pPr>
      <w:r>
        <w:rPr>
          <w:rFonts w:hint="default" w:ascii="Times New Roman" w:hAnsi="Times New Roman" w:cs="Times New Roman"/>
          <w:b w:val="0"/>
          <w:bCs/>
          <w:color w:val="000000" w:themeColor="text1"/>
          <w:sz w:val="24"/>
          <w:lang w:val="en-US" w:eastAsia="zh-CN"/>
          <w14:textFill>
            <w14:solidFill>
              <w14:schemeClr w14:val="tx1"/>
            </w14:solidFill>
          </w14:textFill>
        </w:rPr>
        <w:t>由于工频情况下电磁性能具有准静态特性，线路的磁场仅由电流产生。应用安培定律，将计算结果按矢量叠加，可得出导线周围的磁场强度。</w:t>
      </w:r>
    </w:p>
    <w:p w14:paraId="5776BC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b w:val="0"/>
          <w:bCs/>
          <w:color w:val="000000" w:themeColor="text1"/>
          <w:sz w:val="24"/>
          <w:lang w:val="en-US" w:eastAsia="zh-CN"/>
          <w14:textFill>
            <w14:solidFill>
              <w14:schemeClr w14:val="tx1"/>
            </w14:solidFill>
          </w14:textFill>
        </w:rPr>
      </w:pPr>
      <w:r>
        <w:rPr>
          <w:rFonts w:hint="default" w:ascii="Times New Roman" w:hAnsi="Times New Roman" w:cs="Times New Roman"/>
          <w:b w:val="0"/>
          <w:bCs/>
          <w:color w:val="000000" w:themeColor="text1"/>
          <w:sz w:val="24"/>
          <w:lang w:val="en-US" w:eastAsia="zh-CN"/>
          <w14:textFill>
            <w14:solidFill>
              <w14:schemeClr w14:val="tx1"/>
            </w14:solidFill>
          </w14:textFill>
        </w:rPr>
        <w:t>和电场强度计算不同的是关于镜像导线的考虑，与导线所处高度相比这些镜像导线位于地下很深的距离d：</w:t>
      </w:r>
    </w:p>
    <w:p w14:paraId="4065A2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840" w:firstLineChars="1600"/>
        <w:jc w:val="left"/>
        <w:textAlignment w:val="auto"/>
        <w:rPr>
          <w:rFonts w:hint="default" w:ascii="Times New Roman" w:hAnsi="Times New Roman" w:cs="Times New Roman"/>
          <w:b w:val="0"/>
          <w:bCs/>
          <w:color w:val="000000" w:themeColor="text1"/>
          <w:sz w:val="24"/>
          <w:lang w:val="en-US" w:eastAsia="zh-CN"/>
          <w14:textFill>
            <w14:solidFill>
              <w14:schemeClr w14:val="tx1"/>
            </w14:solidFill>
          </w14:textFill>
        </w:rPr>
      </w:pPr>
      <w:r>
        <w:rPr>
          <w:rFonts w:hint="default" w:ascii="Times New Roman" w:hAnsi="Times New Roman" w:cs="Times New Roman"/>
          <w:b w:val="0"/>
          <w:bCs/>
          <w:color w:val="000000" w:themeColor="text1"/>
          <w:position w:val="-26"/>
          <w:sz w:val="24"/>
          <w:lang w:val="en-US" w:eastAsia="zh-CN"/>
          <w14:textFill>
            <w14:solidFill>
              <w14:schemeClr w14:val="tx1"/>
            </w14:solidFill>
          </w14:textFill>
        </w:rPr>
        <w:object>
          <v:shape id="_x0000_i1030" o:spt="75" type="#_x0000_t75" style="height:35pt;width:78.95pt;" o:ole="t" filled="f" o:preferrelative="t" stroked="f" coordsize="21600,21600">
            <v:path/>
            <v:fill on="f" focussize="0,0"/>
            <v:stroke on="f"/>
            <v:imagedata r:id="rId27" o:title=""/>
            <o:lock v:ext="edit" aspectratio="t"/>
            <w10:wrap type="none"/>
            <w10:anchorlock/>
          </v:shape>
          <o:OLEObject Type="Embed" ProgID="Equation.KSEE3" ShapeID="_x0000_i1030" DrawAspect="Content" ObjectID="_1468075730" r:id="rId26">
            <o:LockedField>false</o:LockedField>
          </o:OLEObject>
        </w:object>
      </w:r>
    </w:p>
    <w:p w14:paraId="71C8B6B1">
      <w:pPr>
        <w:pStyle w:val="13"/>
        <w:rPr>
          <w:rFonts w:hint="eastAsia"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color w:val="000000" w:themeColor="text1"/>
          <w:sz w:val="24"/>
          <w:lang w:val="en-US" w:eastAsia="zh-CN"/>
          <w14:textFill>
            <w14:solidFill>
              <w14:schemeClr w14:val="tx1"/>
            </w14:solidFill>
          </w14:textFill>
        </w:rPr>
        <w:t>式中：</w:t>
      </w:r>
      <w:r>
        <w:rPr>
          <w:rFonts w:hint="eastAsia" w:ascii="宋体" w:hAnsi="宋体" w:eastAsia="宋体" w:cs="宋体"/>
          <w:b w:val="0"/>
          <w:bCs/>
          <w:color w:val="000000" w:themeColor="text1"/>
          <w:sz w:val="24"/>
          <w:lang w:val="en-US" w:eastAsia="zh-CN"/>
          <w14:textFill>
            <w14:solidFill>
              <w14:schemeClr w14:val="tx1"/>
            </w14:solidFill>
          </w14:textFill>
        </w:rPr>
        <w:t>ρ</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eastAsia" w:cs="Times New Roman"/>
          <w:b w:val="0"/>
          <w:bCs w:val="0"/>
          <w:color w:val="000000" w:themeColor="text1"/>
          <w:sz w:val="24"/>
          <w:lang w:val="en-US" w:eastAsia="zh-CN"/>
          <w14:textFill>
            <w14:solidFill>
              <w14:schemeClr w14:val="tx1"/>
            </w14:solidFill>
          </w14:textFill>
        </w:rPr>
        <w:t>大地电阻率，Ω·m；</w:t>
      </w:r>
    </w:p>
    <w:p w14:paraId="5C7EF44A">
      <w:pPr>
        <w:pStyle w:val="2"/>
        <w:ind w:firstLine="1200" w:firstLineChars="500"/>
        <w:rPr>
          <w:rFonts w:hint="eastAsia" w:cs="Times New Roman"/>
          <w:b w:val="0"/>
          <w:bCs w:val="0"/>
          <w:color w:val="000000" w:themeColor="text1"/>
          <w:sz w:val="24"/>
          <w:lang w:val="en-US" w:eastAsia="zh-CN"/>
          <w14:textFill>
            <w14:solidFill>
              <w14:schemeClr w14:val="tx1"/>
            </w14:solidFill>
          </w14:textFill>
        </w:rPr>
      </w:pPr>
      <w:r>
        <w:rPr>
          <w:rFonts w:hint="eastAsia" w:cs="Times New Roman"/>
          <w:b w:val="0"/>
          <w:bCs w:val="0"/>
          <w:i w:val="0"/>
          <w:iCs w:val="0"/>
          <w:color w:val="000000" w:themeColor="text1"/>
          <w:sz w:val="24"/>
          <w:lang w:val="en-US" w:eastAsia="zh-CN"/>
          <w14:textFill>
            <w14:solidFill>
              <w14:schemeClr w14:val="tx1"/>
            </w14:solidFill>
          </w14:textFill>
        </w:rPr>
        <w:t xml:space="preserve">f </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eastAsia" w:cs="Times New Roman"/>
          <w:b w:val="0"/>
          <w:bCs w:val="0"/>
          <w:color w:val="000000" w:themeColor="text1"/>
          <w:sz w:val="24"/>
          <w:lang w:val="en-US" w:eastAsia="zh-CN"/>
          <w14:textFill>
            <w14:solidFill>
              <w14:schemeClr w14:val="tx1"/>
            </w14:solidFill>
          </w14:textFill>
        </w:rPr>
        <w:t>频率，Hz。</w:t>
      </w:r>
    </w:p>
    <w:p w14:paraId="040CE2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cs="Times New Roman"/>
          <w:b w:val="0"/>
          <w:bCs/>
          <w:color w:val="000000" w:themeColor="text1"/>
          <w:sz w:val="24"/>
          <w:lang w:val="en-US" w:eastAsia="zh-CN"/>
          <w14:textFill>
            <w14:solidFill>
              <w14:schemeClr w14:val="tx1"/>
            </w14:solidFill>
          </w14:textFill>
        </w:rPr>
      </w:pPr>
      <w:r>
        <w:rPr>
          <w:rFonts w:hint="eastAsia" w:cs="Times New Roman"/>
          <w:b w:val="0"/>
          <w:bCs/>
          <w:color w:val="000000" w:themeColor="text1"/>
          <w:sz w:val="24"/>
          <w:lang w:val="en-US" w:eastAsia="zh-CN"/>
          <w14:textFill>
            <w14:solidFill>
              <w14:schemeClr w14:val="tx1"/>
            </w14:solidFill>
          </w14:textFill>
        </w:rPr>
        <w:t>在很多情况下，只考虑处于空间的实际导线，忽略它的镜像进行计算，其结果已足够符合实际。磁场向量图，见图4.2-4，考虑导线i的镜像时，可计算在A点其产生的磁场强度：</w:t>
      </w:r>
    </w:p>
    <w:p w14:paraId="19EA1F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840" w:firstLineChars="1600"/>
        <w:jc w:val="left"/>
        <w:textAlignment w:val="auto"/>
        <w:rPr>
          <w:rFonts w:hint="default" w:ascii="Times New Roman" w:hAnsi="Times New Roman" w:cs="Times New Roman"/>
          <w:b w:val="0"/>
          <w:bCs/>
          <w:color w:val="000000" w:themeColor="text1"/>
          <w:sz w:val="24"/>
          <w:lang w:val="en-US" w:eastAsia="zh-CN"/>
          <w14:textFill>
            <w14:solidFill>
              <w14:schemeClr w14:val="tx1"/>
            </w14:solidFill>
          </w14:textFill>
        </w:rPr>
      </w:pPr>
      <w:r>
        <w:rPr>
          <w:rFonts w:hint="eastAsia" w:cs="Times New Roman"/>
          <w:b w:val="0"/>
          <w:bCs/>
          <w:color w:val="000000" w:themeColor="text1"/>
          <w:position w:val="-30"/>
          <w:sz w:val="24"/>
          <w:lang w:val="en-US" w:eastAsia="zh-CN"/>
          <w14:textFill>
            <w14:solidFill>
              <w14:schemeClr w14:val="tx1"/>
            </w14:solidFill>
          </w14:textFill>
        </w:rPr>
        <w:object>
          <v:shape id="_x0000_i1031" o:spt="75" type="#_x0000_t75" style="height:34pt;width:121pt;" o:ole="t" filled="f" o:preferrelative="t" stroked="f" coordsize="21600,21600">
            <v:path/>
            <v:fill on="f" focussize="0,0"/>
            <v:stroke on="f"/>
            <v:imagedata r:id="rId29" o:title=""/>
            <o:lock v:ext="edit" aspectratio="t"/>
            <w10:wrap type="none"/>
            <w10:anchorlock/>
          </v:shape>
          <o:OLEObject Type="Embed" ProgID="Equation.KSEE3" ShapeID="_x0000_i1031" DrawAspect="Content" ObjectID="_1468075731" r:id="rId28">
            <o:LockedField>false</o:LockedField>
          </o:OLEObject>
        </w:object>
      </w:r>
    </w:p>
    <w:p w14:paraId="0A48EC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cs="Times New Roman"/>
          <w:b w:val="0"/>
          <w:bCs w:val="0"/>
          <w:color w:val="000000" w:themeColor="text1"/>
          <w:sz w:val="24"/>
          <w:lang w:val="en-US" w:eastAsia="zh-CN"/>
          <w14:textFill>
            <w14:solidFill>
              <w14:schemeClr w14:val="tx1"/>
            </w14:solidFill>
          </w14:textFill>
        </w:rPr>
      </w:pPr>
      <w:r>
        <w:rPr>
          <w:rFonts w:hint="eastAsia" w:cs="Times New Roman"/>
          <w:b w:val="0"/>
          <w:bCs/>
          <w:color w:val="000000" w:themeColor="text1"/>
          <w:sz w:val="24"/>
          <w:lang w:val="en-US" w:eastAsia="zh-CN"/>
          <w14:textFill>
            <w14:solidFill>
              <w14:schemeClr w14:val="tx1"/>
            </w14:solidFill>
          </w14:textFill>
        </w:rPr>
        <w:t>式中：I</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eastAsia" w:cs="Times New Roman"/>
          <w:b w:val="0"/>
          <w:bCs w:val="0"/>
          <w:color w:val="000000" w:themeColor="text1"/>
          <w:sz w:val="24"/>
          <w:lang w:val="en-US" w:eastAsia="zh-CN"/>
          <w14:textFill>
            <w14:solidFill>
              <w14:schemeClr w14:val="tx1"/>
            </w14:solidFill>
          </w14:textFill>
        </w:rPr>
        <w:t>导线i中的电流值，A；</w:t>
      </w:r>
    </w:p>
    <w:p w14:paraId="6CC8BB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 xml:space="preserve">      h</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eastAsia" w:cs="Times New Roman"/>
          <w:b w:val="0"/>
          <w:bCs w:val="0"/>
          <w:color w:val="000000" w:themeColor="text1"/>
          <w:sz w:val="24"/>
          <w:lang w:val="en-US" w:eastAsia="zh-CN"/>
          <w14:textFill>
            <w14:solidFill>
              <w14:schemeClr w14:val="tx1"/>
            </w14:solidFill>
          </w14:textFill>
        </w:rPr>
        <w:t>导线与预测点的高差，m；</w:t>
      </w:r>
    </w:p>
    <w:p w14:paraId="1DF5FE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 xml:space="preserve">      L</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eastAsia" w:cs="Times New Roman"/>
          <w:b w:val="0"/>
          <w:bCs w:val="0"/>
          <w:color w:val="000000" w:themeColor="text1"/>
          <w:sz w:val="24"/>
          <w:lang w:val="en-US" w:eastAsia="zh-CN"/>
          <w14:textFill>
            <w14:solidFill>
              <w14:schemeClr w14:val="tx1"/>
            </w14:solidFill>
          </w14:textFill>
        </w:rPr>
        <w:t>导线与预测点水平距离，m。</w:t>
      </w:r>
    </w:p>
    <w:p w14:paraId="469FC0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cs="Times New Roman"/>
          <w:b w:val="0"/>
          <w:bCs/>
          <w:color w:val="000000" w:themeColor="text1"/>
          <w:sz w:val="24"/>
          <w:lang w:val="en-US" w:eastAsia="zh-CN"/>
          <w14:textFill>
            <w14:solidFill>
              <w14:schemeClr w14:val="tx1"/>
            </w14:solidFill>
          </w14:textFill>
        </w:rPr>
      </w:pPr>
      <w:r>
        <w:rPr>
          <w:rFonts w:hint="eastAsia" w:cs="Times New Roman"/>
          <w:b w:val="0"/>
          <w:bCs/>
          <w:color w:val="000000" w:themeColor="text1"/>
          <w:sz w:val="24"/>
          <w:lang w:val="en-US" w:eastAsia="zh-CN"/>
          <w14:textFill>
            <w14:solidFill>
              <w14:schemeClr w14:val="tx1"/>
            </w14:solidFill>
          </w14:textFill>
        </w:rPr>
        <w:t>对于三相线路，由相位不同形成的磁场强度水平和垂直分量都应分别考虑电流间的相角，按相位矢量来合成。合成的旋转矢量在空间的轨迹是一个椭圆。</w:t>
      </w:r>
    </w:p>
    <w:p w14:paraId="2AC933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181225" cy="1421765"/>
            <wp:effectExtent l="0" t="0" r="13335" b="10795"/>
            <wp:docPr id="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9"/>
                    <pic:cNvPicPr>
                      <a:picLocks noChangeAspect="1"/>
                    </pic:cNvPicPr>
                  </pic:nvPicPr>
                  <pic:blipFill>
                    <a:blip r:embed="rId30">
                      <a:lum bright="-6000" contrast="12000"/>
                    </a:blip>
                    <a:stretch>
                      <a:fillRect/>
                    </a:stretch>
                  </pic:blipFill>
                  <pic:spPr>
                    <a:xfrm>
                      <a:off x="0" y="0"/>
                      <a:ext cx="2181225" cy="1421765"/>
                    </a:xfrm>
                    <a:prstGeom prst="rect">
                      <a:avLst/>
                    </a:prstGeom>
                    <a:noFill/>
                    <a:ln>
                      <a:noFill/>
                    </a:ln>
                  </pic:spPr>
                </pic:pic>
              </a:graphicData>
            </a:graphic>
          </wp:inline>
        </w:drawing>
      </w:r>
    </w:p>
    <w:p w14:paraId="1321E6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42" w:firstLineChars="200"/>
        <w:jc w:val="center"/>
        <w:textAlignment w:val="auto"/>
        <w:rPr>
          <w:rFonts w:hint="eastAsia" w:ascii="Times New Roman" w:hAnsi="Times New Roman" w:cs="Times New Roman"/>
          <w:b/>
          <w:bCs/>
          <w:color w:val="000000" w:themeColor="text1"/>
          <w:sz w:val="22"/>
          <w:szCs w:val="28"/>
          <w:lang w:val="en-US" w:eastAsia="zh-CN"/>
          <w14:textFill>
            <w14:solidFill>
              <w14:schemeClr w14:val="tx1"/>
            </w14:solidFill>
          </w14:textFill>
        </w:rPr>
      </w:pPr>
      <w:r>
        <w:rPr>
          <w:rFonts w:hint="default" w:ascii="Times New Roman" w:hAnsi="Times New Roman" w:cs="Times New Roman"/>
          <w:b/>
          <w:bCs/>
          <w:color w:val="000000" w:themeColor="text1"/>
          <w:sz w:val="22"/>
          <w:szCs w:val="28"/>
          <w:lang w:val="en-US" w:eastAsia="zh-CN"/>
          <w14:textFill>
            <w14:solidFill>
              <w14:schemeClr w14:val="tx1"/>
            </w14:solidFill>
          </w14:textFill>
        </w:rPr>
        <w:t>图</w:t>
      </w:r>
      <w:r>
        <w:rPr>
          <w:rFonts w:hint="eastAsia" w:cs="Times New Roman"/>
          <w:b/>
          <w:bCs/>
          <w:color w:val="000000" w:themeColor="text1"/>
          <w:sz w:val="22"/>
          <w:szCs w:val="28"/>
          <w:lang w:val="en-US" w:eastAsia="zh-CN"/>
          <w14:textFill>
            <w14:solidFill>
              <w14:schemeClr w14:val="tx1"/>
            </w14:solidFill>
          </w14:textFill>
        </w:rPr>
        <w:t>3</w:t>
      </w:r>
      <w:r>
        <w:rPr>
          <w:rFonts w:hint="default" w:ascii="Times New Roman" w:hAnsi="Times New Roman" w:cs="Times New Roman"/>
          <w:b/>
          <w:bCs/>
          <w:color w:val="000000" w:themeColor="text1"/>
          <w:sz w:val="22"/>
          <w:szCs w:val="28"/>
          <w:lang w:val="en-US" w:eastAsia="zh-CN"/>
          <w14:textFill>
            <w14:solidFill>
              <w14:schemeClr w14:val="tx1"/>
            </w14:solidFill>
          </w14:textFill>
        </w:rPr>
        <w:t>.2-4</w:t>
      </w:r>
      <w:r>
        <w:rPr>
          <w:rFonts w:hint="eastAsia" w:cs="Times New Roman"/>
          <w:b/>
          <w:bCs/>
          <w:color w:val="000000" w:themeColor="text1"/>
          <w:sz w:val="22"/>
          <w:szCs w:val="28"/>
          <w:lang w:val="en-US" w:eastAsia="zh-CN"/>
          <w14:textFill>
            <w14:solidFill>
              <w14:schemeClr w14:val="tx1"/>
            </w14:solidFill>
          </w14:textFill>
        </w:rPr>
        <w:t xml:space="preserve">  </w:t>
      </w:r>
      <w:r>
        <w:rPr>
          <w:rFonts w:hint="eastAsia" w:ascii="Times New Roman" w:hAnsi="Times New Roman" w:cs="Times New Roman"/>
          <w:b/>
          <w:bCs/>
          <w:color w:val="000000" w:themeColor="text1"/>
          <w:sz w:val="22"/>
          <w:szCs w:val="28"/>
          <w:lang w:val="en-US" w:eastAsia="zh-CN"/>
          <w14:textFill>
            <w14:solidFill>
              <w14:schemeClr w14:val="tx1"/>
            </w14:solidFill>
          </w14:textFill>
        </w:rPr>
        <w:t>磁场向量图</w:t>
      </w:r>
    </w:p>
    <w:p w14:paraId="6E0676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left"/>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3.2</w:t>
      </w:r>
      <w:r>
        <w:rPr>
          <w:rFonts w:hint="eastAsia" w:ascii="Times New Roman" w:hAnsi="Times New Roman" w:cs="Times New Roman"/>
          <w:b/>
          <w:bCs/>
          <w:color w:val="000000" w:themeColor="text1"/>
          <w:sz w:val="24"/>
          <w:szCs w:val="24"/>
          <w:lang w:val="en-US" w:eastAsia="zh-CN"/>
          <w14:textFill>
            <w14:solidFill>
              <w14:schemeClr w14:val="tx1"/>
            </w14:solidFill>
          </w14:textFill>
        </w:rPr>
        <w:t>.2计算所需参数</w:t>
      </w:r>
    </w:p>
    <w:p w14:paraId="7E4CF4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Times New Roman" w:hAnsi="Times New Roman" w:eastAsia="宋体" w:cs="Times New Roman"/>
          <w:b w:val="0"/>
          <w:bCs/>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本项目单回路架设，本次110</w:t>
      </w:r>
      <w:r>
        <w:rPr>
          <w:rFonts w:hint="eastAsia" w:cs="Times New Roman"/>
          <w:b w:val="0"/>
          <w:bCs/>
          <w:color w:val="000000" w:themeColor="text1"/>
          <w:sz w:val="24"/>
          <w:lang w:val="en-US" w:eastAsia="zh-CN"/>
          <w14:textFill>
            <w14:solidFill>
              <w14:schemeClr w14:val="tx1"/>
            </w14:solidFill>
          </w14:textFill>
        </w:rPr>
        <w:t>kV</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单回线路评价选择Z</w:t>
      </w:r>
      <w:r>
        <w:rPr>
          <w:rFonts w:hint="eastAsia" w:cs="Times New Roman"/>
          <w:b w:val="0"/>
          <w:bCs/>
          <w:color w:val="000000" w:themeColor="text1"/>
          <w:sz w:val="24"/>
          <w:lang w:val="en-US" w:eastAsia="zh-CN"/>
          <w14:textFill>
            <w14:solidFill>
              <w14:schemeClr w14:val="tx1"/>
            </w14:solidFill>
          </w14:textFill>
        </w:rPr>
        <w:t>M3</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塔型进行理论计算，绝缘子串按1.8m计。电磁理论计算基础参数，见表3.2-2。</w:t>
      </w:r>
    </w:p>
    <w:p w14:paraId="308B8FEB">
      <w:pPr>
        <w:rPr>
          <w:rFonts w:hint="eastAsia" w:cs="Times New Roman"/>
          <w:b/>
          <w:bCs w:val="0"/>
          <w:color w:val="000000" w:themeColor="text1"/>
          <w:sz w:val="22"/>
          <w:szCs w:val="22"/>
          <w:lang w:val="en-US" w:eastAsia="zh-CN"/>
          <w14:textFill>
            <w14:solidFill>
              <w14:schemeClr w14:val="tx1"/>
            </w14:solidFill>
          </w14:textFill>
        </w:rPr>
      </w:pPr>
      <w:r>
        <w:rPr>
          <w:rFonts w:hint="eastAsia" w:cs="Times New Roman"/>
          <w:b/>
          <w:bCs w:val="0"/>
          <w:color w:val="000000" w:themeColor="text1"/>
          <w:sz w:val="22"/>
          <w:szCs w:val="22"/>
          <w:lang w:val="en-US" w:eastAsia="zh-CN"/>
          <w14:textFill>
            <w14:solidFill>
              <w14:schemeClr w14:val="tx1"/>
            </w14:solidFill>
          </w14:textFill>
        </w:rPr>
        <w:br w:type="page"/>
      </w:r>
    </w:p>
    <w:p w14:paraId="7DAF78A3">
      <w:pPr>
        <w:pStyle w:val="13"/>
        <w:keepNext w:val="0"/>
        <w:keepLines w:val="0"/>
        <w:pageBreakBefore w:val="0"/>
        <w:widowControl w:val="0"/>
        <w:kinsoku/>
        <w:wordWrap/>
        <w:overflowPunct/>
        <w:topLinePunct w:val="0"/>
        <w:autoSpaceDE/>
        <w:autoSpaceDN/>
        <w:bidi w:val="0"/>
        <w:adjustRightInd/>
        <w:snapToGrid/>
        <w:spacing w:after="0"/>
        <w:ind w:left="0" w:leftChars="0"/>
        <w:jc w:val="center"/>
        <w:textAlignment w:val="auto"/>
        <w:rPr>
          <w:rFonts w:hint="default"/>
          <w:b/>
          <w:bCs w:val="0"/>
          <w:color w:val="000000" w:themeColor="text1"/>
          <w:sz w:val="22"/>
          <w:szCs w:val="22"/>
          <w:vertAlign w:val="baseline"/>
          <w:lang w:val="en-US" w:eastAsia="zh-CN"/>
          <w14:textFill>
            <w14:solidFill>
              <w14:schemeClr w14:val="tx1"/>
            </w14:solidFill>
          </w14:textFill>
        </w:rPr>
      </w:pPr>
      <w:r>
        <w:rPr>
          <w:rFonts w:hint="eastAsia" w:cs="Times New Roman"/>
          <w:b/>
          <w:bCs w:val="0"/>
          <w:color w:val="000000" w:themeColor="text1"/>
          <w:sz w:val="22"/>
          <w:szCs w:val="22"/>
          <w:lang w:val="en-US" w:eastAsia="zh-CN"/>
          <w14:textFill>
            <w14:solidFill>
              <w14:schemeClr w14:val="tx1"/>
            </w14:solidFill>
          </w14:textFill>
        </w:rPr>
        <w:t>表3.2-2  本项目110kV单回路线路段电磁理论计算基础参数</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2475"/>
        <w:gridCol w:w="405"/>
        <w:gridCol w:w="375"/>
        <w:gridCol w:w="3758"/>
      </w:tblGrid>
      <w:tr w14:paraId="5A2E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703E7EAC">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t>线路</w:t>
            </w:r>
          </w:p>
        </w:tc>
        <w:tc>
          <w:tcPr>
            <w:tcW w:w="2475" w:type="dxa"/>
            <w:vAlign w:val="center"/>
          </w:tcPr>
          <w:p w14:paraId="6F0B63FB">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110</w:t>
            </w:r>
            <w:r>
              <w:rPr>
                <w:rFonts w:hint="eastAsia" w:cs="Times New Roman"/>
                <w:b w:val="0"/>
                <w:bCs/>
                <w:color w:val="000000" w:themeColor="text1"/>
                <w:sz w:val="21"/>
                <w:szCs w:val="21"/>
                <w:vertAlign w:val="baseline"/>
                <w:lang w:val="en-US" w:eastAsia="zh-CN"/>
                <w14:textFill>
                  <w14:solidFill>
                    <w14:schemeClr w14:val="tx1"/>
                  </w14:solidFill>
                </w14:textFill>
              </w:rPr>
              <w:t>kV单</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回线路</w:t>
            </w:r>
          </w:p>
        </w:tc>
        <w:tc>
          <w:tcPr>
            <w:tcW w:w="780" w:type="dxa"/>
            <w:gridSpan w:val="2"/>
            <w:vAlign w:val="center"/>
          </w:tcPr>
          <w:p w14:paraId="7830A73B">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计算原点</w:t>
            </w:r>
          </w:p>
        </w:tc>
        <w:tc>
          <w:tcPr>
            <w:tcW w:w="3758" w:type="dxa"/>
            <w:vAlign w:val="center"/>
          </w:tcPr>
          <w:p w14:paraId="3878360F">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线路走廊截面与线路中心在地面投影的交点</w:t>
            </w:r>
          </w:p>
        </w:tc>
      </w:tr>
      <w:tr w14:paraId="24E1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488B895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采用塔型</w:t>
            </w:r>
          </w:p>
        </w:tc>
        <w:tc>
          <w:tcPr>
            <w:tcW w:w="2475" w:type="dxa"/>
            <w:vAlign w:val="center"/>
          </w:tcPr>
          <w:p w14:paraId="77CDF020">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110-CJ21D-ZM3</w:t>
            </w:r>
          </w:p>
        </w:tc>
        <w:tc>
          <w:tcPr>
            <w:tcW w:w="405" w:type="dxa"/>
            <w:vMerge w:val="restart"/>
            <w:vAlign w:val="center"/>
          </w:tcPr>
          <w:p w14:paraId="46E6C4D6">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相间距坐标</w:t>
            </w:r>
          </w:p>
        </w:tc>
        <w:tc>
          <w:tcPr>
            <w:tcW w:w="4133" w:type="dxa"/>
            <w:gridSpan w:val="2"/>
            <w:vMerge w:val="restart"/>
            <w:vAlign w:val="center"/>
          </w:tcPr>
          <w:p w14:paraId="04625485">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both"/>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2023110</wp:posOffset>
                      </wp:positionH>
                      <wp:positionV relativeFrom="paragraph">
                        <wp:posOffset>391795</wp:posOffset>
                      </wp:positionV>
                      <wp:extent cx="412750" cy="32004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41275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544B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地2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3pt;margin-top:30.85pt;height:25.2pt;width:32.5pt;z-index:251667456;mso-width-relative:page;mso-height-relative:page;" filled="f" stroked="f" coordsize="21600,21600" o:gfxdata="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75GANoAAAAKAQAADwAAAAAAAAABACAAAAAiAAAAZHJz&#10;L2Rvd25yZXYueG1sUEsBAhQAFAAAAAgAh07iQG1Z4087AgAAaQQAAA4AAAAAAAAAAQAgAAAAKQEA&#10;AGRycy9lMm9Eb2MueG1sUEsFBgAAAAAGAAYAWQEAANYFAAAAAA==&#10;">
                      <v:fill on="f" focussize="0,0"/>
                      <v:stroke on="f" weight="0.5pt"/>
                      <v:imagedata o:title=""/>
                      <o:lock v:ext="edit" aspectratio="f"/>
                      <v:textbox>
                        <w:txbxContent>
                          <w:p w14:paraId="48F544B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地2</w:t>
                            </w:r>
                          </w:p>
                        </w:txbxContent>
                      </v:textbox>
                    </v:shap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641985</wp:posOffset>
                      </wp:positionH>
                      <wp:positionV relativeFrom="paragraph">
                        <wp:posOffset>382270</wp:posOffset>
                      </wp:positionV>
                      <wp:extent cx="412750" cy="32004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41275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78E10">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地1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55pt;margin-top:30.1pt;height:25.2pt;width:32.5pt;z-index:251666432;mso-width-relative:page;mso-height-relative:page;" filled="f" stroked="f" coordsize="21600,21600" o:gfxdata="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9X57htgAAAAKAQAADwAAAAAAAAABACAAAAAiAAAAZHJzL2Rv&#10;d25yZXYueG1sUEsBAhQAFAAAAAgAh07iQPpJyxU6AgAAaQQAAA4AAAAAAAAAAQAgAAAAJwEAAGRy&#10;cy9lMm9Eb2MueG1sUEsFBgAAAAAGAAYAWQEAANMFAAAAAA==&#10;">
                      <v:fill on="f" focussize="0,0"/>
                      <v:stroke on="f" weight="0.5pt"/>
                      <v:imagedata o:title=""/>
                      <o:lock v:ext="edit" aspectratio="f"/>
                      <v:textbox>
                        <w:txbxContent>
                          <w:p w14:paraId="4B078E10">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地1</w:t>
                            </w:r>
                          </w:p>
                        </w:txbxContent>
                      </v:textbox>
                    </v:shap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1221740</wp:posOffset>
                      </wp:positionH>
                      <wp:positionV relativeFrom="paragraph">
                        <wp:posOffset>3079750</wp:posOffset>
                      </wp:positionV>
                      <wp:extent cx="611505" cy="32004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611505"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E5D95">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2pt;margin-top:242.5pt;height:25.2pt;width:48.15pt;z-index:251673600;mso-width-relative:page;mso-height-relative:page;" filled="f" stroked="f" coordsize="21600,21600" o:gfxdata="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M7I+53AAAAAsBAAAPAAAAAAAAAAEAIAAAACIAAABk&#10;cnMvZG93bnJldi54bWxQSwECFAAUAAAACACHTuJAblFhUjsCAABpBAAADgAAAAAAAAABACAAAAAr&#10;AQAAZHJzL2Uyb0RvYy54bWxQSwUGAAAAAAYABgBZAQAA2AUAAAAA&#10;">
                      <v:fill on="f" focussize="0,0"/>
                      <v:stroke on="f" weight="0.5pt"/>
                      <v:imagedata o:title=""/>
                      <o:lock v:ext="edit" aspectratio="f"/>
                      <v:textbox>
                        <w:txbxContent>
                          <w:p w14:paraId="5EBE5D95">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（0，0）</w:t>
                            </w:r>
                          </w:p>
                        </w:txbxContent>
                      </v:textbox>
                    </v:shap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893445</wp:posOffset>
                      </wp:positionH>
                      <wp:positionV relativeFrom="paragraph">
                        <wp:posOffset>3077845</wp:posOffset>
                      </wp:positionV>
                      <wp:extent cx="1362075" cy="0"/>
                      <wp:effectExtent l="0" t="12700" r="9525" b="17780"/>
                      <wp:wrapNone/>
                      <wp:docPr id="105" name="直接连接符 105"/>
                      <wp:cNvGraphicFramePr/>
                      <a:graphic xmlns:a="http://schemas.openxmlformats.org/drawingml/2006/main">
                        <a:graphicData uri="http://schemas.microsoft.com/office/word/2010/wordprocessingShape">
                          <wps:wsp>
                            <wps:cNvCnPr/>
                            <wps:spPr>
                              <a:xfrm>
                                <a:off x="4852035" y="4678680"/>
                                <a:ext cx="1362075"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35pt;margin-top:242.35pt;height:0pt;width:107.25pt;z-index:251671552;mso-width-relative:page;mso-height-relative:page;" filled="f" stroked="t" coordsize="21600,21600" o:gfxdata="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NY&#10;sHjYAAAACwEAAA8AAAAAAAAAAQAgAAAAIgAAAGRycy9kb3ducmV2LnhtbFBLAQIUABQAAAAIAIdO&#10;4kAk1Myj6gEAAKsDAAAOAAAAAAAAAAEAIAAAACcBAABkcnMvZTJvRG9jLnhtbFBLBQYAAAAABgAG&#10;AFkBAACDBQAAAAA=&#10;">
                      <v:fill on="f" focussize="0,0"/>
                      <v:stroke weight="2pt" color="#FF0000 [3204]" joinstyle="round"/>
                      <v:imagedata o:title=""/>
                      <o:lock v:ext="edit" aspectratio="f"/>
                    </v:lin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1541145</wp:posOffset>
                      </wp:positionH>
                      <wp:positionV relativeFrom="paragraph">
                        <wp:posOffset>2992120</wp:posOffset>
                      </wp:positionV>
                      <wp:extent cx="0" cy="95250"/>
                      <wp:effectExtent l="19050" t="0" r="26670" b="11430"/>
                      <wp:wrapNone/>
                      <wp:docPr id="107" name="直接连接符 107"/>
                      <wp:cNvGraphicFramePr/>
                      <a:graphic xmlns:a="http://schemas.openxmlformats.org/drawingml/2006/main">
                        <a:graphicData uri="http://schemas.microsoft.com/office/word/2010/wordprocessingShape">
                          <wps:wsp>
                            <wps:cNvCnPr/>
                            <wps:spPr>
                              <a:xfrm>
                                <a:off x="0" y="0"/>
                                <a:ext cx="0" cy="95250"/>
                              </a:xfrm>
                              <a:prstGeom prst="line">
                                <a:avLst/>
                              </a:prstGeom>
                              <a:ln w="38100"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1.35pt;margin-top:235.6pt;height:7.5pt;width:0pt;z-index:251672576;mso-width-relative:page;mso-height-relative:page;" filled="f" stroked="t" coordsize="21600,21600" o:gfxdata="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3DuU9sAAAALAQAADwAA&#10;AAAAAAABACAAAAAiAAAAZHJzL2Rvd25yZXYueG1sUEsBAhQAFAAAAAgAh07iQCRiaBraAQAAnQMA&#10;AA4AAAAAAAAAAQAgAAAAKgEAAGRycy9lMm9Eb2MueG1sUEsFBgAAAAAGAAYAWQEAAHYFAAAAAA==&#10;">
                      <v:fill on="f" focussize="0,0"/>
                      <v:stroke weight="3pt" color="#FF0000 [3204]" joinstyle="round"/>
                      <v:imagedata o:title=""/>
                      <o:lock v:ext="edit" aspectratio="f"/>
                    </v:lin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2112645</wp:posOffset>
                      </wp:positionH>
                      <wp:positionV relativeFrom="paragraph">
                        <wp:posOffset>2016760</wp:posOffset>
                      </wp:positionV>
                      <wp:extent cx="412750" cy="32004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41275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F9B73">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35pt;margin-top:158.8pt;height:25.2pt;width:32.5pt;z-index:251665408;mso-width-relative:page;mso-height-relative:page;" filled="f" stroked="f" coordsize="21600,21600" o:gfxdata="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m5ySptwAAAALAQAADwAAAAAAAAABACAAAAAiAAAAZHJz&#10;L2Rvd25yZXYueG1sUEsBAhQAFAAAAAgAh07iQHdG0yM5AgAAaQQAAA4AAAAAAAAAAQAgAAAAKwEA&#10;AGRycy9lMm9Eb2MueG1sUEsFBgAAAAAGAAYAWQEAANYFAAAAAA==&#10;">
                      <v:fill on="f" focussize="0,0"/>
                      <v:stroke on="f" weight="0.5pt"/>
                      <v:imagedata o:title=""/>
                      <o:lock v:ext="edit" aspectratio="f"/>
                      <v:textbox>
                        <w:txbxContent>
                          <w:p w14:paraId="3C3F9B73">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C</w:t>
                            </w:r>
                          </w:p>
                        </w:txbxContent>
                      </v:textbox>
                    </v:shap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788670</wp:posOffset>
                      </wp:positionH>
                      <wp:positionV relativeFrom="paragraph">
                        <wp:posOffset>1870710</wp:posOffset>
                      </wp:positionV>
                      <wp:extent cx="0" cy="168910"/>
                      <wp:effectExtent l="19050" t="0" r="26670" b="13970"/>
                      <wp:wrapNone/>
                      <wp:docPr id="18" name="直接连接符 18"/>
                      <wp:cNvGraphicFramePr/>
                      <a:graphic xmlns:a="http://schemas.openxmlformats.org/drawingml/2006/main">
                        <a:graphicData uri="http://schemas.microsoft.com/office/word/2010/wordprocessingShape">
                          <wps:wsp>
                            <wps:cNvCnPr/>
                            <wps:spPr>
                              <a:xfrm>
                                <a:off x="0" y="0"/>
                                <a:ext cx="0" cy="168910"/>
                              </a:xfrm>
                              <a:prstGeom prst="line">
                                <a:avLst/>
                              </a:prstGeom>
                              <a:ln w="38100"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2.1pt;margin-top:147.3pt;height:13.3pt;width:0pt;z-index:251668480;mso-width-relative:page;mso-height-relative:page;" filled="f" stroked="t" coordsize="21600,21600" o:gfxdata="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8ZmotsAAAALAQAADwAA&#10;AAAAAAABACAAAAAiAAAAZHJzL2Rvd25yZXYueG1sUEsBAhQAFAAAAAgAh07iQCir2w7aAQAAnAMA&#10;AA4AAAAAAAAAAQAgAAAAKgEAAGRycy9lMm9Eb2MueG1sUEsFBgAAAAAGAAYAWQEAAHYFAAAAAA==&#10;">
                      <v:fill on="f" focussize="0,0"/>
                      <v:stroke weight="3pt" color="#FF0000 [3204]" joinstyle="round"/>
                      <v:imagedata o:title=""/>
                      <o:lock v:ext="edit" aspectratio="f"/>
                    </v:lin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1522095</wp:posOffset>
                      </wp:positionH>
                      <wp:positionV relativeFrom="paragraph">
                        <wp:posOffset>1880235</wp:posOffset>
                      </wp:positionV>
                      <wp:extent cx="0" cy="168910"/>
                      <wp:effectExtent l="19050" t="0" r="26670" b="13970"/>
                      <wp:wrapNone/>
                      <wp:docPr id="53" name="直接连接符 53"/>
                      <wp:cNvGraphicFramePr/>
                      <a:graphic xmlns:a="http://schemas.openxmlformats.org/drawingml/2006/main">
                        <a:graphicData uri="http://schemas.microsoft.com/office/word/2010/wordprocessingShape">
                          <wps:wsp>
                            <wps:cNvCnPr/>
                            <wps:spPr>
                              <a:xfrm>
                                <a:off x="0" y="0"/>
                                <a:ext cx="0" cy="168910"/>
                              </a:xfrm>
                              <a:prstGeom prst="line">
                                <a:avLst/>
                              </a:prstGeom>
                              <a:ln w="38100"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9.85pt;margin-top:148.05pt;height:13.3pt;width:0pt;z-index:251669504;mso-width-relative:page;mso-height-relative:page;" filled="f" stroked="t" coordsize="21600,21600" o:gfxdata="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Qg+LPbAAAACwEAAA8A&#10;AAAAAAAAAQAgAAAAIgAAAGRycy9kb3ducmV2LnhtbFBLAQIUABQAAAAIAIdO4kBn5J2F2wEAAJwD&#10;AAAOAAAAAAAAAAEAIAAAACoBAABkcnMvZTJvRG9jLnhtbFBLBQYAAAAABgAGAFkBAAB3BQAAAAA=&#10;">
                      <v:fill on="f" focussize="0,0"/>
                      <v:stroke weight="3pt" color="#FF0000 [3204]" joinstyle="round"/>
                      <v:imagedata o:title=""/>
                      <o:lock v:ext="edit" aspectratio="f"/>
                    </v:lin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2255520</wp:posOffset>
                      </wp:positionH>
                      <wp:positionV relativeFrom="paragraph">
                        <wp:posOffset>1832610</wp:posOffset>
                      </wp:positionV>
                      <wp:extent cx="0" cy="168910"/>
                      <wp:effectExtent l="19050" t="0" r="26670" b="13970"/>
                      <wp:wrapNone/>
                      <wp:docPr id="97" name="直接连接符 97"/>
                      <wp:cNvGraphicFramePr/>
                      <a:graphic xmlns:a="http://schemas.openxmlformats.org/drawingml/2006/main">
                        <a:graphicData uri="http://schemas.microsoft.com/office/word/2010/wordprocessingShape">
                          <wps:wsp>
                            <wps:cNvCnPr/>
                            <wps:spPr>
                              <a:xfrm>
                                <a:off x="0" y="0"/>
                                <a:ext cx="0" cy="168910"/>
                              </a:xfrm>
                              <a:prstGeom prst="line">
                                <a:avLst/>
                              </a:prstGeom>
                              <a:ln w="38100"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7.6pt;margin-top:144.3pt;height:13.3pt;width:0pt;z-index:251670528;mso-width-relative:page;mso-height-relative:page;" filled="f" stroked="t" coordsize="21600,21600" o:gfxdata="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HXiuLbAAAACwEAAA8A&#10;AAAAAAAAAQAgAAAAIgAAAGRycy9kb3ducmV2LnhtbFBLAQIUABQAAAAIAIdO4kD+sYF92wEAAJwD&#10;AAAOAAAAAAAAAAEAIAAAACoBAABkcnMvZTJvRG9jLnhtbFBLBQYAAAAABgAGAFkBAAB3BQAAAAA=&#10;">
                      <v:fill on="f" focussize="0,0"/>
                      <v:stroke weight="3pt" color="#FF0000 [3204]" joinstyle="round"/>
                      <v:imagedata o:title=""/>
                      <o:lock v:ext="edit" aspectratio="f"/>
                    </v:lin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620395</wp:posOffset>
                      </wp:positionH>
                      <wp:positionV relativeFrom="paragraph">
                        <wp:posOffset>2051050</wp:posOffset>
                      </wp:positionV>
                      <wp:extent cx="412750" cy="26289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412750" cy="262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583D9">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85pt;margin-top:161.5pt;height:20.7pt;width:32.5pt;z-index:251663360;mso-width-relative:page;mso-height-relative:page;" filled="f" stroked="f" coordsize="21600,21600" o:gfxdata="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IhtMNoAAAAKAQAADwAAAAAAAAABACAAAAAiAAAAZHJz&#10;L2Rvd25yZXYueG1sUEsBAhQAFAAAAAgAh07iQJRFLHg7AgAAZwQAAA4AAAAAAAAAAQAgAAAAKQEA&#10;AGRycy9lMm9Eb2MueG1sUEsFBgAAAAAGAAYAWQEAANYFAAAAAA==&#10;">
                      <v:fill on="f" focussize="0,0"/>
                      <v:stroke on="f" weight="0.5pt"/>
                      <v:imagedata o:title=""/>
                      <o:lock v:ext="edit" aspectratio="f"/>
                      <v:textbox>
                        <w:txbxContent>
                          <w:p w14:paraId="111583D9">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A</w:t>
                            </w:r>
                          </w:p>
                        </w:txbxContent>
                      </v:textbox>
                    </v:shape>
                  </w:pict>
                </mc:Fallback>
              </mc:AlternateContent>
            </w:r>
            <w:r>
              <w:rPr>
                <w:rFonts w:hint="default"/>
                <w:color w:val="000000" w:themeColor="text1"/>
                <w:sz w:val="21"/>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1368425</wp:posOffset>
                      </wp:positionH>
                      <wp:positionV relativeFrom="paragraph">
                        <wp:posOffset>2094230</wp:posOffset>
                      </wp:positionV>
                      <wp:extent cx="412750" cy="32004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412750"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36864F">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75pt;margin-top:164.9pt;height:25.2pt;width:32.5pt;z-index:251664384;mso-width-relative:page;mso-height-relative:page;" filled="f" stroked="f" coordsize="21600,21600" o:gfxdata="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cekAG2QAAAAsBAAAPAAAAAAAAAAEAIAAAACIAAABkcnMv&#10;ZG93bnJldi54bWxQSwECFAAUAAAACACHTuJAGga9KzsCAABnBAAADgAAAAAAAAABACAAAAAoAQAA&#10;ZHJzL2Uyb0RvYy54bWxQSwUGAAAAAAYABgBZAQAA1QUAAAAA&#10;">
                      <v:fill on="f" focussize="0,0"/>
                      <v:stroke on="f" weight="0.5pt"/>
                      <v:imagedata o:title=""/>
                      <o:lock v:ext="edit" aspectratio="f"/>
                      <v:textbox>
                        <w:txbxContent>
                          <w:p w14:paraId="3036864F">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b/>
                                <w:bCs/>
                                <w:color w:val="FF0000"/>
                                <w:lang w:val="en-US" w:eastAsia="zh-CN"/>
                              </w:rPr>
                            </w:pPr>
                            <w:r>
                              <w:rPr>
                                <w:rFonts w:hint="eastAsia"/>
                                <w:b/>
                                <w:bCs/>
                                <w:color w:val="FF0000"/>
                                <w:lang w:val="en-US" w:eastAsia="zh-CN"/>
                              </w:rPr>
                              <w:t>B</w:t>
                            </w:r>
                          </w:p>
                        </w:txbxContent>
                      </v:textbox>
                    </v:shape>
                  </w:pict>
                </mc:Fallback>
              </mc:AlternateContent>
            </w:r>
            <w:r>
              <w:rPr>
                <w:color w:val="000000" w:themeColor="text1"/>
                <w14:textFill>
                  <w14:solidFill>
                    <w14:schemeClr w14:val="tx1"/>
                  </w14:solidFill>
                </w14:textFill>
              </w:rPr>
              <w:drawing>
                <wp:inline distT="0" distB="0" distL="114300" distR="114300">
                  <wp:extent cx="2482850" cy="3385185"/>
                  <wp:effectExtent l="0" t="0" r="1270" b="1333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31"/>
                          <a:stretch>
                            <a:fillRect/>
                          </a:stretch>
                        </pic:blipFill>
                        <pic:spPr>
                          <a:xfrm>
                            <a:off x="0" y="0"/>
                            <a:ext cx="2482850" cy="3385185"/>
                          </a:xfrm>
                          <a:prstGeom prst="rect">
                            <a:avLst/>
                          </a:prstGeom>
                          <a:noFill/>
                          <a:ln>
                            <a:noFill/>
                          </a:ln>
                        </pic:spPr>
                      </pic:pic>
                    </a:graphicData>
                  </a:graphic>
                </wp:inline>
              </w:drawing>
            </w:r>
          </w:p>
        </w:tc>
      </w:tr>
      <w:tr w14:paraId="6997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335CD35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相序排列方式</w:t>
            </w:r>
          </w:p>
        </w:tc>
        <w:tc>
          <w:tcPr>
            <w:tcW w:w="2475" w:type="dxa"/>
            <w:vAlign w:val="center"/>
          </w:tcPr>
          <w:p w14:paraId="57B303E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水平</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排列</w:t>
            </w:r>
          </w:p>
        </w:tc>
        <w:tc>
          <w:tcPr>
            <w:tcW w:w="405" w:type="dxa"/>
            <w:vMerge w:val="continue"/>
            <w:vAlign w:val="center"/>
          </w:tcPr>
          <w:p w14:paraId="302BDD31">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217B6931">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623F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06C8A39C">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导线型号</w:t>
            </w:r>
          </w:p>
        </w:tc>
        <w:tc>
          <w:tcPr>
            <w:tcW w:w="2475" w:type="dxa"/>
            <w:vAlign w:val="center"/>
          </w:tcPr>
          <w:p w14:paraId="3D48A75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t>JL/G1A-240/30</w:t>
            </w:r>
          </w:p>
        </w:tc>
        <w:tc>
          <w:tcPr>
            <w:tcW w:w="405" w:type="dxa"/>
            <w:vMerge w:val="continue"/>
            <w:vAlign w:val="center"/>
          </w:tcPr>
          <w:p w14:paraId="740A928D">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5BD387EF">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0DE2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2AA98E9A">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导线外径</w:t>
            </w:r>
          </w:p>
        </w:tc>
        <w:tc>
          <w:tcPr>
            <w:tcW w:w="2475" w:type="dxa"/>
            <w:vAlign w:val="center"/>
          </w:tcPr>
          <w:p w14:paraId="62D20455">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21.6mm</w:t>
            </w:r>
          </w:p>
        </w:tc>
        <w:tc>
          <w:tcPr>
            <w:tcW w:w="405" w:type="dxa"/>
            <w:vMerge w:val="continue"/>
            <w:vAlign w:val="center"/>
          </w:tcPr>
          <w:p w14:paraId="4576878C">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0584F8CA">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5658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42A35AD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预测电压</w:t>
            </w:r>
          </w:p>
        </w:tc>
        <w:tc>
          <w:tcPr>
            <w:tcW w:w="2475" w:type="dxa"/>
            <w:vAlign w:val="center"/>
          </w:tcPr>
          <w:p w14:paraId="1ECFC6F2">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11</w:t>
            </w:r>
            <w:r>
              <w:rPr>
                <w:rFonts w:hint="eastAsia" w:cs="Times New Roman"/>
                <w:b w:val="0"/>
                <w:bCs/>
                <w:color w:val="000000" w:themeColor="text1"/>
                <w:sz w:val="21"/>
                <w:szCs w:val="21"/>
                <w:vertAlign w:val="baseline"/>
                <w:lang w:val="en-US" w:eastAsia="zh-CN"/>
                <w14:textFill>
                  <w14:solidFill>
                    <w14:schemeClr w14:val="tx1"/>
                  </w14:solidFill>
                </w14:textFill>
              </w:rPr>
              <w:t>0kV</w:t>
            </w:r>
          </w:p>
        </w:tc>
        <w:tc>
          <w:tcPr>
            <w:tcW w:w="405" w:type="dxa"/>
            <w:vMerge w:val="continue"/>
            <w:vAlign w:val="center"/>
          </w:tcPr>
          <w:p w14:paraId="3E5AE021">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20DF6327">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3236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4DCC7FD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地线型式</w:t>
            </w:r>
          </w:p>
        </w:tc>
        <w:tc>
          <w:tcPr>
            <w:tcW w:w="2475" w:type="dxa"/>
            <w:vAlign w:val="center"/>
          </w:tcPr>
          <w:p w14:paraId="13C8E8FB">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t>2根24芯OPGW-24B1-80型复合光缆</w:t>
            </w:r>
          </w:p>
        </w:tc>
        <w:tc>
          <w:tcPr>
            <w:tcW w:w="405" w:type="dxa"/>
            <w:vMerge w:val="continue"/>
            <w:vAlign w:val="center"/>
          </w:tcPr>
          <w:p w14:paraId="3FB4CA6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66EDDCFC">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1366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09F3083C">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极限输送功率</w:t>
            </w:r>
          </w:p>
        </w:tc>
        <w:tc>
          <w:tcPr>
            <w:tcW w:w="2475" w:type="dxa"/>
            <w:vAlign w:val="center"/>
          </w:tcPr>
          <w:p w14:paraId="0D2C519B">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102MVA</w:t>
            </w:r>
          </w:p>
        </w:tc>
        <w:tc>
          <w:tcPr>
            <w:tcW w:w="405" w:type="dxa"/>
            <w:vMerge w:val="continue"/>
            <w:vAlign w:val="center"/>
          </w:tcPr>
          <w:p w14:paraId="4C20F49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14AF5536">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3508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6A53D32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导线垂直间距</w:t>
            </w:r>
          </w:p>
        </w:tc>
        <w:tc>
          <w:tcPr>
            <w:tcW w:w="2475" w:type="dxa"/>
            <w:vAlign w:val="center"/>
          </w:tcPr>
          <w:p w14:paraId="4A5D710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A相—B相：</w:t>
            </w:r>
            <w:r>
              <w:rPr>
                <w:rFonts w:hint="eastAsia" w:cs="Times New Roman"/>
                <w:b w:val="0"/>
                <w:bCs/>
                <w:color w:val="000000" w:themeColor="text1"/>
                <w:sz w:val="21"/>
                <w:szCs w:val="21"/>
                <w:vertAlign w:val="baseline"/>
                <w:lang w:val="en-US" w:eastAsia="zh-CN"/>
                <w14:textFill>
                  <w14:solidFill>
                    <w14:schemeClr w14:val="tx1"/>
                  </w14:solidFill>
                </w14:textFill>
              </w:rPr>
              <w:t>0</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m</w:t>
            </w:r>
          </w:p>
          <w:p w14:paraId="7086E69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B相—C相：</w:t>
            </w:r>
            <w:r>
              <w:rPr>
                <w:rFonts w:hint="eastAsia" w:cs="Times New Roman"/>
                <w:b w:val="0"/>
                <w:bCs/>
                <w:color w:val="000000" w:themeColor="text1"/>
                <w:sz w:val="21"/>
                <w:szCs w:val="21"/>
                <w:vertAlign w:val="baseline"/>
                <w:lang w:val="en-US" w:eastAsia="zh-CN"/>
                <w14:textFill>
                  <w14:solidFill>
                    <w14:schemeClr w14:val="tx1"/>
                  </w14:solidFill>
                </w14:textFill>
              </w:rPr>
              <w:t>0</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m</w:t>
            </w:r>
          </w:p>
          <w:p w14:paraId="79564040">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A相—C相：0m</w:t>
            </w:r>
          </w:p>
        </w:tc>
        <w:tc>
          <w:tcPr>
            <w:tcW w:w="405" w:type="dxa"/>
            <w:vMerge w:val="continue"/>
            <w:vAlign w:val="center"/>
          </w:tcPr>
          <w:p w14:paraId="65150BB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3CC0B3E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7888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4CCD7F1C">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相序</w:t>
            </w:r>
          </w:p>
        </w:tc>
        <w:tc>
          <w:tcPr>
            <w:tcW w:w="2475" w:type="dxa"/>
            <w:vAlign w:val="center"/>
          </w:tcPr>
          <w:p w14:paraId="0E1DF8FD">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A-B-C（左中右）</w:t>
            </w:r>
          </w:p>
        </w:tc>
        <w:tc>
          <w:tcPr>
            <w:tcW w:w="405" w:type="dxa"/>
            <w:vMerge w:val="continue"/>
            <w:vAlign w:val="center"/>
          </w:tcPr>
          <w:p w14:paraId="29F5501F">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5D480CB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03DB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1FBD94D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导线水平间距</w:t>
            </w:r>
          </w:p>
        </w:tc>
        <w:tc>
          <w:tcPr>
            <w:tcW w:w="2475" w:type="dxa"/>
            <w:vAlign w:val="center"/>
          </w:tcPr>
          <w:p w14:paraId="1F64553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A相—B相：</w:t>
            </w:r>
            <w:r>
              <w:rPr>
                <w:rFonts w:hint="eastAsia" w:cs="Times New Roman"/>
                <w:b w:val="0"/>
                <w:bCs/>
                <w:color w:val="000000" w:themeColor="text1"/>
                <w:sz w:val="21"/>
                <w:szCs w:val="21"/>
                <w:vertAlign w:val="baseline"/>
                <w:lang w:val="en-US" w:eastAsia="zh-CN"/>
                <w14:textFill>
                  <w14:solidFill>
                    <w14:schemeClr w14:val="tx1"/>
                  </w14:solidFill>
                </w14:textFill>
              </w:rPr>
              <w:t>4.0</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m</w:t>
            </w:r>
          </w:p>
          <w:p w14:paraId="2CF9FE5A">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B相—C相：</w:t>
            </w:r>
            <w:r>
              <w:rPr>
                <w:rFonts w:hint="eastAsia" w:cs="Times New Roman"/>
                <w:b w:val="0"/>
                <w:bCs/>
                <w:color w:val="000000" w:themeColor="text1"/>
                <w:sz w:val="21"/>
                <w:szCs w:val="21"/>
                <w:vertAlign w:val="baseline"/>
                <w:lang w:val="en-US" w:eastAsia="zh-CN"/>
                <w14:textFill>
                  <w14:solidFill>
                    <w14:schemeClr w14:val="tx1"/>
                  </w14:solidFill>
                </w14:textFill>
              </w:rPr>
              <w:t>4.0</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m</w:t>
            </w:r>
          </w:p>
          <w:p w14:paraId="626DB68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A相—C相：8.0m</w:t>
            </w:r>
          </w:p>
        </w:tc>
        <w:tc>
          <w:tcPr>
            <w:tcW w:w="405" w:type="dxa"/>
            <w:vMerge w:val="continue"/>
            <w:vAlign w:val="center"/>
          </w:tcPr>
          <w:p w14:paraId="540DF37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3A53CE00">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1218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6E3ED28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绝缘子串长度</w:t>
            </w:r>
          </w:p>
        </w:tc>
        <w:tc>
          <w:tcPr>
            <w:tcW w:w="2475" w:type="dxa"/>
            <w:vAlign w:val="center"/>
          </w:tcPr>
          <w:p w14:paraId="5411FC52">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1.8m</w:t>
            </w:r>
          </w:p>
        </w:tc>
        <w:tc>
          <w:tcPr>
            <w:tcW w:w="405" w:type="dxa"/>
            <w:vMerge w:val="continue"/>
            <w:vAlign w:val="center"/>
          </w:tcPr>
          <w:p w14:paraId="043F57E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75BAA011">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r w14:paraId="787C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509" w:type="dxa"/>
            <w:vAlign w:val="center"/>
          </w:tcPr>
          <w:p w14:paraId="144FE675">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导线—地线</w:t>
            </w:r>
          </w:p>
          <w:p w14:paraId="6DAAD64A">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垂直间距</w:t>
            </w:r>
          </w:p>
        </w:tc>
        <w:tc>
          <w:tcPr>
            <w:tcW w:w="2475" w:type="dxa"/>
            <w:vAlign w:val="center"/>
          </w:tcPr>
          <w:p w14:paraId="1BB1D0A5">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5.5</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m（相对最近导线，直线塔考虑绝缘子串高度）</w:t>
            </w:r>
          </w:p>
        </w:tc>
        <w:tc>
          <w:tcPr>
            <w:tcW w:w="405" w:type="dxa"/>
            <w:vMerge w:val="continue"/>
            <w:vAlign w:val="center"/>
          </w:tcPr>
          <w:p w14:paraId="1610442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c>
          <w:tcPr>
            <w:tcW w:w="4133" w:type="dxa"/>
            <w:gridSpan w:val="2"/>
            <w:vMerge w:val="continue"/>
            <w:vAlign w:val="center"/>
          </w:tcPr>
          <w:p w14:paraId="4D23239F">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000000" w:themeColor="text1"/>
                <w:sz w:val="21"/>
                <w:szCs w:val="21"/>
                <w:vertAlign w:val="baseline"/>
                <w:lang w:val="en-US" w:eastAsia="zh-CN"/>
                <w14:textFill>
                  <w14:solidFill>
                    <w14:schemeClr w14:val="tx1"/>
                  </w14:solidFill>
                </w14:textFill>
              </w:rPr>
            </w:pPr>
          </w:p>
        </w:tc>
      </w:tr>
    </w:tbl>
    <w:p w14:paraId="170E1E33">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Chars="0" w:firstLine="0" w:firstLineChars="0"/>
        <w:jc w:val="left"/>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3.2.</w:t>
      </w:r>
      <w:r>
        <w:rPr>
          <w:rFonts w:hint="eastAsia" w:ascii="Times New Roman" w:hAnsi="Times New Roman" w:cs="Times New Roman"/>
          <w:b/>
          <w:bCs/>
          <w:color w:val="000000" w:themeColor="text1"/>
          <w:sz w:val="24"/>
          <w:szCs w:val="24"/>
          <w:lang w:val="en-US" w:eastAsia="zh-CN"/>
          <w14:textFill>
            <w14:solidFill>
              <w14:schemeClr w14:val="tx1"/>
            </w14:solidFill>
          </w14:textFill>
        </w:rPr>
        <w:t>3本项目线路工频电场强度、工频磁感应强度预测</w:t>
      </w:r>
    </w:p>
    <w:p w14:paraId="2D6867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b w:val="0"/>
          <w:bCs/>
          <w:color w:val="000000" w:themeColor="text1"/>
          <w:sz w:val="24"/>
          <w:lang w:val="en-US" w:eastAsia="zh-CN"/>
          <w14:textFill>
            <w14:solidFill>
              <w14:schemeClr w14:val="tx1"/>
            </w14:solidFill>
          </w14:textFill>
        </w:rPr>
      </w:pPr>
      <w:r>
        <w:rPr>
          <w:rFonts w:hint="default" w:ascii="Times New Roman" w:hAnsi="Times New Roman" w:cs="Times New Roman"/>
          <w:b w:val="0"/>
          <w:bCs/>
          <w:color w:val="000000" w:themeColor="text1"/>
          <w:sz w:val="24"/>
          <w:lang w:val="en-US" w:eastAsia="zh-CN"/>
          <w14:textFill>
            <w14:solidFill>
              <w14:schemeClr w14:val="tx1"/>
            </w14:solidFill>
          </w14:textFill>
        </w:rPr>
        <w:t>根据《110</w:t>
      </w:r>
      <w:r>
        <w:rPr>
          <w:rFonts w:hint="eastAsia" w:cs="Times New Roman"/>
          <w:b w:val="0"/>
          <w:bCs/>
          <w:color w:val="000000" w:themeColor="text1"/>
          <w:sz w:val="24"/>
          <w:lang w:val="en-US" w:eastAsia="zh-CN"/>
          <w14:textFill>
            <w14:solidFill>
              <w14:schemeClr w14:val="tx1"/>
            </w14:solidFill>
          </w14:textFill>
        </w:rPr>
        <w:t>kV</w:t>
      </w:r>
      <w:r>
        <w:rPr>
          <w:rFonts w:hint="default" w:ascii="Times New Roman" w:hAnsi="Times New Roman" w:cs="Times New Roman"/>
          <w:b w:val="0"/>
          <w:bCs/>
          <w:color w:val="000000" w:themeColor="text1"/>
          <w:sz w:val="24"/>
          <w:lang w:val="en-US" w:eastAsia="zh-CN"/>
          <w14:textFill>
            <w14:solidFill>
              <w14:schemeClr w14:val="tx1"/>
            </w14:solidFill>
          </w14:textFill>
        </w:rPr>
        <w:t>～750</w:t>
      </w:r>
      <w:r>
        <w:rPr>
          <w:rFonts w:hint="eastAsia" w:cs="Times New Roman"/>
          <w:b w:val="0"/>
          <w:bCs/>
          <w:color w:val="000000" w:themeColor="text1"/>
          <w:sz w:val="24"/>
          <w:lang w:val="en-US" w:eastAsia="zh-CN"/>
          <w14:textFill>
            <w14:solidFill>
              <w14:schemeClr w14:val="tx1"/>
            </w14:solidFill>
          </w14:textFill>
        </w:rPr>
        <w:t>kV</w:t>
      </w:r>
      <w:r>
        <w:rPr>
          <w:rFonts w:hint="default" w:ascii="Times New Roman" w:hAnsi="Times New Roman" w:cs="Times New Roman"/>
          <w:b w:val="0"/>
          <w:bCs/>
          <w:color w:val="000000" w:themeColor="text1"/>
          <w:sz w:val="24"/>
          <w:lang w:val="en-US" w:eastAsia="zh-CN"/>
          <w14:textFill>
            <w14:solidFill>
              <w14:schemeClr w14:val="tx1"/>
            </w14:solidFill>
          </w14:textFill>
        </w:rPr>
        <w:t>架空输电线路设计规范》</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GB50545-2010</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中110</w:t>
      </w:r>
      <w:r>
        <w:rPr>
          <w:rFonts w:hint="eastAsia" w:cs="Times New Roman"/>
          <w:b w:val="0"/>
          <w:bCs/>
          <w:color w:val="000000" w:themeColor="text1"/>
          <w:sz w:val="24"/>
          <w:lang w:val="en-US" w:eastAsia="zh-CN"/>
          <w14:textFill>
            <w14:solidFill>
              <w14:schemeClr w14:val="tx1"/>
            </w14:solidFill>
          </w14:textFill>
        </w:rPr>
        <w:t>kV</w:t>
      </w:r>
      <w:r>
        <w:rPr>
          <w:rFonts w:hint="default" w:ascii="Times New Roman" w:hAnsi="Times New Roman" w:cs="Times New Roman"/>
          <w:b w:val="0"/>
          <w:bCs/>
          <w:color w:val="000000" w:themeColor="text1"/>
          <w:sz w:val="24"/>
          <w:lang w:val="en-US" w:eastAsia="zh-CN"/>
          <w14:textFill>
            <w14:solidFill>
              <w14:schemeClr w14:val="tx1"/>
            </w14:solidFill>
          </w14:textFill>
        </w:rPr>
        <w:t>架空线路要求导线对地面最小距离居民区</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7.0m</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和非居民区</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6.0m</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，本次预测110</w:t>
      </w:r>
      <w:r>
        <w:rPr>
          <w:rFonts w:hint="eastAsia" w:cs="Times New Roman"/>
          <w:b w:val="0"/>
          <w:bCs/>
          <w:color w:val="000000" w:themeColor="text1"/>
          <w:sz w:val="24"/>
          <w:lang w:val="en-US" w:eastAsia="zh-CN"/>
          <w14:textFill>
            <w14:solidFill>
              <w14:schemeClr w14:val="tx1"/>
            </w14:solidFill>
          </w14:textFill>
        </w:rPr>
        <w:t>kV</w:t>
      </w:r>
      <w:r>
        <w:rPr>
          <w:rFonts w:hint="default" w:ascii="Times New Roman" w:hAnsi="Times New Roman" w:cs="Times New Roman"/>
          <w:b w:val="0"/>
          <w:bCs/>
          <w:color w:val="000000" w:themeColor="text1"/>
          <w:sz w:val="24"/>
          <w:lang w:val="en-US" w:eastAsia="zh-CN"/>
          <w14:textFill>
            <w14:solidFill>
              <w14:schemeClr w14:val="tx1"/>
            </w14:solidFill>
          </w14:textFill>
        </w:rPr>
        <w:t>架空线路导线对地高度</w:t>
      </w:r>
      <w:r>
        <w:rPr>
          <w:rFonts w:hint="eastAsia" w:cs="Times New Roman"/>
          <w:b w:val="0"/>
          <w:bCs/>
          <w:color w:val="000000" w:themeColor="text1"/>
          <w:sz w:val="24"/>
          <w:lang w:val="en-US" w:eastAsia="zh-CN"/>
          <w14:textFill>
            <w14:solidFill>
              <w14:schemeClr w14:val="tx1"/>
            </w14:solidFill>
          </w14:textFill>
        </w:rPr>
        <w:t>以最不利影响</w:t>
      </w:r>
      <w:r>
        <w:rPr>
          <w:rFonts w:hint="default" w:ascii="Times New Roman" w:hAnsi="Times New Roman" w:cs="Times New Roman"/>
          <w:b w:val="0"/>
          <w:bCs/>
          <w:color w:val="000000" w:themeColor="text1"/>
          <w:sz w:val="24"/>
          <w:lang w:val="en-US" w:eastAsia="zh-CN"/>
          <w14:textFill>
            <w14:solidFill>
              <w14:schemeClr w14:val="tx1"/>
            </w14:solidFill>
          </w14:textFill>
        </w:rPr>
        <w:t>居民区7.0m及非居民区6.0m地面上1.5m高度处的工频电场强度和工频磁感应强度。在输电线路的截面上建立平面</w:t>
      </w:r>
      <w:r>
        <w:rPr>
          <w:rFonts w:hint="eastAsia" w:ascii="Times New Roman" w:hAnsi="Times New Roman" w:cs="Times New Roman"/>
          <w:b w:val="0"/>
          <w:bCs/>
          <w:color w:val="000000" w:themeColor="text1"/>
          <w:sz w:val="24"/>
          <w:lang w:val="en-US" w:eastAsia="zh-CN"/>
          <w14:textFill>
            <w14:solidFill>
              <w14:schemeClr w14:val="tx1"/>
            </w14:solidFill>
          </w14:textFill>
        </w:rPr>
        <w:t>直角</w:t>
      </w:r>
      <w:r>
        <w:rPr>
          <w:rFonts w:hint="default" w:ascii="Times New Roman" w:hAnsi="Times New Roman" w:cs="Times New Roman"/>
          <w:b w:val="0"/>
          <w:bCs/>
          <w:color w:val="000000" w:themeColor="text1"/>
          <w:sz w:val="24"/>
          <w:lang w:val="en-US" w:eastAsia="zh-CN"/>
          <w14:textFill>
            <w14:solidFill>
              <w14:schemeClr w14:val="tx1"/>
            </w14:solidFill>
          </w14:textFill>
        </w:rPr>
        <w:t>坐标系，以线路走廊中心在地面投影为坐标系的原点</w:t>
      </w:r>
      <w:r>
        <w:rPr>
          <w:rFonts w:hint="eastAsia" w:ascii="Times New Roman" w:hAnsi="Times New Roman" w:cs="Times New Roman"/>
          <w:b w:val="0"/>
          <w:bCs/>
          <w:color w:val="000000" w:themeColor="text1"/>
          <w:sz w:val="24"/>
          <w:lang w:val="en-US" w:eastAsia="zh-CN"/>
          <w14:textFill>
            <w14:solidFill>
              <w14:schemeClr w14:val="tx1"/>
            </w14:solidFill>
          </w14:textFill>
        </w:rPr>
        <w:t>O（</w:t>
      </w:r>
      <w:r>
        <w:rPr>
          <w:rFonts w:hint="default" w:ascii="Times New Roman" w:hAnsi="Times New Roman" w:cs="Times New Roman"/>
          <w:b w:val="0"/>
          <w:bCs/>
          <w:color w:val="000000" w:themeColor="text1"/>
          <w:sz w:val="24"/>
          <w:lang w:val="en-US" w:eastAsia="zh-CN"/>
          <w14:textFill>
            <w14:solidFill>
              <w14:schemeClr w14:val="tx1"/>
            </w14:solidFill>
          </w14:textFill>
        </w:rPr>
        <w:t>0</w:t>
      </w:r>
      <w:r>
        <w:rPr>
          <w:rFonts w:hint="eastAsia"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0</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default" w:ascii="Times New Roman" w:hAnsi="Times New Roman" w:cs="Times New Roman"/>
          <w:b w:val="0"/>
          <w:bCs/>
          <w:color w:val="000000" w:themeColor="text1"/>
          <w:sz w:val="24"/>
          <w:lang w:val="en-US" w:eastAsia="zh-CN"/>
          <w14:textFill>
            <w14:solidFill>
              <w14:schemeClr w14:val="tx1"/>
            </w14:solidFill>
          </w14:textFill>
        </w:rPr>
        <w:t>，X为水平方向、Y为垂直方向，单位为m。</w:t>
      </w:r>
      <w:r>
        <w:rPr>
          <w:rFonts w:hint="eastAsia" w:cs="Times New Roman"/>
          <w:b w:val="0"/>
          <w:bCs/>
          <w:color w:val="000000" w:themeColor="text1"/>
          <w:sz w:val="24"/>
          <w:lang w:val="en-US" w:eastAsia="zh-CN"/>
          <w14:textFill>
            <w14:solidFill>
              <w14:schemeClr w14:val="tx1"/>
            </w14:solidFill>
          </w14:textFill>
        </w:rPr>
        <w:t>根据</w:t>
      </w:r>
      <w:r>
        <w:rPr>
          <w:rFonts w:hint="eastAsia"/>
          <w:b w:val="0"/>
          <w:bCs w:val="0"/>
          <w:color w:val="000000" w:themeColor="text1"/>
          <w:sz w:val="24"/>
          <w:szCs w:val="32"/>
          <w:lang w:val="en-US" w:eastAsia="zh-CN"/>
          <w14:textFill>
            <w14:solidFill>
              <w14:schemeClr w14:val="tx1"/>
            </w14:solidFill>
          </w14:textFill>
        </w:rPr>
        <w:t>《环境影响评价技术导则 输变电》（HJ24-2020）中“8.1.2 架空线路电磁环境模式预测及评价”“8.1.2.4 预测结果及评价”</w:t>
      </w:r>
      <w:r>
        <w:rPr>
          <w:rFonts w:hint="eastAsia" w:cs="Times New Roman"/>
          <w:b w:val="0"/>
          <w:bCs/>
          <w:color w:val="000000" w:themeColor="text1"/>
          <w:sz w:val="24"/>
          <w:lang w:val="en-US" w:eastAsia="zh-CN"/>
          <w14:textFill>
            <w14:solidFill>
              <w14:schemeClr w14:val="tx1"/>
            </w14:solidFill>
          </w14:textFill>
        </w:rPr>
        <w:t>预测结果应以表格、趋势线图的方式表述。</w:t>
      </w:r>
    </w:p>
    <w:p w14:paraId="50019B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cs="Times New Roman"/>
          <w:b w:val="0"/>
          <w:bCs/>
          <w:color w:val="000000" w:themeColor="text1"/>
          <w:sz w:val="24"/>
          <w:lang w:val="en-US" w:eastAsia="zh-CN"/>
          <w14:textFill>
            <w14:solidFill>
              <w14:schemeClr w14:val="tx1"/>
            </w14:solidFill>
          </w14:textFill>
        </w:rPr>
      </w:pPr>
      <w:r>
        <w:rPr>
          <w:rFonts w:hint="eastAsia" w:ascii="Times New Roman" w:hAnsi="Times New Roman" w:cs="Times New Roman"/>
          <w:b w:val="0"/>
          <w:bCs/>
          <w:color w:val="000000" w:themeColor="text1"/>
          <w:sz w:val="24"/>
          <w:lang w:val="en-US" w:eastAsia="zh-CN"/>
          <w14:textFill>
            <w14:solidFill>
              <w14:schemeClr w14:val="tx1"/>
            </w14:solidFill>
          </w14:textFill>
        </w:rPr>
        <w:t>线路电磁环境预测值，见表</w:t>
      </w:r>
      <w:r>
        <w:rPr>
          <w:rFonts w:hint="eastAsia" w:cs="Times New Roman"/>
          <w:b w:val="0"/>
          <w:bCs/>
          <w:color w:val="000000" w:themeColor="text1"/>
          <w:sz w:val="24"/>
          <w:lang w:val="en-US" w:eastAsia="zh-CN"/>
          <w14:textFill>
            <w14:solidFill>
              <w14:schemeClr w14:val="tx1"/>
            </w14:solidFill>
          </w14:textFill>
        </w:rPr>
        <w:t>3.2</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eastAsia" w:cs="Times New Roman"/>
          <w:b w:val="0"/>
          <w:bCs/>
          <w:color w:val="000000" w:themeColor="text1"/>
          <w:sz w:val="24"/>
          <w:lang w:val="en-US" w:eastAsia="zh-CN"/>
          <w14:textFill>
            <w14:solidFill>
              <w14:schemeClr w14:val="tx1"/>
            </w14:solidFill>
          </w14:textFill>
        </w:rPr>
        <w:t>4，趋势线图见图3.2-3~3.2-4。</w:t>
      </w:r>
    </w:p>
    <w:p w14:paraId="59C32C8E">
      <w:pPr>
        <w:pStyle w:val="13"/>
        <w:keepNext w:val="0"/>
        <w:keepLines w:val="0"/>
        <w:pageBreakBefore w:val="0"/>
        <w:widowControl w:val="0"/>
        <w:kinsoku/>
        <w:wordWrap/>
        <w:overflowPunct/>
        <w:topLinePunct w:val="0"/>
        <w:autoSpaceDE/>
        <w:autoSpaceDN/>
        <w:bidi w:val="0"/>
        <w:adjustRightInd/>
        <w:snapToGrid/>
        <w:spacing w:before="157" w:beforeLines="50" w:after="0"/>
        <w:ind w:left="0" w:leftChars="0" w:firstLine="0" w:firstLineChars="0"/>
        <w:jc w:val="center"/>
        <w:textAlignment w:val="auto"/>
        <w:rPr>
          <w:rFonts w:hint="default" w:cs="Times New Roman"/>
          <w:b/>
          <w:bCs w:val="0"/>
          <w:color w:val="000000" w:themeColor="text1"/>
          <w:sz w:val="22"/>
          <w:szCs w:val="22"/>
          <w:lang w:val="en-US" w:eastAsia="zh-CN"/>
          <w14:textFill>
            <w14:solidFill>
              <w14:schemeClr w14:val="tx1"/>
            </w14:solidFill>
          </w14:textFill>
        </w:rPr>
      </w:pPr>
      <w:r>
        <w:rPr>
          <w:rFonts w:hint="eastAsia" w:cs="Times New Roman"/>
          <w:b/>
          <w:bCs w:val="0"/>
          <w:color w:val="000000" w:themeColor="text1"/>
          <w:sz w:val="22"/>
          <w:szCs w:val="22"/>
          <w:lang w:val="en-US" w:eastAsia="zh-CN"/>
          <w14:textFill>
            <w14:solidFill>
              <w14:schemeClr w14:val="tx1"/>
            </w14:solidFill>
          </w14:textFill>
        </w:rPr>
        <w:t>表3.2-4  线路电磁环境预测值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5"/>
        <w:gridCol w:w="1620"/>
        <w:gridCol w:w="1620"/>
        <w:gridCol w:w="1380"/>
        <w:gridCol w:w="1553"/>
      </w:tblGrid>
      <w:tr w14:paraId="671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Merge w:val="restart"/>
            <w:vAlign w:val="center"/>
          </w:tcPr>
          <w:p w14:paraId="573EA0D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t>预测点与原点的水平距离</w:t>
            </w:r>
          </w:p>
        </w:tc>
        <w:tc>
          <w:tcPr>
            <w:tcW w:w="3240" w:type="dxa"/>
            <w:gridSpan w:val="2"/>
            <w:vAlign w:val="center"/>
          </w:tcPr>
          <w:p w14:paraId="5AE7138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t>工频电场强度</w:t>
            </w:r>
            <w:r>
              <w:rPr>
                <w:rFonts w:hint="eastAsia" w:cs="Times New Roman"/>
                <w:b w:val="0"/>
                <w:bCs/>
                <w:color w:val="000000" w:themeColor="text1"/>
                <w:sz w:val="21"/>
                <w:szCs w:val="15"/>
                <w:vertAlign w:val="baseline"/>
                <w:lang w:val="en-US" w:eastAsia="zh-CN"/>
                <w14:textFill>
                  <w14:solidFill>
                    <w14:schemeClr w14:val="tx1"/>
                  </w14:solidFill>
                </w14:textFill>
              </w:rPr>
              <w:t>（kV</w:t>
            </w:r>
            <w:r>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t>/m</w:t>
            </w:r>
            <w:r>
              <w:rPr>
                <w:rFonts w:hint="eastAsia" w:cs="Times New Roman"/>
                <w:b w:val="0"/>
                <w:bCs/>
                <w:color w:val="000000" w:themeColor="text1"/>
                <w:sz w:val="21"/>
                <w:szCs w:val="15"/>
                <w:vertAlign w:val="baseline"/>
                <w:lang w:val="en-US" w:eastAsia="zh-CN"/>
                <w14:textFill>
                  <w14:solidFill>
                    <w14:schemeClr w14:val="tx1"/>
                  </w14:solidFill>
                </w14:textFill>
              </w:rPr>
              <w:t>）</w:t>
            </w:r>
          </w:p>
        </w:tc>
        <w:tc>
          <w:tcPr>
            <w:tcW w:w="2933" w:type="dxa"/>
            <w:gridSpan w:val="2"/>
            <w:vAlign w:val="center"/>
          </w:tcPr>
          <w:p w14:paraId="58E875F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t>工频电场磁感应强度</w:t>
            </w:r>
            <w:r>
              <w:rPr>
                <w:rFonts w:hint="eastAsia" w:cs="Times New Roman"/>
                <w:b w:val="0"/>
                <w:bCs/>
                <w:color w:val="000000" w:themeColor="text1"/>
                <w:sz w:val="21"/>
                <w:szCs w:val="15"/>
                <w:vertAlign w:val="baseline"/>
                <w:lang w:val="en-US" w:eastAsia="zh-CN"/>
                <w14:textFill>
                  <w14:solidFill>
                    <w14:schemeClr w14:val="tx1"/>
                  </w14:solidFill>
                </w14:textFill>
              </w:rPr>
              <w:t>（</w:t>
            </w:r>
            <w:r>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t>μT</w:t>
            </w:r>
            <w:r>
              <w:rPr>
                <w:rFonts w:hint="eastAsia" w:cs="Times New Roman"/>
                <w:b w:val="0"/>
                <w:bCs/>
                <w:color w:val="000000" w:themeColor="text1"/>
                <w:sz w:val="21"/>
                <w:szCs w:val="15"/>
                <w:vertAlign w:val="baseline"/>
                <w:lang w:val="en-US" w:eastAsia="zh-CN"/>
                <w14:textFill>
                  <w14:solidFill>
                    <w14:schemeClr w14:val="tx1"/>
                  </w14:solidFill>
                </w14:textFill>
              </w:rPr>
              <w:t>）</w:t>
            </w:r>
          </w:p>
        </w:tc>
      </w:tr>
      <w:tr w14:paraId="4CAD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Merge w:val="continue"/>
            <w:vAlign w:val="center"/>
          </w:tcPr>
          <w:p w14:paraId="572192A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p>
        </w:tc>
        <w:tc>
          <w:tcPr>
            <w:tcW w:w="1620" w:type="dxa"/>
            <w:vAlign w:val="center"/>
          </w:tcPr>
          <w:p w14:paraId="2A3BD67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15"/>
                <w:vertAlign w:val="baseline"/>
                <w:lang w:val="en-US" w:eastAsia="zh-CN"/>
                <w14:textFill>
                  <w14:solidFill>
                    <w14:schemeClr w14:val="tx1"/>
                  </w14:solidFill>
                </w14:textFill>
              </w:rPr>
              <w:t>居民区7.0m</w:t>
            </w:r>
          </w:p>
        </w:tc>
        <w:tc>
          <w:tcPr>
            <w:tcW w:w="1620" w:type="dxa"/>
            <w:vAlign w:val="center"/>
          </w:tcPr>
          <w:p w14:paraId="6D0752F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15"/>
                <w:vertAlign w:val="baseline"/>
                <w:lang w:val="en-US" w:eastAsia="zh-CN"/>
                <w14:textFill>
                  <w14:solidFill>
                    <w14:schemeClr w14:val="tx1"/>
                  </w14:solidFill>
                </w14:textFill>
              </w:rPr>
              <w:t>非居民区6.0m</w:t>
            </w:r>
          </w:p>
        </w:tc>
        <w:tc>
          <w:tcPr>
            <w:tcW w:w="1380" w:type="dxa"/>
            <w:vAlign w:val="center"/>
          </w:tcPr>
          <w:p w14:paraId="57C0E8E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color w:val="000000" w:themeColor="text1"/>
                <w:kern w:val="0"/>
                <w:sz w:val="21"/>
                <w:szCs w:val="15"/>
                <w:vertAlign w:val="baseline"/>
                <w:lang w:val="en-US" w:eastAsia="zh-CN" w:bidi="ar-SA"/>
                <w14:textFill>
                  <w14:solidFill>
                    <w14:schemeClr w14:val="tx1"/>
                  </w14:solidFill>
                </w14:textFill>
              </w:rPr>
            </w:pPr>
            <w:r>
              <w:rPr>
                <w:rFonts w:hint="eastAsia" w:ascii="Times New Roman" w:hAnsi="Times New Roman" w:cs="Times New Roman"/>
                <w:b w:val="0"/>
                <w:bCs/>
                <w:color w:val="000000" w:themeColor="text1"/>
                <w:sz w:val="21"/>
                <w:szCs w:val="15"/>
                <w:vertAlign w:val="baseline"/>
                <w:lang w:val="en-US" w:eastAsia="zh-CN"/>
                <w14:textFill>
                  <w14:solidFill>
                    <w14:schemeClr w14:val="tx1"/>
                  </w14:solidFill>
                </w14:textFill>
              </w:rPr>
              <w:t>居民区7.0m</w:t>
            </w:r>
          </w:p>
        </w:tc>
        <w:tc>
          <w:tcPr>
            <w:tcW w:w="1553" w:type="dxa"/>
            <w:vAlign w:val="center"/>
          </w:tcPr>
          <w:p w14:paraId="3CE10F4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color w:val="000000" w:themeColor="text1"/>
                <w:kern w:val="0"/>
                <w:sz w:val="21"/>
                <w:szCs w:val="15"/>
                <w:vertAlign w:val="baseline"/>
                <w:lang w:val="en-US" w:eastAsia="zh-CN" w:bidi="ar-SA"/>
                <w14:textFill>
                  <w14:solidFill>
                    <w14:schemeClr w14:val="tx1"/>
                  </w14:solidFill>
                </w14:textFill>
              </w:rPr>
            </w:pPr>
            <w:r>
              <w:rPr>
                <w:rFonts w:hint="eastAsia" w:ascii="Times New Roman" w:hAnsi="Times New Roman" w:cs="Times New Roman"/>
                <w:b w:val="0"/>
                <w:bCs/>
                <w:color w:val="000000" w:themeColor="text1"/>
                <w:sz w:val="21"/>
                <w:szCs w:val="15"/>
                <w:vertAlign w:val="baseline"/>
                <w:lang w:val="en-US" w:eastAsia="zh-CN"/>
                <w14:textFill>
                  <w14:solidFill>
                    <w14:schemeClr w14:val="tx1"/>
                  </w14:solidFill>
                </w14:textFill>
              </w:rPr>
              <w:t>非居民区6.0m</w:t>
            </w:r>
          </w:p>
        </w:tc>
      </w:tr>
      <w:tr w14:paraId="7960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Merge w:val="continue"/>
            <w:vAlign w:val="center"/>
          </w:tcPr>
          <w:p w14:paraId="1FCAD49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p>
        </w:tc>
        <w:tc>
          <w:tcPr>
            <w:tcW w:w="6173" w:type="dxa"/>
            <w:gridSpan w:val="4"/>
            <w:vAlign w:val="center"/>
          </w:tcPr>
          <w:p w14:paraId="670846D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val="0"/>
                <w:bCs/>
                <w:color w:val="000000" w:themeColor="text1"/>
                <w:sz w:val="21"/>
                <w:szCs w:val="15"/>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15"/>
                <w:vertAlign w:val="baseline"/>
                <w:lang w:val="en-US" w:eastAsia="zh-CN"/>
                <w14:textFill>
                  <w14:solidFill>
                    <w14:schemeClr w14:val="tx1"/>
                  </w14:solidFill>
                </w14:textFill>
              </w:rPr>
              <w:t>预测高度1.5m</w:t>
            </w:r>
          </w:p>
        </w:tc>
      </w:tr>
      <w:tr w14:paraId="103C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1917E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距原点-33米</w:t>
            </w:r>
          </w:p>
        </w:tc>
        <w:tc>
          <w:tcPr>
            <w:tcW w:w="1620" w:type="dxa"/>
            <w:vAlign w:val="center"/>
          </w:tcPr>
          <w:p w14:paraId="016B6BF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0.0422</w:t>
            </w:r>
          </w:p>
        </w:tc>
        <w:tc>
          <w:tcPr>
            <w:tcW w:w="1620" w:type="dxa"/>
            <w:vAlign w:val="center"/>
          </w:tcPr>
          <w:p w14:paraId="70856A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0.0372</w:t>
            </w:r>
          </w:p>
        </w:tc>
        <w:tc>
          <w:tcPr>
            <w:tcW w:w="1380" w:type="dxa"/>
            <w:vAlign w:val="center"/>
          </w:tcPr>
          <w:p w14:paraId="5AD96F1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3.1273</w:t>
            </w:r>
          </w:p>
        </w:tc>
        <w:tc>
          <w:tcPr>
            <w:tcW w:w="1553" w:type="dxa"/>
            <w:vAlign w:val="center"/>
          </w:tcPr>
          <w:p w14:paraId="0DE12B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3.1432</w:t>
            </w:r>
          </w:p>
        </w:tc>
      </w:tr>
      <w:tr w14:paraId="5732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C4590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距原点-32米</w:t>
            </w:r>
          </w:p>
        </w:tc>
        <w:tc>
          <w:tcPr>
            <w:tcW w:w="1620" w:type="dxa"/>
            <w:vAlign w:val="center"/>
          </w:tcPr>
          <w:p w14:paraId="10F531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0.0461</w:t>
            </w:r>
          </w:p>
        </w:tc>
        <w:tc>
          <w:tcPr>
            <w:tcW w:w="1620" w:type="dxa"/>
            <w:vAlign w:val="center"/>
          </w:tcPr>
          <w:p w14:paraId="69EC46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0.0406</w:t>
            </w:r>
          </w:p>
        </w:tc>
        <w:tc>
          <w:tcPr>
            <w:tcW w:w="1380" w:type="dxa"/>
            <w:vAlign w:val="center"/>
          </w:tcPr>
          <w:p w14:paraId="2BE53B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3.2238</w:t>
            </w:r>
          </w:p>
        </w:tc>
        <w:tc>
          <w:tcPr>
            <w:tcW w:w="1553" w:type="dxa"/>
            <w:vAlign w:val="center"/>
          </w:tcPr>
          <w:p w14:paraId="0475EFA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3.2412</w:t>
            </w:r>
          </w:p>
        </w:tc>
      </w:tr>
      <w:tr w14:paraId="58EA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A19C6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距原点-31米</w:t>
            </w:r>
          </w:p>
        </w:tc>
        <w:tc>
          <w:tcPr>
            <w:tcW w:w="1620" w:type="dxa"/>
            <w:vAlign w:val="center"/>
          </w:tcPr>
          <w:p w14:paraId="0EFE71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0.0503</w:t>
            </w:r>
          </w:p>
        </w:tc>
        <w:tc>
          <w:tcPr>
            <w:tcW w:w="1620" w:type="dxa"/>
            <w:vAlign w:val="center"/>
          </w:tcPr>
          <w:p w14:paraId="49EB5E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0.0445</w:t>
            </w:r>
          </w:p>
        </w:tc>
        <w:tc>
          <w:tcPr>
            <w:tcW w:w="1380" w:type="dxa"/>
            <w:vAlign w:val="center"/>
          </w:tcPr>
          <w:p w14:paraId="2215A6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3.3264</w:t>
            </w:r>
          </w:p>
        </w:tc>
        <w:tc>
          <w:tcPr>
            <w:tcW w:w="1553" w:type="dxa"/>
            <w:vAlign w:val="center"/>
          </w:tcPr>
          <w:p w14:paraId="2E2BDA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3.3454</w:t>
            </w:r>
          </w:p>
        </w:tc>
      </w:tr>
      <w:tr w14:paraId="4B6C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A1BB7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距原点-30米</w:t>
            </w:r>
          </w:p>
        </w:tc>
        <w:tc>
          <w:tcPr>
            <w:tcW w:w="1620" w:type="dxa"/>
            <w:vAlign w:val="center"/>
          </w:tcPr>
          <w:p w14:paraId="258090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0.0552</w:t>
            </w:r>
          </w:p>
        </w:tc>
        <w:tc>
          <w:tcPr>
            <w:tcW w:w="1620" w:type="dxa"/>
            <w:vAlign w:val="center"/>
          </w:tcPr>
          <w:p w14:paraId="34F5A42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0.0488</w:t>
            </w:r>
          </w:p>
        </w:tc>
        <w:tc>
          <w:tcPr>
            <w:tcW w:w="1380" w:type="dxa"/>
            <w:vAlign w:val="center"/>
          </w:tcPr>
          <w:p w14:paraId="596B82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3.4357</w:t>
            </w:r>
          </w:p>
        </w:tc>
        <w:tc>
          <w:tcPr>
            <w:tcW w:w="1553" w:type="dxa"/>
            <w:vAlign w:val="center"/>
          </w:tcPr>
          <w:p w14:paraId="6341772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3.4566</w:t>
            </w:r>
          </w:p>
        </w:tc>
      </w:tr>
      <w:tr w14:paraId="5795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BD9F02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距原点-29米</w:t>
            </w:r>
          </w:p>
        </w:tc>
        <w:tc>
          <w:tcPr>
            <w:tcW w:w="1620" w:type="dxa"/>
            <w:vAlign w:val="center"/>
          </w:tcPr>
          <w:p w14:paraId="3EFC22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0.0607</w:t>
            </w:r>
          </w:p>
        </w:tc>
        <w:tc>
          <w:tcPr>
            <w:tcW w:w="1620" w:type="dxa"/>
            <w:vAlign w:val="center"/>
          </w:tcPr>
          <w:p w14:paraId="4F839A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0.0538</w:t>
            </w:r>
          </w:p>
        </w:tc>
        <w:tc>
          <w:tcPr>
            <w:tcW w:w="1380" w:type="dxa"/>
            <w:vAlign w:val="center"/>
          </w:tcPr>
          <w:p w14:paraId="0E2642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3.5523</w:t>
            </w:r>
          </w:p>
        </w:tc>
        <w:tc>
          <w:tcPr>
            <w:tcW w:w="1553" w:type="dxa"/>
            <w:vAlign w:val="center"/>
          </w:tcPr>
          <w:p w14:paraId="3F847C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3.5755</w:t>
            </w:r>
          </w:p>
        </w:tc>
      </w:tr>
      <w:tr w14:paraId="431B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472DFB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距原点-28米</w:t>
            </w:r>
          </w:p>
        </w:tc>
        <w:tc>
          <w:tcPr>
            <w:tcW w:w="1620" w:type="dxa"/>
            <w:vAlign w:val="center"/>
          </w:tcPr>
          <w:p w14:paraId="25C96D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0.0669</w:t>
            </w:r>
          </w:p>
        </w:tc>
        <w:tc>
          <w:tcPr>
            <w:tcW w:w="1620" w:type="dxa"/>
            <w:vAlign w:val="center"/>
          </w:tcPr>
          <w:p w14:paraId="691B2FA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0.0594</w:t>
            </w:r>
          </w:p>
        </w:tc>
        <w:tc>
          <w:tcPr>
            <w:tcW w:w="1380" w:type="dxa"/>
            <w:vAlign w:val="center"/>
          </w:tcPr>
          <w:p w14:paraId="723B3B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3.6770</w:t>
            </w:r>
          </w:p>
        </w:tc>
        <w:tc>
          <w:tcPr>
            <w:tcW w:w="1553" w:type="dxa"/>
            <w:vAlign w:val="center"/>
          </w:tcPr>
          <w:p w14:paraId="0DD07A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3.7027</w:t>
            </w:r>
          </w:p>
        </w:tc>
      </w:tr>
      <w:tr w14:paraId="2874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6FDCF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距原点-27米</w:t>
            </w:r>
          </w:p>
        </w:tc>
        <w:tc>
          <w:tcPr>
            <w:tcW w:w="1620" w:type="dxa"/>
            <w:vAlign w:val="center"/>
          </w:tcPr>
          <w:p w14:paraId="3D30EC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0.0740</w:t>
            </w:r>
          </w:p>
        </w:tc>
        <w:tc>
          <w:tcPr>
            <w:tcW w:w="1620" w:type="dxa"/>
            <w:vAlign w:val="center"/>
          </w:tcPr>
          <w:p w14:paraId="66D935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0.0659</w:t>
            </w:r>
          </w:p>
        </w:tc>
        <w:tc>
          <w:tcPr>
            <w:tcW w:w="1380" w:type="dxa"/>
            <w:vAlign w:val="center"/>
          </w:tcPr>
          <w:p w14:paraId="1AEB1A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3.8107</w:t>
            </w:r>
          </w:p>
        </w:tc>
        <w:tc>
          <w:tcPr>
            <w:tcW w:w="1553" w:type="dxa"/>
            <w:vAlign w:val="center"/>
          </w:tcPr>
          <w:p w14:paraId="14918E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3.8393</w:t>
            </w:r>
          </w:p>
        </w:tc>
      </w:tr>
      <w:tr w14:paraId="2DBB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7CCE7F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距原点-26米</w:t>
            </w:r>
          </w:p>
        </w:tc>
        <w:tc>
          <w:tcPr>
            <w:tcW w:w="1620" w:type="dxa"/>
            <w:vAlign w:val="center"/>
          </w:tcPr>
          <w:p w14:paraId="1B2936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0.0822</w:t>
            </w:r>
          </w:p>
        </w:tc>
        <w:tc>
          <w:tcPr>
            <w:tcW w:w="1620" w:type="dxa"/>
            <w:vAlign w:val="center"/>
          </w:tcPr>
          <w:p w14:paraId="6EC663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0.0733</w:t>
            </w:r>
          </w:p>
        </w:tc>
        <w:tc>
          <w:tcPr>
            <w:tcW w:w="1380" w:type="dxa"/>
            <w:vAlign w:val="center"/>
          </w:tcPr>
          <w:p w14:paraId="7669A9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3.9543</w:t>
            </w:r>
          </w:p>
        </w:tc>
        <w:tc>
          <w:tcPr>
            <w:tcW w:w="1553" w:type="dxa"/>
            <w:vAlign w:val="center"/>
          </w:tcPr>
          <w:p w14:paraId="5884C1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3.9863</w:t>
            </w:r>
          </w:p>
        </w:tc>
      </w:tr>
      <w:tr w14:paraId="477E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D325F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距原点-25米</w:t>
            </w:r>
          </w:p>
        </w:tc>
        <w:tc>
          <w:tcPr>
            <w:tcW w:w="1620" w:type="dxa"/>
            <w:vAlign w:val="center"/>
          </w:tcPr>
          <w:p w14:paraId="63A0E4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0.0915</w:t>
            </w:r>
          </w:p>
        </w:tc>
        <w:tc>
          <w:tcPr>
            <w:tcW w:w="1620" w:type="dxa"/>
            <w:vAlign w:val="center"/>
          </w:tcPr>
          <w:p w14:paraId="421773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0.0819</w:t>
            </w:r>
          </w:p>
        </w:tc>
        <w:tc>
          <w:tcPr>
            <w:tcW w:w="1380" w:type="dxa"/>
            <w:vAlign w:val="center"/>
          </w:tcPr>
          <w:p w14:paraId="7325AA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4.1090</w:t>
            </w:r>
          </w:p>
        </w:tc>
        <w:tc>
          <w:tcPr>
            <w:tcW w:w="1553" w:type="dxa"/>
            <w:vAlign w:val="center"/>
          </w:tcPr>
          <w:p w14:paraId="366BA4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4.1450</w:t>
            </w:r>
          </w:p>
        </w:tc>
      </w:tr>
      <w:tr w14:paraId="297D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77940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距原点-24米</w:t>
            </w:r>
          </w:p>
        </w:tc>
        <w:tc>
          <w:tcPr>
            <w:tcW w:w="1620" w:type="dxa"/>
            <w:vAlign w:val="center"/>
          </w:tcPr>
          <w:p w14:paraId="6F5DA3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0.1024</w:t>
            </w:r>
          </w:p>
        </w:tc>
        <w:tc>
          <w:tcPr>
            <w:tcW w:w="1620" w:type="dxa"/>
            <w:vAlign w:val="center"/>
          </w:tcPr>
          <w:p w14:paraId="773B62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0.0919</w:t>
            </w:r>
          </w:p>
        </w:tc>
        <w:tc>
          <w:tcPr>
            <w:tcW w:w="1380" w:type="dxa"/>
            <w:vAlign w:val="center"/>
          </w:tcPr>
          <w:p w14:paraId="685AE8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4.2760</w:t>
            </w:r>
          </w:p>
        </w:tc>
        <w:tc>
          <w:tcPr>
            <w:tcW w:w="1553" w:type="dxa"/>
            <w:vAlign w:val="center"/>
          </w:tcPr>
          <w:p w14:paraId="5BD3B0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4.3167</w:t>
            </w:r>
          </w:p>
        </w:tc>
      </w:tr>
      <w:tr w14:paraId="2F52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74237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距原点-23米</w:t>
            </w:r>
          </w:p>
        </w:tc>
        <w:tc>
          <w:tcPr>
            <w:tcW w:w="1620" w:type="dxa"/>
            <w:vAlign w:val="center"/>
          </w:tcPr>
          <w:p w14:paraId="0D1551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0.1149</w:t>
            </w:r>
          </w:p>
        </w:tc>
        <w:tc>
          <w:tcPr>
            <w:tcW w:w="1620" w:type="dxa"/>
            <w:vAlign w:val="center"/>
          </w:tcPr>
          <w:p w14:paraId="042277F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0.1035</w:t>
            </w:r>
          </w:p>
        </w:tc>
        <w:tc>
          <w:tcPr>
            <w:tcW w:w="1380" w:type="dxa"/>
            <w:vAlign w:val="center"/>
          </w:tcPr>
          <w:p w14:paraId="1A5261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4.4569</w:t>
            </w:r>
          </w:p>
        </w:tc>
        <w:tc>
          <w:tcPr>
            <w:tcW w:w="1553" w:type="dxa"/>
            <w:vAlign w:val="center"/>
          </w:tcPr>
          <w:p w14:paraId="6A2B45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4.5031</w:t>
            </w:r>
          </w:p>
        </w:tc>
      </w:tr>
      <w:tr w14:paraId="4C2C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6260C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距原点-22米</w:t>
            </w:r>
          </w:p>
        </w:tc>
        <w:tc>
          <w:tcPr>
            <w:tcW w:w="1620" w:type="dxa"/>
            <w:vAlign w:val="center"/>
          </w:tcPr>
          <w:p w14:paraId="7550BC2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0.1295</w:t>
            </w:r>
          </w:p>
        </w:tc>
        <w:tc>
          <w:tcPr>
            <w:tcW w:w="1620" w:type="dxa"/>
            <w:vAlign w:val="center"/>
          </w:tcPr>
          <w:p w14:paraId="72C76EC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0.1172</w:t>
            </w:r>
          </w:p>
        </w:tc>
        <w:tc>
          <w:tcPr>
            <w:tcW w:w="1380" w:type="dxa"/>
            <w:vAlign w:val="center"/>
          </w:tcPr>
          <w:p w14:paraId="5A01172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4.6534</w:t>
            </w:r>
          </w:p>
        </w:tc>
        <w:tc>
          <w:tcPr>
            <w:tcW w:w="1553" w:type="dxa"/>
            <w:vAlign w:val="center"/>
          </w:tcPr>
          <w:p w14:paraId="2350A1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4.7062</w:t>
            </w:r>
          </w:p>
        </w:tc>
      </w:tr>
      <w:tr w14:paraId="4AC5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CC25B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距原点-21米</w:t>
            </w:r>
          </w:p>
        </w:tc>
        <w:tc>
          <w:tcPr>
            <w:tcW w:w="1620" w:type="dxa"/>
            <w:vAlign w:val="center"/>
          </w:tcPr>
          <w:p w14:paraId="39D9C1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0.1466</w:t>
            </w:r>
          </w:p>
        </w:tc>
        <w:tc>
          <w:tcPr>
            <w:tcW w:w="1620" w:type="dxa"/>
            <w:vAlign w:val="center"/>
          </w:tcPr>
          <w:p w14:paraId="2926A3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0.1333</w:t>
            </w:r>
          </w:p>
        </w:tc>
        <w:tc>
          <w:tcPr>
            <w:tcW w:w="1380" w:type="dxa"/>
            <w:vAlign w:val="center"/>
          </w:tcPr>
          <w:p w14:paraId="0DC8855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4.8676</w:t>
            </w:r>
          </w:p>
        </w:tc>
        <w:tc>
          <w:tcPr>
            <w:tcW w:w="1553" w:type="dxa"/>
            <w:vAlign w:val="center"/>
          </w:tcPr>
          <w:p w14:paraId="1C4853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4.9282</w:t>
            </w:r>
          </w:p>
        </w:tc>
      </w:tr>
      <w:tr w14:paraId="6D32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2DE89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距原点-20米</w:t>
            </w:r>
          </w:p>
        </w:tc>
        <w:tc>
          <w:tcPr>
            <w:tcW w:w="1620" w:type="dxa"/>
            <w:vAlign w:val="center"/>
          </w:tcPr>
          <w:p w14:paraId="7E0863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0.1668</w:t>
            </w:r>
          </w:p>
        </w:tc>
        <w:tc>
          <w:tcPr>
            <w:tcW w:w="1620" w:type="dxa"/>
            <w:vAlign w:val="center"/>
          </w:tcPr>
          <w:p w14:paraId="5BAD67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0.1525</w:t>
            </w:r>
          </w:p>
        </w:tc>
        <w:tc>
          <w:tcPr>
            <w:tcW w:w="1380" w:type="dxa"/>
            <w:vAlign w:val="center"/>
          </w:tcPr>
          <w:p w14:paraId="5FA530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5.1017</w:t>
            </w:r>
          </w:p>
        </w:tc>
        <w:tc>
          <w:tcPr>
            <w:tcW w:w="1553" w:type="dxa"/>
            <w:vAlign w:val="center"/>
          </w:tcPr>
          <w:p w14:paraId="59FBBD6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5.1719</w:t>
            </w:r>
          </w:p>
        </w:tc>
      </w:tr>
      <w:tr w14:paraId="1223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689CD2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距原点-19米</w:t>
            </w:r>
          </w:p>
        </w:tc>
        <w:tc>
          <w:tcPr>
            <w:tcW w:w="1620" w:type="dxa"/>
            <w:vAlign w:val="center"/>
          </w:tcPr>
          <w:p w14:paraId="166F06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0.1906</w:t>
            </w:r>
          </w:p>
        </w:tc>
        <w:tc>
          <w:tcPr>
            <w:tcW w:w="1620" w:type="dxa"/>
            <w:vAlign w:val="center"/>
          </w:tcPr>
          <w:p w14:paraId="1979CA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0.1753</w:t>
            </w:r>
          </w:p>
        </w:tc>
        <w:tc>
          <w:tcPr>
            <w:tcW w:w="1380" w:type="dxa"/>
            <w:vAlign w:val="center"/>
          </w:tcPr>
          <w:p w14:paraId="588218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5.3586</w:t>
            </w:r>
          </w:p>
        </w:tc>
        <w:tc>
          <w:tcPr>
            <w:tcW w:w="1553" w:type="dxa"/>
            <w:vAlign w:val="center"/>
          </w:tcPr>
          <w:p w14:paraId="1B8E718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5.4406</w:t>
            </w:r>
          </w:p>
        </w:tc>
      </w:tr>
      <w:tr w14:paraId="593F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16CB9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距原点-18米</w:t>
            </w:r>
          </w:p>
        </w:tc>
        <w:tc>
          <w:tcPr>
            <w:tcW w:w="1620" w:type="dxa"/>
            <w:vAlign w:val="center"/>
          </w:tcPr>
          <w:p w14:paraId="7B9EC9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0.2189</w:t>
            </w:r>
          </w:p>
        </w:tc>
        <w:tc>
          <w:tcPr>
            <w:tcW w:w="1620" w:type="dxa"/>
            <w:vAlign w:val="center"/>
          </w:tcPr>
          <w:p w14:paraId="501E16C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0.2029</w:t>
            </w:r>
          </w:p>
        </w:tc>
        <w:tc>
          <w:tcPr>
            <w:tcW w:w="1380" w:type="dxa"/>
            <w:vAlign w:val="center"/>
          </w:tcPr>
          <w:p w14:paraId="0E0230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5.6415</w:t>
            </w:r>
          </w:p>
        </w:tc>
        <w:tc>
          <w:tcPr>
            <w:tcW w:w="1553" w:type="dxa"/>
            <w:vAlign w:val="center"/>
          </w:tcPr>
          <w:p w14:paraId="7EF02EF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5.7380</w:t>
            </w:r>
          </w:p>
        </w:tc>
      </w:tr>
      <w:tr w14:paraId="4259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63903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距原点-17米</w:t>
            </w:r>
          </w:p>
        </w:tc>
        <w:tc>
          <w:tcPr>
            <w:tcW w:w="1620" w:type="dxa"/>
            <w:vAlign w:val="center"/>
          </w:tcPr>
          <w:p w14:paraId="7B162B0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0.2527</w:t>
            </w:r>
          </w:p>
        </w:tc>
        <w:tc>
          <w:tcPr>
            <w:tcW w:w="1620" w:type="dxa"/>
            <w:vAlign w:val="center"/>
          </w:tcPr>
          <w:p w14:paraId="1734EC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0.2362</w:t>
            </w:r>
          </w:p>
        </w:tc>
        <w:tc>
          <w:tcPr>
            <w:tcW w:w="1380" w:type="dxa"/>
            <w:vAlign w:val="center"/>
          </w:tcPr>
          <w:p w14:paraId="2ADDD1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5.9544</w:t>
            </w:r>
          </w:p>
        </w:tc>
        <w:tc>
          <w:tcPr>
            <w:tcW w:w="1553" w:type="dxa"/>
            <w:vAlign w:val="center"/>
          </w:tcPr>
          <w:p w14:paraId="219F02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6.0690</w:t>
            </w:r>
          </w:p>
        </w:tc>
      </w:tr>
      <w:tr w14:paraId="7A0D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060DD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距原点-16米</w:t>
            </w:r>
          </w:p>
        </w:tc>
        <w:tc>
          <w:tcPr>
            <w:tcW w:w="1620" w:type="dxa"/>
            <w:vAlign w:val="center"/>
          </w:tcPr>
          <w:p w14:paraId="2D11B1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0.2933</w:t>
            </w:r>
          </w:p>
        </w:tc>
        <w:tc>
          <w:tcPr>
            <w:tcW w:w="1620" w:type="dxa"/>
            <w:vAlign w:val="center"/>
          </w:tcPr>
          <w:p w14:paraId="66EE489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0.2768</w:t>
            </w:r>
          </w:p>
        </w:tc>
        <w:tc>
          <w:tcPr>
            <w:tcW w:w="1380" w:type="dxa"/>
            <w:vAlign w:val="center"/>
          </w:tcPr>
          <w:p w14:paraId="41B058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6.3016</w:t>
            </w:r>
          </w:p>
        </w:tc>
        <w:tc>
          <w:tcPr>
            <w:tcW w:w="1553" w:type="dxa"/>
            <w:vAlign w:val="center"/>
          </w:tcPr>
          <w:p w14:paraId="4EF6A13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6.4392</w:t>
            </w:r>
          </w:p>
        </w:tc>
      </w:tr>
      <w:tr w14:paraId="7180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4CB7E4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距原点-15米</w:t>
            </w:r>
          </w:p>
        </w:tc>
        <w:tc>
          <w:tcPr>
            <w:tcW w:w="1620" w:type="dxa"/>
            <w:vAlign w:val="center"/>
          </w:tcPr>
          <w:p w14:paraId="1A3777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0.3421</w:t>
            </w:r>
          </w:p>
        </w:tc>
        <w:tc>
          <w:tcPr>
            <w:tcW w:w="1620" w:type="dxa"/>
            <w:vAlign w:val="center"/>
          </w:tcPr>
          <w:p w14:paraId="593A67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0.3267</w:t>
            </w:r>
          </w:p>
        </w:tc>
        <w:tc>
          <w:tcPr>
            <w:tcW w:w="1380" w:type="dxa"/>
            <w:vAlign w:val="center"/>
          </w:tcPr>
          <w:p w14:paraId="744F3E9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6.6886</w:t>
            </w:r>
          </w:p>
        </w:tc>
        <w:tc>
          <w:tcPr>
            <w:tcW w:w="1553" w:type="dxa"/>
            <w:vAlign w:val="center"/>
          </w:tcPr>
          <w:p w14:paraId="67552B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6.8555</w:t>
            </w:r>
          </w:p>
        </w:tc>
      </w:tr>
      <w:tr w14:paraId="23C8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8D0B4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距原点-14米</w:t>
            </w:r>
          </w:p>
        </w:tc>
        <w:tc>
          <w:tcPr>
            <w:tcW w:w="1620" w:type="dxa"/>
            <w:vAlign w:val="center"/>
          </w:tcPr>
          <w:p w14:paraId="15AD2A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0.4011</w:t>
            </w:r>
          </w:p>
        </w:tc>
        <w:tc>
          <w:tcPr>
            <w:tcW w:w="1620" w:type="dxa"/>
            <w:vAlign w:val="center"/>
          </w:tcPr>
          <w:p w14:paraId="2A0FD0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0.3883</w:t>
            </w:r>
          </w:p>
        </w:tc>
        <w:tc>
          <w:tcPr>
            <w:tcW w:w="1380" w:type="dxa"/>
            <w:vAlign w:val="center"/>
          </w:tcPr>
          <w:p w14:paraId="47D48C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7.1214</w:t>
            </w:r>
          </w:p>
        </w:tc>
        <w:tc>
          <w:tcPr>
            <w:tcW w:w="1553" w:type="dxa"/>
            <w:vAlign w:val="center"/>
          </w:tcPr>
          <w:p w14:paraId="7C4D9C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7.3264</w:t>
            </w:r>
          </w:p>
        </w:tc>
      </w:tr>
      <w:tr w14:paraId="3802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A2AD62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距原点-13米</w:t>
            </w:r>
          </w:p>
        </w:tc>
        <w:tc>
          <w:tcPr>
            <w:tcW w:w="1620" w:type="dxa"/>
            <w:vAlign w:val="center"/>
          </w:tcPr>
          <w:p w14:paraId="5DA006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0.4723</w:t>
            </w:r>
          </w:p>
        </w:tc>
        <w:tc>
          <w:tcPr>
            <w:tcW w:w="1620" w:type="dxa"/>
            <w:vAlign w:val="center"/>
          </w:tcPr>
          <w:p w14:paraId="15F15E1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0.4649</w:t>
            </w:r>
          </w:p>
        </w:tc>
        <w:tc>
          <w:tcPr>
            <w:tcW w:w="1380" w:type="dxa"/>
            <w:vAlign w:val="center"/>
          </w:tcPr>
          <w:p w14:paraId="3BE2236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7.6069</w:t>
            </w:r>
          </w:p>
        </w:tc>
        <w:tc>
          <w:tcPr>
            <w:tcW w:w="1553" w:type="dxa"/>
            <w:vAlign w:val="center"/>
          </w:tcPr>
          <w:p w14:paraId="6057F5D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7.8621</w:t>
            </w:r>
          </w:p>
        </w:tc>
      </w:tr>
      <w:tr w14:paraId="1E6B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8616F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距原点-12米</w:t>
            </w:r>
          </w:p>
        </w:tc>
        <w:tc>
          <w:tcPr>
            <w:tcW w:w="1620" w:type="dxa"/>
            <w:vAlign w:val="center"/>
          </w:tcPr>
          <w:p w14:paraId="58BC63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0.5583</w:t>
            </w:r>
          </w:p>
        </w:tc>
        <w:tc>
          <w:tcPr>
            <w:tcW w:w="1620" w:type="dxa"/>
            <w:vAlign w:val="center"/>
          </w:tcPr>
          <w:p w14:paraId="2453C2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0.5603</w:t>
            </w:r>
          </w:p>
        </w:tc>
        <w:tc>
          <w:tcPr>
            <w:tcW w:w="1380" w:type="dxa"/>
            <w:vAlign w:val="center"/>
          </w:tcPr>
          <w:p w14:paraId="545B92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8.1526</w:t>
            </w:r>
          </w:p>
        </w:tc>
        <w:tc>
          <w:tcPr>
            <w:tcW w:w="1553" w:type="dxa"/>
            <w:vAlign w:val="center"/>
          </w:tcPr>
          <w:p w14:paraId="6B8FEF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8.4747</w:t>
            </w:r>
          </w:p>
        </w:tc>
      </w:tr>
      <w:tr w14:paraId="4F3B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ADBAEA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距原点-11米</w:t>
            </w:r>
          </w:p>
        </w:tc>
        <w:tc>
          <w:tcPr>
            <w:tcW w:w="1620" w:type="dxa"/>
            <w:vAlign w:val="center"/>
          </w:tcPr>
          <w:p w14:paraId="4AB520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0.6613</w:t>
            </w:r>
          </w:p>
        </w:tc>
        <w:tc>
          <w:tcPr>
            <w:tcW w:w="1620" w:type="dxa"/>
            <w:vAlign w:val="center"/>
          </w:tcPr>
          <w:p w14:paraId="47A411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0.6793</w:t>
            </w:r>
          </w:p>
        </w:tc>
        <w:tc>
          <w:tcPr>
            <w:tcW w:w="1380" w:type="dxa"/>
            <w:vAlign w:val="center"/>
          </w:tcPr>
          <w:p w14:paraId="51F9B6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8.7660</w:t>
            </w:r>
          </w:p>
        </w:tc>
        <w:tc>
          <w:tcPr>
            <w:tcW w:w="1553" w:type="dxa"/>
            <w:vAlign w:val="center"/>
          </w:tcPr>
          <w:p w14:paraId="28865C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9.1782</w:t>
            </w:r>
          </w:p>
        </w:tc>
      </w:tr>
      <w:tr w14:paraId="3943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17E82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距原点-10米</w:t>
            </w:r>
          </w:p>
        </w:tc>
        <w:tc>
          <w:tcPr>
            <w:tcW w:w="1620" w:type="dxa"/>
            <w:vAlign w:val="center"/>
          </w:tcPr>
          <w:p w14:paraId="45EA7A2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0.7831</w:t>
            </w:r>
          </w:p>
        </w:tc>
        <w:tc>
          <w:tcPr>
            <w:tcW w:w="1620" w:type="dxa"/>
            <w:vAlign w:val="center"/>
          </w:tcPr>
          <w:p w14:paraId="001ACD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0.8273</w:t>
            </w:r>
          </w:p>
        </w:tc>
        <w:tc>
          <w:tcPr>
            <w:tcW w:w="1380" w:type="dxa"/>
            <w:vAlign w:val="center"/>
          </w:tcPr>
          <w:p w14:paraId="4932C8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9.4531</w:t>
            </w:r>
          </w:p>
        </w:tc>
        <w:tc>
          <w:tcPr>
            <w:tcW w:w="1553" w:type="dxa"/>
            <w:vAlign w:val="center"/>
          </w:tcPr>
          <w:p w14:paraId="28BB51A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9.9879</w:t>
            </w:r>
          </w:p>
        </w:tc>
      </w:tr>
      <w:tr w14:paraId="3C91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2B1BD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距原点-9米</w:t>
            </w:r>
          </w:p>
        </w:tc>
        <w:tc>
          <w:tcPr>
            <w:tcW w:w="1620" w:type="dxa"/>
            <w:vAlign w:val="center"/>
          </w:tcPr>
          <w:p w14:paraId="6C73DBD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0.9238</w:t>
            </w:r>
          </w:p>
        </w:tc>
        <w:tc>
          <w:tcPr>
            <w:tcW w:w="1620" w:type="dxa"/>
            <w:vAlign w:val="center"/>
          </w:tcPr>
          <w:p w14:paraId="522787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1.0088</w:t>
            </w:r>
          </w:p>
        </w:tc>
        <w:tc>
          <w:tcPr>
            <w:tcW w:w="1380" w:type="dxa"/>
            <w:vAlign w:val="center"/>
          </w:tcPr>
          <w:p w14:paraId="77152C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10.2151</w:t>
            </w:r>
          </w:p>
        </w:tc>
        <w:tc>
          <w:tcPr>
            <w:tcW w:w="1553" w:type="dxa"/>
            <w:vAlign w:val="center"/>
          </w:tcPr>
          <w:p w14:paraId="3AA876F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10.9171</w:t>
            </w:r>
          </w:p>
        </w:tc>
      </w:tr>
      <w:tr w14:paraId="707A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6AEF38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距原点-8米</w:t>
            </w:r>
          </w:p>
        </w:tc>
        <w:tc>
          <w:tcPr>
            <w:tcW w:w="1620" w:type="dxa"/>
            <w:vAlign w:val="center"/>
          </w:tcPr>
          <w:p w14:paraId="2920B38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1.0792</w:t>
            </w:r>
          </w:p>
        </w:tc>
        <w:tc>
          <w:tcPr>
            <w:tcW w:w="1620" w:type="dxa"/>
            <w:vAlign w:val="center"/>
          </w:tcPr>
          <w:p w14:paraId="5542F8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1.2256</w:t>
            </w:r>
          </w:p>
        </w:tc>
        <w:tc>
          <w:tcPr>
            <w:tcW w:w="1380" w:type="dxa"/>
            <w:vAlign w:val="center"/>
          </w:tcPr>
          <w:p w14:paraId="6312C6F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11.0437</w:t>
            </w:r>
          </w:p>
        </w:tc>
        <w:tc>
          <w:tcPr>
            <w:tcW w:w="1553" w:type="dxa"/>
            <w:vAlign w:val="center"/>
          </w:tcPr>
          <w:p w14:paraId="0786B3A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11.9706</w:t>
            </w:r>
          </w:p>
        </w:tc>
      </w:tr>
      <w:tr w14:paraId="1D8B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8C5C4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距原点-7米</w:t>
            </w:r>
          </w:p>
        </w:tc>
        <w:tc>
          <w:tcPr>
            <w:tcW w:w="1620" w:type="dxa"/>
            <w:vAlign w:val="center"/>
          </w:tcPr>
          <w:p w14:paraId="1A2893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1.2382</w:t>
            </w:r>
          </w:p>
        </w:tc>
        <w:tc>
          <w:tcPr>
            <w:tcW w:w="1620" w:type="dxa"/>
            <w:vAlign w:val="center"/>
          </w:tcPr>
          <w:p w14:paraId="709A83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1.4708</w:t>
            </w:r>
          </w:p>
        </w:tc>
        <w:tc>
          <w:tcPr>
            <w:tcW w:w="1380" w:type="dxa"/>
            <w:vAlign w:val="center"/>
          </w:tcPr>
          <w:p w14:paraId="34BA6B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11.9118</w:t>
            </w:r>
          </w:p>
        </w:tc>
        <w:tc>
          <w:tcPr>
            <w:tcW w:w="1553" w:type="dxa"/>
            <w:vAlign w:val="center"/>
          </w:tcPr>
          <w:p w14:paraId="6F6A84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13.1296</w:t>
            </w:r>
          </w:p>
        </w:tc>
      </w:tr>
      <w:tr w14:paraId="1F1E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C94D2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距原点-6米</w:t>
            </w:r>
          </w:p>
        </w:tc>
        <w:tc>
          <w:tcPr>
            <w:tcW w:w="1620" w:type="dxa"/>
            <w:vAlign w:val="center"/>
          </w:tcPr>
          <w:p w14:paraId="0D0BB6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1.3789</w:t>
            </w:r>
          </w:p>
        </w:tc>
        <w:tc>
          <w:tcPr>
            <w:tcW w:w="1620" w:type="dxa"/>
            <w:vAlign w:val="center"/>
          </w:tcPr>
          <w:p w14:paraId="718E72F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1.7206</w:t>
            </w:r>
          </w:p>
        </w:tc>
        <w:tc>
          <w:tcPr>
            <w:tcW w:w="1380" w:type="dxa"/>
            <w:vAlign w:val="center"/>
          </w:tcPr>
          <w:p w14:paraId="51CC37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12.7634</w:t>
            </w:r>
          </w:p>
        </w:tc>
        <w:tc>
          <w:tcPr>
            <w:tcW w:w="1553" w:type="dxa"/>
            <w:vAlign w:val="center"/>
          </w:tcPr>
          <w:p w14:paraId="5FA4C4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14.3248</w:t>
            </w:r>
          </w:p>
        </w:tc>
      </w:tr>
      <w:tr w14:paraId="6640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70A32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距原点-5米</w:t>
            </w:r>
          </w:p>
        </w:tc>
        <w:tc>
          <w:tcPr>
            <w:tcW w:w="1620" w:type="dxa"/>
            <w:vAlign w:val="center"/>
          </w:tcPr>
          <w:p w14:paraId="2AD004D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1.4680</w:t>
            </w:r>
          </w:p>
        </w:tc>
        <w:tc>
          <w:tcPr>
            <w:tcW w:w="1620" w:type="dxa"/>
            <w:vAlign w:val="center"/>
          </w:tcPr>
          <w:p w14:paraId="7884AB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1.9240</w:t>
            </w:r>
          </w:p>
        </w:tc>
        <w:tc>
          <w:tcPr>
            <w:tcW w:w="1380" w:type="dxa"/>
            <w:vAlign w:val="center"/>
          </w:tcPr>
          <w:p w14:paraId="78BBF88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13.5094</w:t>
            </w:r>
          </w:p>
        </w:tc>
        <w:tc>
          <w:tcPr>
            <w:tcW w:w="1553" w:type="dxa"/>
            <w:vAlign w:val="center"/>
          </w:tcPr>
          <w:p w14:paraId="7A5AC6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15.4047</w:t>
            </w:r>
          </w:p>
        </w:tc>
      </w:tr>
      <w:tr w14:paraId="51E2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439BE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距原点-4米</w:t>
            </w:r>
          </w:p>
        </w:tc>
        <w:tc>
          <w:tcPr>
            <w:tcW w:w="1620" w:type="dxa"/>
            <w:vAlign w:val="center"/>
          </w:tcPr>
          <w:p w14:paraId="5DF785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1.4690</w:t>
            </w:r>
          </w:p>
        </w:tc>
        <w:tc>
          <w:tcPr>
            <w:tcW w:w="1620" w:type="dxa"/>
            <w:vAlign w:val="center"/>
          </w:tcPr>
          <w:p w14:paraId="35D1D1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2.0085</w:t>
            </w:r>
          </w:p>
        </w:tc>
        <w:tc>
          <w:tcPr>
            <w:tcW w:w="1380" w:type="dxa"/>
            <w:vAlign w:val="center"/>
          </w:tcPr>
          <w:p w14:paraId="4C0AD0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14.0462</w:t>
            </w:r>
          </w:p>
        </w:tc>
        <w:tc>
          <w:tcPr>
            <w:tcW w:w="1553" w:type="dxa"/>
            <w:vAlign w:val="center"/>
          </w:tcPr>
          <w:p w14:paraId="3C8F4A6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16.1411</w:t>
            </w:r>
          </w:p>
        </w:tc>
      </w:tr>
      <w:tr w14:paraId="5682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8E490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距原点-3米</w:t>
            </w:r>
          </w:p>
        </w:tc>
        <w:tc>
          <w:tcPr>
            <w:tcW w:w="1620" w:type="dxa"/>
            <w:vAlign w:val="center"/>
          </w:tcPr>
          <w:p w14:paraId="5A0D5D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1.3632</w:t>
            </w:r>
          </w:p>
        </w:tc>
        <w:tc>
          <w:tcPr>
            <w:tcW w:w="1620" w:type="dxa"/>
            <w:vAlign w:val="center"/>
          </w:tcPr>
          <w:p w14:paraId="2D828A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1.9218</w:t>
            </w:r>
          </w:p>
        </w:tc>
        <w:tc>
          <w:tcPr>
            <w:tcW w:w="1380" w:type="dxa"/>
            <w:vAlign w:val="center"/>
          </w:tcPr>
          <w:p w14:paraId="739042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14.3089</w:t>
            </w:r>
          </w:p>
        </w:tc>
        <w:tc>
          <w:tcPr>
            <w:tcW w:w="1553" w:type="dxa"/>
            <w:vAlign w:val="center"/>
          </w:tcPr>
          <w:p w14:paraId="147468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16.3474</w:t>
            </w:r>
          </w:p>
        </w:tc>
      </w:tr>
      <w:tr w14:paraId="5953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E835BF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距原点-2米</w:t>
            </w:r>
          </w:p>
        </w:tc>
        <w:tc>
          <w:tcPr>
            <w:tcW w:w="1620" w:type="dxa"/>
            <w:vAlign w:val="center"/>
          </w:tcPr>
          <w:p w14:paraId="17ADFDB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1.1752</w:t>
            </w:r>
          </w:p>
        </w:tc>
        <w:tc>
          <w:tcPr>
            <w:tcW w:w="1620" w:type="dxa"/>
            <w:vAlign w:val="center"/>
          </w:tcPr>
          <w:p w14:paraId="11A771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1.6995</w:t>
            </w:r>
          </w:p>
        </w:tc>
        <w:tc>
          <w:tcPr>
            <w:tcW w:w="1380" w:type="dxa"/>
            <w:vAlign w:val="center"/>
          </w:tcPr>
          <w:p w14:paraId="32FB7D1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14.3309</w:t>
            </w:r>
          </w:p>
        </w:tc>
        <w:tc>
          <w:tcPr>
            <w:tcW w:w="1553" w:type="dxa"/>
            <w:vAlign w:val="center"/>
          </w:tcPr>
          <w:p w14:paraId="539E28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16.0764</w:t>
            </w:r>
          </w:p>
        </w:tc>
      </w:tr>
      <w:tr w14:paraId="7FBB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2587B9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距原点-1米</w:t>
            </w:r>
          </w:p>
        </w:tc>
        <w:tc>
          <w:tcPr>
            <w:tcW w:w="1620" w:type="dxa"/>
            <w:vAlign w:val="center"/>
          </w:tcPr>
          <w:p w14:paraId="2E259ED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0.9833</w:t>
            </w:r>
          </w:p>
        </w:tc>
        <w:tc>
          <w:tcPr>
            <w:tcW w:w="1620" w:type="dxa"/>
            <w:vAlign w:val="center"/>
          </w:tcPr>
          <w:p w14:paraId="6808B1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1.4748</w:t>
            </w:r>
          </w:p>
        </w:tc>
        <w:tc>
          <w:tcPr>
            <w:tcW w:w="1380" w:type="dxa"/>
            <w:vAlign w:val="center"/>
          </w:tcPr>
          <w:p w14:paraId="566D2CA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14.2432</w:t>
            </w:r>
          </w:p>
        </w:tc>
        <w:tc>
          <w:tcPr>
            <w:tcW w:w="1553" w:type="dxa"/>
            <w:vAlign w:val="center"/>
          </w:tcPr>
          <w:p w14:paraId="6BEB038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15.6568</w:t>
            </w:r>
          </w:p>
        </w:tc>
      </w:tr>
      <w:tr w14:paraId="2351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88691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距原点0米</w:t>
            </w:r>
          </w:p>
        </w:tc>
        <w:tc>
          <w:tcPr>
            <w:tcW w:w="1620" w:type="dxa"/>
            <w:vAlign w:val="center"/>
          </w:tcPr>
          <w:p w14:paraId="3512A9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0.8985</w:t>
            </w:r>
          </w:p>
        </w:tc>
        <w:tc>
          <w:tcPr>
            <w:tcW w:w="1620" w:type="dxa"/>
            <w:vAlign w:val="center"/>
          </w:tcPr>
          <w:p w14:paraId="2B1E1A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1.3835</w:t>
            </w:r>
          </w:p>
        </w:tc>
        <w:tc>
          <w:tcPr>
            <w:tcW w:w="1380" w:type="dxa"/>
            <w:vAlign w:val="center"/>
          </w:tcPr>
          <w:p w14:paraId="4D2F94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14.1929</w:t>
            </w:r>
          </w:p>
        </w:tc>
        <w:tc>
          <w:tcPr>
            <w:tcW w:w="1553" w:type="dxa"/>
            <w:vAlign w:val="center"/>
          </w:tcPr>
          <w:p w14:paraId="11896C9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15.4641</w:t>
            </w:r>
          </w:p>
        </w:tc>
      </w:tr>
      <w:tr w14:paraId="446E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4A8646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距原点1米</w:t>
            </w:r>
          </w:p>
        </w:tc>
        <w:tc>
          <w:tcPr>
            <w:tcW w:w="1620" w:type="dxa"/>
            <w:vAlign w:val="center"/>
          </w:tcPr>
          <w:p w14:paraId="70AE4C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0.9833</w:t>
            </w:r>
          </w:p>
        </w:tc>
        <w:tc>
          <w:tcPr>
            <w:tcW w:w="1620" w:type="dxa"/>
            <w:vAlign w:val="center"/>
          </w:tcPr>
          <w:p w14:paraId="59FFD8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1.4748</w:t>
            </w:r>
          </w:p>
        </w:tc>
        <w:tc>
          <w:tcPr>
            <w:tcW w:w="1380" w:type="dxa"/>
            <w:vAlign w:val="center"/>
          </w:tcPr>
          <w:p w14:paraId="59DD5E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14.2432</w:t>
            </w:r>
          </w:p>
        </w:tc>
        <w:tc>
          <w:tcPr>
            <w:tcW w:w="1553" w:type="dxa"/>
            <w:vAlign w:val="center"/>
          </w:tcPr>
          <w:p w14:paraId="197EC6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15.6568</w:t>
            </w:r>
          </w:p>
        </w:tc>
      </w:tr>
      <w:tr w14:paraId="417C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C9F29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距原点2米</w:t>
            </w:r>
          </w:p>
        </w:tc>
        <w:tc>
          <w:tcPr>
            <w:tcW w:w="1620" w:type="dxa"/>
            <w:vAlign w:val="center"/>
          </w:tcPr>
          <w:p w14:paraId="510785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1.1752</w:t>
            </w:r>
          </w:p>
        </w:tc>
        <w:tc>
          <w:tcPr>
            <w:tcW w:w="1620" w:type="dxa"/>
            <w:vAlign w:val="center"/>
          </w:tcPr>
          <w:p w14:paraId="035FF8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1.6995</w:t>
            </w:r>
          </w:p>
        </w:tc>
        <w:tc>
          <w:tcPr>
            <w:tcW w:w="1380" w:type="dxa"/>
            <w:vAlign w:val="center"/>
          </w:tcPr>
          <w:p w14:paraId="6F6511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14.3309</w:t>
            </w:r>
          </w:p>
        </w:tc>
        <w:tc>
          <w:tcPr>
            <w:tcW w:w="1553" w:type="dxa"/>
            <w:vAlign w:val="center"/>
          </w:tcPr>
          <w:p w14:paraId="2A6845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16.0764</w:t>
            </w:r>
          </w:p>
        </w:tc>
      </w:tr>
      <w:tr w14:paraId="1B0F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0161F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距原点3米</w:t>
            </w:r>
          </w:p>
        </w:tc>
        <w:tc>
          <w:tcPr>
            <w:tcW w:w="1620" w:type="dxa"/>
            <w:vAlign w:val="center"/>
          </w:tcPr>
          <w:p w14:paraId="2310653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1.3632</w:t>
            </w:r>
          </w:p>
        </w:tc>
        <w:tc>
          <w:tcPr>
            <w:tcW w:w="1620" w:type="dxa"/>
            <w:vAlign w:val="center"/>
          </w:tcPr>
          <w:p w14:paraId="075503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1.9218</w:t>
            </w:r>
          </w:p>
        </w:tc>
        <w:tc>
          <w:tcPr>
            <w:tcW w:w="1380" w:type="dxa"/>
            <w:vAlign w:val="center"/>
          </w:tcPr>
          <w:p w14:paraId="45D5B4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14.3089</w:t>
            </w:r>
          </w:p>
        </w:tc>
        <w:tc>
          <w:tcPr>
            <w:tcW w:w="1553" w:type="dxa"/>
            <w:vAlign w:val="center"/>
          </w:tcPr>
          <w:p w14:paraId="6BE754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16.3474</w:t>
            </w:r>
          </w:p>
        </w:tc>
      </w:tr>
      <w:tr w14:paraId="3BDB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69C1A69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距原点4米</w:t>
            </w:r>
          </w:p>
        </w:tc>
        <w:tc>
          <w:tcPr>
            <w:tcW w:w="1620" w:type="dxa"/>
            <w:vAlign w:val="center"/>
          </w:tcPr>
          <w:p w14:paraId="3BCA62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1.4690</w:t>
            </w:r>
          </w:p>
        </w:tc>
        <w:tc>
          <w:tcPr>
            <w:tcW w:w="1620" w:type="dxa"/>
            <w:vAlign w:val="center"/>
          </w:tcPr>
          <w:p w14:paraId="1835A34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2.0085</w:t>
            </w:r>
          </w:p>
        </w:tc>
        <w:tc>
          <w:tcPr>
            <w:tcW w:w="1380" w:type="dxa"/>
            <w:vAlign w:val="center"/>
          </w:tcPr>
          <w:p w14:paraId="39A2871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14.0462</w:t>
            </w:r>
          </w:p>
        </w:tc>
        <w:tc>
          <w:tcPr>
            <w:tcW w:w="1553" w:type="dxa"/>
            <w:vAlign w:val="center"/>
          </w:tcPr>
          <w:p w14:paraId="7485FD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16.1411</w:t>
            </w:r>
          </w:p>
        </w:tc>
      </w:tr>
      <w:tr w14:paraId="5C0A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3BA48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距原点5米</w:t>
            </w:r>
          </w:p>
        </w:tc>
        <w:tc>
          <w:tcPr>
            <w:tcW w:w="1620" w:type="dxa"/>
            <w:vAlign w:val="center"/>
          </w:tcPr>
          <w:p w14:paraId="02BD107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1.4680</w:t>
            </w:r>
          </w:p>
        </w:tc>
        <w:tc>
          <w:tcPr>
            <w:tcW w:w="1620" w:type="dxa"/>
            <w:vAlign w:val="center"/>
          </w:tcPr>
          <w:p w14:paraId="776210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1.9240</w:t>
            </w:r>
          </w:p>
        </w:tc>
        <w:tc>
          <w:tcPr>
            <w:tcW w:w="1380" w:type="dxa"/>
            <w:vAlign w:val="center"/>
          </w:tcPr>
          <w:p w14:paraId="6525A9E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13.5094</w:t>
            </w:r>
          </w:p>
        </w:tc>
        <w:tc>
          <w:tcPr>
            <w:tcW w:w="1553" w:type="dxa"/>
            <w:vAlign w:val="center"/>
          </w:tcPr>
          <w:p w14:paraId="0CD8CCF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15.4047</w:t>
            </w:r>
          </w:p>
        </w:tc>
      </w:tr>
      <w:tr w14:paraId="300F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2B433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距原点6米</w:t>
            </w:r>
          </w:p>
        </w:tc>
        <w:tc>
          <w:tcPr>
            <w:tcW w:w="1620" w:type="dxa"/>
            <w:vAlign w:val="center"/>
          </w:tcPr>
          <w:p w14:paraId="1EAD87D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1.3789</w:t>
            </w:r>
          </w:p>
        </w:tc>
        <w:tc>
          <w:tcPr>
            <w:tcW w:w="1620" w:type="dxa"/>
            <w:vAlign w:val="center"/>
          </w:tcPr>
          <w:p w14:paraId="5341A8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1.7206</w:t>
            </w:r>
          </w:p>
        </w:tc>
        <w:tc>
          <w:tcPr>
            <w:tcW w:w="1380" w:type="dxa"/>
            <w:vAlign w:val="center"/>
          </w:tcPr>
          <w:p w14:paraId="28A47B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12.7634</w:t>
            </w:r>
          </w:p>
        </w:tc>
        <w:tc>
          <w:tcPr>
            <w:tcW w:w="1553" w:type="dxa"/>
            <w:vAlign w:val="center"/>
          </w:tcPr>
          <w:p w14:paraId="5E21CB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14.3248</w:t>
            </w:r>
          </w:p>
        </w:tc>
      </w:tr>
      <w:tr w14:paraId="0AA2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6229C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距原点7米</w:t>
            </w:r>
          </w:p>
        </w:tc>
        <w:tc>
          <w:tcPr>
            <w:tcW w:w="1620" w:type="dxa"/>
            <w:vAlign w:val="center"/>
          </w:tcPr>
          <w:p w14:paraId="5CE819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1.2382</w:t>
            </w:r>
          </w:p>
        </w:tc>
        <w:tc>
          <w:tcPr>
            <w:tcW w:w="1620" w:type="dxa"/>
            <w:vAlign w:val="center"/>
          </w:tcPr>
          <w:p w14:paraId="37C1F9E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1.4708</w:t>
            </w:r>
          </w:p>
        </w:tc>
        <w:tc>
          <w:tcPr>
            <w:tcW w:w="1380" w:type="dxa"/>
            <w:vAlign w:val="center"/>
          </w:tcPr>
          <w:p w14:paraId="36B7BA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11.9118</w:t>
            </w:r>
          </w:p>
        </w:tc>
        <w:tc>
          <w:tcPr>
            <w:tcW w:w="1553" w:type="dxa"/>
            <w:vAlign w:val="center"/>
          </w:tcPr>
          <w:p w14:paraId="3BA570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13.1296</w:t>
            </w:r>
          </w:p>
        </w:tc>
      </w:tr>
      <w:tr w14:paraId="4625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7ACBA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距原点8米</w:t>
            </w:r>
          </w:p>
        </w:tc>
        <w:tc>
          <w:tcPr>
            <w:tcW w:w="1620" w:type="dxa"/>
            <w:vAlign w:val="center"/>
          </w:tcPr>
          <w:p w14:paraId="4AC559F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1.0792</w:t>
            </w:r>
          </w:p>
        </w:tc>
        <w:tc>
          <w:tcPr>
            <w:tcW w:w="1620" w:type="dxa"/>
            <w:vAlign w:val="center"/>
          </w:tcPr>
          <w:p w14:paraId="5F34C7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1.2256</w:t>
            </w:r>
          </w:p>
        </w:tc>
        <w:tc>
          <w:tcPr>
            <w:tcW w:w="1380" w:type="dxa"/>
            <w:vAlign w:val="center"/>
          </w:tcPr>
          <w:p w14:paraId="0E29FC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11.0437</w:t>
            </w:r>
          </w:p>
        </w:tc>
        <w:tc>
          <w:tcPr>
            <w:tcW w:w="1553" w:type="dxa"/>
            <w:vAlign w:val="center"/>
          </w:tcPr>
          <w:p w14:paraId="5A2D17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11.9706</w:t>
            </w:r>
          </w:p>
        </w:tc>
      </w:tr>
      <w:tr w14:paraId="59AB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6F524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距原点9米</w:t>
            </w:r>
          </w:p>
        </w:tc>
        <w:tc>
          <w:tcPr>
            <w:tcW w:w="1620" w:type="dxa"/>
            <w:vAlign w:val="center"/>
          </w:tcPr>
          <w:p w14:paraId="5CF5B5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0.9238</w:t>
            </w:r>
          </w:p>
        </w:tc>
        <w:tc>
          <w:tcPr>
            <w:tcW w:w="1620" w:type="dxa"/>
            <w:vAlign w:val="center"/>
          </w:tcPr>
          <w:p w14:paraId="0B7310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1.0088</w:t>
            </w:r>
          </w:p>
        </w:tc>
        <w:tc>
          <w:tcPr>
            <w:tcW w:w="1380" w:type="dxa"/>
            <w:vAlign w:val="center"/>
          </w:tcPr>
          <w:p w14:paraId="35067B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10.2151</w:t>
            </w:r>
          </w:p>
        </w:tc>
        <w:tc>
          <w:tcPr>
            <w:tcW w:w="1553" w:type="dxa"/>
            <w:vAlign w:val="center"/>
          </w:tcPr>
          <w:p w14:paraId="4FAC28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10.9171</w:t>
            </w:r>
          </w:p>
        </w:tc>
      </w:tr>
      <w:tr w14:paraId="094D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4D217C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距原点10米</w:t>
            </w:r>
          </w:p>
        </w:tc>
        <w:tc>
          <w:tcPr>
            <w:tcW w:w="1620" w:type="dxa"/>
            <w:vAlign w:val="center"/>
          </w:tcPr>
          <w:p w14:paraId="43CA14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0.7831</w:t>
            </w:r>
          </w:p>
        </w:tc>
        <w:tc>
          <w:tcPr>
            <w:tcW w:w="1620" w:type="dxa"/>
            <w:vAlign w:val="center"/>
          </w:tcPr>
          <w:p w14:paraId="734402F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0.8273</w:t>
            </w:r>
          </w:p>
        </w:tc>
        <w:tc>
          <w:tcPr>
            <w:tcW w:w="1380" w:type="dxa"/>
            <w:vAlign w:val="center"/>
          </w:tcPr>
          <w:p w14:paraId="275E81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9.4531</w:t>
            </w:r>
          </w:p>
        </w:tc>
        <w:tc>
          <w:tcPr>
            <w:tcW w:w="1553" w:type="dxa"/>
            <w:vAlign w:val="center"/>
          </w:tcPr>
          <w:p w14:paraId="29C71D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9.9879</w:t>
            </w:r>
          </w:p>
        </w:tc>
      </w:tr>
      <w:tr w14:paraId="577B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6E22A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距原点11米</w:t>
            </w:r>
          </w:p>
        </w:tc>
        <w:tc>
          <w:tcPr>
            <w:tcW w:w="1620" w:type="dxa"/>
            <w:vAlign w:val="center"/>
          </w:tcPr>
          <w:p w14:paraId="576A78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0.6613</w:t>
            </w:r>
          </w:p>
        </w:tc>
        <w:tc>
          <w:tcPr>
            <w:tcW w:w="1620" w:type="dxa"/>
            <w:vAlign w:val="center"/>
          </w:tcPr>
          <w:p w14:paraId="0BAB92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0.6793</w:t>
            </w:r>
          </w:p>
        </w:tc>
        <w:tc>
          <w:tcPr>
            <w:tcW w:w="1380" w:type="dxa"/>
            <w:vAlign w:val="center"/>
          </w:tcPr>
          <w:p w14:paraId="70051B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8.7660</w:t>
            </w:r>
          </w:p>
        </w:tc>
        <w:tc>
          <w:tcPr>
            <w:tcW w:w="1553" w:type="dxa"/>
            <w:vAlign w:val="center"/>
          </w:tcPr>
          <w:p w14:paraId="18460E1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9.1782</w:t>
            </w:r>
          </w:p>
        </w:tc>
      </w:tr>
      <w:tr w14:paraId="0837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7651A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距原点12米</w:t>
            </w:r>
          </w:p>
        </w:tc>
        <w:tc>
          <w:tcPr>
            <w:tcW w:w="1620" w:type="dxa"/>
            <w:vAlign w:val="center"/>
          </w:tcPr>
          <w:p w14:paraId="382421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0.5583</w:t>
            </w:r>
          </w:p>
        </w:tc>
        <w:tc>
          <w:tcPr>
            <w:tcW w:w="1620" w:type="dxa"/>
            <w:vAlign w:val="center"/>
          </w:tcPr>
          <w:p w14:paraId="061B763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0.5603</w:t>
            </w:r>
          </w:p>
        </w:tc>
        <w:tc>
          <w:tcPr>
            <w:tcW w:w="1380" w:type="dxa"/>
            <w:vAlign w:val="center"/>
          </w:tcPr>
          <w:p w14:paraId="5D946A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8.1526</w:t>
            </w:r>
          </w:p>
        </w:tc>
        <w:tc>
          <w:tcPr>
            <w:tcW w:w="1553" w:type="dxa"/>
            <w:vAlign w:val="center"/>
          </w:tcPr>
          <w:p w14:paraId="101E3D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8.4747</w:t>
            </w:r>
          </w:p>
        </w:tc>
      </w:tr>
      <w:tr w14:paraId="7F5A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B269C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距原点13米</w:t>
            </w:r>
          </w:p>
        </w:tc>
        <w:tc>
          <w:tcPr>
            <w:tcW w:w="1620" w:type="dxa"/>
            <w:vAlign w:val="center"/>
          </w:tcPr>
          <w:p w14:paraId="3EA7BEA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0.4723</w:t>
            </w:r>
          </w:p>
        </w:tc>
        <w:tc>
          <w:tcPr>
            <w:tcW w:w="1620" w:type="dxa"/>
            <w:vAlign w:val="center"/>
          </w:tcPr>
          <w:p w14:paraId="3F9731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0.4649</w:t>
            </w:r>
          </w:p>
        </w:tc>
        <w:tc>
          <w:tcPr>
            <w:tcW w:w="1380" w:type="dxa"/>
            <w:vAlign w:val="center"/>
          </w:tcPr>
          <w:p w14:paraId="115BC98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7.6069</w:t>
            </w:r>
          </w:p>
        </w:tc>
        <w:tc>
          <w:tcPr>
            <w:tcW w:w="1553" w:type="dxa"/>
            <w:vAlign w:val="center"/>
          </w:tcPr>
          <w:p w14:paraId="7F4DA9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7.8621</w:t>
            </w:r>
          </w:p>
        </w:tc>
      </w:tr>
      <w:tr w14:paraId="0A8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1D86A6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距原点14米</w:t>
            </w:r>
          </w:p>
        </w:tc>
        <w:tc>
          <w:tcPr>
            <w:tcW w:w="1620" w:type="dxa"/>
            <w:vAlign w:val="center"/>
          </w:tcPr>
          <w:p w14:paraId="1EBEA3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0.4011</w:t>
            </w:r>
          </w:p>
        </w:tc>
        <w:tc>
          <w:tcPr>
            <w:tcW w:w="1620" w:type="dxa"/>
            <w:vAlign w:val="center"/>
          </w:tcPr>
          <w:p w14:paraId="29DE44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0.3883</w:t>
            </w:r>
          </w:p>
        </w:tc>
        <w:tc>
          <w:tcPr>
            <w:tcW w:w="1380" w:type="dxa"/>
            <w:vAlign w:val="center"/>
          </w:tcPr>
          <w:p w14:paraId="4F284E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7.1214</w:t>
            </w:r>
          </w:p>
        </w:tc>
        <w:tc>
          <w:tcPr>
            <w:tcW w:w="1553" w:type="dxa"/>
            <w:vAlign w:val="center"/>
          </w:tcPr>
          <w:p w14:paraId="64F3CB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7.3264</w:t>
            </w:r>
          </w:p>
        </w:tc>
      </w:tr>
      <w:tr w14:paraId="5B4E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4F8055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距原点15米</w:t>
            </w:r>
          </w:p>
        </w:tc>
        <w:tc>
          <w:tcPr>
            <w:tcW w:w="1620" w:type="dxa"/>
            <w:vAlign w:val="center"/>
          </w:tcPr>
          <w:p w14:paraId="4B51839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0.3421</w:t>
            </w:r>
          </w:p>
        </w:tc>
        <w:tc>
          <w:tcPr>
            <w:tcW w:w="1620" w:type="dxa"/>
            <w:vAlign w:val="center"/>
          </w:tcPr>
          <w:p w14:paraId="5D6A08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0.3267</w:t>
            </w:r>
          </w:p>
        </w:tc>
        <w:tc>
          <w:tcPr>
            <w:tcW w:w="1380" w:type="dxa"/>
            <w:vAlign w:val="center"/>
          </w:tcPr>
          <w:p w14:paraId="731370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6.6886</w:t>
            </w:r>
          </w:p>
        </w:tc>
        <w:tc>
          <w:tcPr>
            <w:tcW w:w="1553" w:type="dxa"/>
            <w:vAlign w:val="center"/>
          </w:tcPr>
          <w:p w14:paraId="459FDA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6.8555</w:t>
            </w:r>
          </w:p>
        </w:tc>
      </w:tr>
      <w:tr w14:paraId="2F9A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672D6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距原点16米</w:t>
            </w:r>
          </w:p>
        </w:tc>
        <w:tc>
          <w:tcPr>
            <w:tcW w:w="1620" w:type="dxa"/>
            <w:vAlign w:val="center"/>
          </w:tcPr>
          <w:p w14:paraId="7A77C4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0.2933</w:t>
            </w:r>
          </w:p>
        </w:tc>
        <w:tc>
          <w:tcPr>
            <w:tcW w:w="1620" w:type="dxa"/>
            <w:vAlign w:val="center"/>
          </w:tcPr>
          <w:p w14:paraId="6E5FA1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0.2768</w:t>
            </w:r>
          </w:p>
        </w:tc>
        <w:tc>
          <w:tcPr>
            <w:tcW w:w="1380" w:type="dxa"/>
            <w:vAlign w:val="center"/>
          </w:tcPr>
          <w:p w14:paraId="298C4E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6.3016</w:t>
            </w:r>
          </w:p>
        </w:tc>
        <w:tc>
          <w:tcPr>
            <w:tcW w:w="1553" w:type="dxa"/>
            <w:vAlign w:val="center"/>
          </w:tcPr>
          <w:p w14:paraId="6C943B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6.4392</w:t>
            </w:r>
          </w:p>
        </w:tc>
      </w:tr>
      <w:tr w14:paraId="6C71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891E2D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距原点17米</w:t>
            </w:r>
          </w:p>
        </w:tc>
        <w:tc>
          <w:tcPr>
            <w:tcW w:w="1620" w:type="dxa"/>
            <w:vAlign w:val="center"/>
          </w:tcPr>
          <w:p w14:paraId="4ABBC34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0.2527</w:t>
            </w:r>
          </w:p>
        </w:tc>
        <w:tc>
          <w:tcPr>
            <w:tcW w:w="1620" w:type="dxa"/>
            <w:vAlign w:val="center"/>
          </w:tcPr>
          <w:p w14:paraId="3C44C1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0.2362</w:t>
            </w:r>
          </w:p>
        </w:tc>
        <w:tc>
          <w:tcPr>
            <w:tcW w:w="1380" w:type="dxa"/>
            <w:vAlign w:val="center"/>
          </w:tcPr>
          <w:p w14:paraId="52EEF9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5.9544</w:t>
            </w:r>
          </w:p>
        </w:tc>
        <w:tc>
          <w:tcPr>
            <w:tcW w:w="1553" w:type="dxa"/>
            <w:vAlign w:val="center"/>
          </w:tcPr>
          <w:p w14:paraId="20918E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6.0690</w:t>
            </w:r>
          </w:p>
        </w:tc>
      </w:tr>
      <w:tr w14:paraId="0AF6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E8F6D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距原点18米</w:t>
            </w:r>
          </w:p>
        </w:tc>
        <w:tc>
          <w:tcPr>
            <w:tcW w:w="1620" w:type="dxa"/>
            <w:vAlign w:val="center"/>
          </w:tcPr>
          <w:p w14:paraId="65FA44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0.2189</w:t>
            </w:r>
          </w:p>
        </w:tc>
        <w:tc>
          <w:tcPr>
            <w:tcW w:w="1620" w:type="dxa"/>
            <w:vAlign w:val="center"/>
          </w:tcPr>
          <w:p w14:paraId="160729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0.2029</w:t>
            </w:r>
          </w:p>
        </w:tc>
        <w:tc>
          <w:tcPr>
            <w:tcW w:w="1380" w:type="dxa"/>
            <w:vAlign w:val="center"/>
          </w:tcPr>
          <w:p w14:paraId="10716B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5.6415</w:t>
            </w:r>
          </w:p>
        </w:tc>
        <w:tc>
          <w:tcPr>
            <w:tcW w:w="1553" w:type="dxa"/>
            <w:vAlign w:val="center"/>
          </w:tcPr>
          <w:p w14:paraId="00313B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5.7380</w:t>
            </w:r>
          </w:p>
        </w:tc>
      </w:tr>
      <w:tr w14:paraId="35A2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724EE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距原点19米</w:t>
            </w:r>
          </w:p>
        </w:tc>
        <w:tc>
          <w:tcPr>
            <w:tcW w:w="1620" w:type="dxa"/>
            <w:vAlign w:val="center"/>
          </w:tcPr>
          <w:p w14:paraId="3F0BFE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0.1906</w:t>
            </w:r>
          </w:p>
        </w:tc>
        <w:tc>
          <w:tcPr>
            <w:tcW w:w="1620" w:type="dxa"/>
            <w:vAlign w:val="center"/>
          </w:tcPr>
          <w:p w14:paraId="228943E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0.1753</w:t>
            </w:r>
          </w:p>
        </w:tc>
        <w:tc>
          <w:tcPr>
            <w:tcW w:w="1380" w:type="dxa"/>
            <w:vAlign w:val="center"/>
          </w:tcPr>
          <w:p w14:paraId="1B8E2C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5.3586</w:t>
            </w:r>
          </w:p>
        </w:tc>
        <w:tc>
          <w:tcPr>
            <w:tcW w:w="1553" w:type="dxa"/>
            <w:vAlign w:val="center"/>
          </w:tcPr>
          <w:p w14:paraId="145092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5.4406</w:t>
            </w:r>
          </w:p>
        </w:tc>
      </w:tr>
      <w:tr w14:paraId="3DFD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D264B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距原点20米</w:t>
            </w:r>
          </w:p>
        </w:tc>
        <w:tc>
          <w:tcPr>
            <w:tcW w:w="1620" w:type="dxa"/>
            <w:vAlign w:val="center"/>
          </w:tcPr>
          <w:p w14:paraId="7D21E6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0.1668</w:t>
            </w:r>
          </w:p>
        </w:tc>
        <w:tc>
          <w:tcPr>
            <w:tcW w:w="1620" w:type="dxa"/>
            <w:vAlign w:val="center"/>
          </w:tcPr>
          <w:p w14:paraId="5923E0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0.1525</w:t>
            </w:r>
          </w:p>
        </w:tc>
        <w:tc>
          <w:tcPr>
            <w:tcW w:w="1380" w:type="dxa"/>
            <w:vAlign w:val="center"/>
          </w:tcPr>
          <w:p w14:paraId="71E495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5.1017</w:t>
            </w:r>
          </w:p>
        </w:tc>
        <w:tc>
          <w:tcPr>
            <w:tcW w:w="1553" w:type="dxa"/>
            <w:vAlign w:val="center"/>
          </w:tcPr>
          <w:p w14:paraId="39A302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5.1719</w:t>
            </w:r>
          </w:p>
        </w:tc>
      </w:tr>
      <w:tr w14:paraId="53DA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811DB0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距原点21米</w:t>
            </w:r>
          </w:p>
        </w:tc>
        <w:tc>
          <w:tcPr>
            <w:tcW w:w="1620" w:type="dxa"/>
            <w:vAlign w:val="center"/>
          </w:tcPr>
          <w:p w14:paraId="226A0C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0.1466</w:t>
            </w:r>
          </w:p>
        </w:tc>
        <w:tc>
          <w:tcPr>
            <w:tcW w:w="1620" w:type="dxa"/>
            <w:vAlign w:val="center"/>
          </w:tcPr>
          <w:p w14:paraId="44A06F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0.1333</w:t>
            </w:r>
          </w:p>
        </w:tc>
        <w:tc>
          <w:tcPr>
            <w:tcW w:w="1380" w:type="dxa"/>
            <w:vAlign w:val="center"/>
          </w:tcPr>
          <w:p w14:paraId="4367B2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4.8676</w:t>
            </w:r>
          </w:p>
        </w:tc>
        <w:tc>
          <w:tcPr>
            <w:tcW w:w="1553" w:type="dxa"/>
            <w:vAlign w:val="center"/>
          </w:tcPr>
          <w:p w14:paraId="29B93F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4.9282</w:t>
            </w:r>
          </w:p>
        </w:tc>
      </w:tr>
      <w:tr w14:paraId="3D18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6EE6EE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距原点22米</w:t>
            </w:r>
          </w:p>
        </w:tc>
        <w:tc>
          <w:tcPr>
            <w:tcW w:w="1620" w:type="dxa"/>
            <w:vAlign w:val="center"/>
          </w:tcPr>
          <w:p w14:paraId="63FCF93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0.1295</w:t>
            </w:r>
          </w:p>
        </w:tc>
        <w:tc>
          <w:tcPr>
            <w:tcW w:w="1620" w:type="dxa"/>
            <w:vAlign w:val="center"/>
          </w:tcPr>
          <w:p w14:paraId="32BDD2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0.1172</w:t>
            </w:r>
          </w:p>
        </w:tc>
        <w:tc>
          <w:tcPr>
            <w:tcW w:w="1380" w:type="dxa"/>
            <w:vAlign w:val="center"/>
          </w:tcPr>
          <w:p w14:paraId="657A6CF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4.6534</w:t>
            </w:r>
          </w:p>
        </w:tc>
        <w:tc>
          <w:tcPr>
            <w:tcW w:w="1553" w:type="dxa"/>
            <w:vAlign w:val="center"/>
          </w:tcPr>
          <w:p w14:paraId="5CDE12B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4.7062</w:t>
            </w:r>
          </w:p>
        </w:tc>
      </w:tr>
      <w:tr w14:paraId="6AAA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5CE61B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距原点23米</w:t>
            </w:r>
          </w:p>
        </w:tc>
        <w:tc>
          <w:tcPr>
            <w:tcW w:w="1620" w:type="dxa"/>
            <w:vAlign w:val="center"/>
          </w:tcPr>
          <w:p w14:paraId="43C4BB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0.1149</w:t>
            </w:r>
          </w:p>
        </w:tc>
        <w:tc>
          <w:tcPr>
            <w:tcW w:w="1620" w:type="dxa"/>
            <w:vAlign w:val="center"/>
          </w:tcPr>
          <w:p w14:paraId="447C29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0.1035</w:t>
            </w:r>
          </w:p>
        </w:tc>
        <w:tc>
          <w:tcPr>
            <w:tcW w:w="1380" w:type="dxa"/>
            <w:vAlign w:val="center"/>
          </w:tcPr>
          <w:p w14:paraId="6B5869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4.4569</w:t>
            </w:r>
          </w:p>
        </w:tc>
        <w:tc>
          <w:tcPr>
            <w:tcW w:w="1553" w:type="dxa"/>
            <w:vAlign w:val="center"/>
          </w:tcPr>
          <w:p w14:paraId="1121509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4.5031</w:t>
            </w:r>
          </w:p>
        </w:tc>
      </w:tr>
      <w:tr w14:paraId="2432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6647AB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距原点24米</w:t>
            </w:r>
          </w:p>
        </w:tc>
        <w:tc>
          <w:tcPr>
            <w:tcW w:w="1620" w:type="dxa"/>
            <w:vAlign w:val="center"/>
          </w:tcPr>
          <w:p w14:paraId="5F3989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0.1024</w:t>
            </w:r>
          </w:p>
        </w:tc>
        <w:tc>
          <w:tcPr>
            <w:tcW w:w="1620" w:type="dxa"/>
            <w:vAlign w:val="center"/>
          </w:tcPr>
          <w:p w14:paraId="4E1C3C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0.0919</w:t>
            </w:r>
          </w:p>
        </w:tc>
        <w:tc>
          <w:tcPr>
            <w:tcW w:w="1380" w:type="dxa"/>
            <w:vAlign w:val="center"/>
          </w:tcPr>
          <w:p w14:paraId="4416C0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4.2760</w:t>
            </w:r>
          </w:p>
        </w:tc>
        <w:tc>
          <w:tcPr>
            <w:tcW w:w="1553" w:type="dxa"/>
            <w:vAlign w:val="center"/>
          </w:tcPr>
          <w:p w14:paraId="4060391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4.3167</w:t>
            </w:r>
          </w:p>
        </w:tc>
      </w:tr>
      <w:tr w14:paraId="7149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11D0D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距原点25米</w:t>
            </w:r>
          </w:p>
        </w:tc>
        <w:tc>
          <w:tcPr>
            <w:tcW w:w="1620" w:type="dxa"/>
            <w:vAlign w:val="center"/>
          </w:tcPr>
          <w:p w14:paraId="2458F7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0.0915</w:t>
            </w:r>
          </w:p>
        </w:tc>
        <w:tc>
          <w:tcPr>
            <w:tcW w:w="1620" w:type="dxa"/>
            <w:vAlign w:val="center"/>
          </w:tcPr>
          <w:p w14:paraId="0DC321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0.0819</w:t>
            </w:r>
          </w:p>
        </w:tc>
        <w:tc>
          <w:tcPr>
            <w:tcW w:w="1380" w:type="dxa"/>
            <w:vAlign w:val="center"/>
          </w:tcPr>
          <w:p w14:paraId="273305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4.1090</w:t>
            </w:r>
          </w:p>
        </w:tc>
        <w:tc>
          <w:tcPr>
            <w:tcW w:w="1553" w:type="dxa"/>
            <w:vAlign w:val="center"/>
          </w:tcPr>
          <w:p w14:paraId="3C909B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4.1450</w:t>
            </w:r>
          </w:p>
        </w:tc>
      </w:tr>
      <w:tr w14:paraId="3988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4A2460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距原点26米</w:t>
            </w:r>
          </w:p>
        </w:tc>
        <w:tc>
          <w:tcPr>
            <w:tcW w:w="1620" w:type="dxa"/>
            <w:vAlign w:val="center"/>
          </w:tcPr>
          <w:p w14:paraId="39E318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0.0822</w:t>
            </w:r>
          </w:p>
        </w:tc>
        <w:tc>
          <w:tcPr>
            <w:tcW w:w="1620" w:type="dxa"/>
            <w:vAlign w:val="center"/>
          </w:tcPr>
          <w:p w14:paraId="42F135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0.0733</w:t>
            </w:r>
          </w:p>
        </w:tc>
        <w:tc>
          <w:tcPr>
            <w:tcW w:w="1380" w:type="dxa"/>
            <w:vAlign w:val="center"/>
          </w:tcPr>
          <w:p w14:paraId="597E1F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3.9543</w:t>
            </w:r>
          </w:p>
        </w:tc>
        <w:tc>
          <w:tcPr>
            <w:tcW w:w="1553" w:type="dxa"/>
            <w:vAlign w:val="center"/>
          </w:tcPr>
          <w:p w14:paraId="07DBCF5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3.9863</w:t>
            </w:r>
          </w:p>
        </w:tc>
      </w:tr>
      <w:tr w14:paraId="1B20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72AC2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距原点27米</w:t>
            </w:r>
          </w:p>
        </w:tc>
        <w:tc>
          <w:tcPr>
            <w:tcW w:w="1620" w:type="dxa"/>
            <w:vAlign w:val="center"/>
          </w:tcPr>
          <w:p w14:paraId="3D3D0C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0.0740</w:t>
            </w:r>
          </w:p>
        </w:tc>
        <w:tc>
          <w:tcPr>
            <w:tcW w:w="1620" w:type="dxa"/>
            <w:vAlign w:val="center"/>
          </w:tcPr>
          <w:p w14:paraId="7F2E761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0.0659</w:t>
            </w:r>
          </w:p>
        </w:tc>
        <w:tc>
          <w:tcPr>
            <w:tcW w:w="1380" w:type="dxa"/>
            <w:vAlign w:val="center"/>
          </w:tcPr>
          <w:p w14:paraId="139526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3.8107</w:t>
            </w:r>
          </w:p>
        </w:tc>
        <w:tc>
          <w:tcPr>
            <w:tcW w:w="1553" w:type="dxa"/>
            <w:vAlign w:val="center"/>
          </w:tcPr>
          <w:p w14:paraId="7EF32E2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3.8393</w:t>
            </w:r>
          </w:p>
        </w:tc>
      </w:tr>
      <w:tr w14:paraId="3514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72F71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距原点28米</w:t>
            </w:r>
          </w:p>
        </w:tc>
        <w:tc>
          <w:tcPr>
            <w:tcW w:w="1620" w:type="dxa"/>
            <w:vAlign w:val="center"/>
          </w:tcPr>
          <w:p w14:paraId="79AEF1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0.0669</w:t>
            </w:r>
          </w:p>
        </w:tc>
        <w:tc>
          <w:tcPr>
            <w:tcW w:w="1620" w:type="dxa"/>
            <w:vAlign w:val="center"/>
          </w:tcPr>
          <w:p w14:paraId="59C0FD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0.0594</w:t>
            </w:r>
          </w:p>
        </w:tc>
        <w:tc>
          <w:tcPr>
            <w:tcW w:w="1380" w:type="dxa"/>
            <w:vAlign w:val="center"/>
          </w:tcPr>
          <w:p w14:paraId="15A4BE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3.6770</w:t>
            </w:r>
          </w:p>
        </w:tc>
        <w:tc>
          <w:tcPr>
            <w:tcW w:w="1553" w:type="dxa"/>
            <w:vAlign w:val="center"/>
          </w:tcPr>
          <w:p w14:paraId="68342C1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3.7027</w:t>
            </w:r>
          </w:p>
        </w:tc>
      </w:tr>
      <w:tr w14:paraId="05EC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183A16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距原点29米</w:t>
            </w:r>
          </w:p>
        </w:tc>
        <w:tc>
          <w:tcPr>
            <w:tcW w:w="1620" w:type="dxa"/>
            <w:vAlign w:val="center"/>
          </w:tcPr>
          <w:p w14:paraId="37C798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0.0607</w:t>
            </w:r>
          </w:p>
        </w:tc>
        <w:tc>
          <w:tcPr>
            <w:tcW w:w="1620" w:type="dxa"/>
            <w:vAlign w:val="center"/>
          </w:tcPr>
          <w:p w14:paraId="505BBE9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0.0538</w:t>
            </w:r>
          </w:p>
        </w:tc>
        <w:tc>
          <w:tcPr>
            <w:tcW w:w="1380" w:type="dxa"/>
            <w:vAlign w:val="center"/>
          </w:tcPr>
          <w:p w14:paraId="65336B2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3.5523</w:t>
            </w:r>
          </w:p>
        </w:tc>
        <w:tc>
          <w:tcPr>
            <w:tcW w:w="1553" w:type="dxa"/>
            <w:vAlign w:val="center"/>
          </w:tcPr>
          <w:p w14:paraId="608303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3.5755</w:t>
            </w:r>
          </w:p>
        </w:tc>
      </w:tr>
      <w:tr w14:paraId="4FEA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D112D1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距原点30米</w:t>
            </w:r>
          </w:p>
        </w:tc>
        <w:tc>
          <w:tcPr>
            <w:tcW w:w="1620" w:type="dxa"/>
            <w:vAlign w:val="center"/>
          </w:tcPr>
          <w:p w14:paraId="2E20D7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0.0552</w:t>
            </w:r>
          </w:p>
        </w:tc>
        <w:tc>
          <w:tcPr>
            <w:tcW w:w="1620" w:type="dxa"/>
            <w:vAlign w:val="center"/>
          </w:tcPr>
          <w:p w14:paraId="10DF54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0.0488</w:t>
            </w:r>
          </w:p>
        </w:tc>
        <w:tc>
          <w:tcPr>
            <w:tcW w:w="1380" w:type="dxa"/>
            <w:vAlign w:val="center"/>
          </w:tcPr>
          <w:p w14:paraId="706615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3.4357</w:t>
            </w:r>
          </w:p>
        </w:tc>
        <w:tc>
          <w:tcPr>
            <w:tcW w:w="1553" w:type="dxa"/>
            <w:vAlign w:val="center"/>
          </w:tcPr>
          <w:p w14:paraId="1819D3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3.4566</w:t>
            </w:r>
          </w:p>
        </w:tc>
      </w:tr>
      <w:tr w14:paraId="0541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4AD2D9A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距原点31米</w:t>
            </w:r>
          </w:p>
        </w:tc>
        <w:tc>
          <w:tcPr>
            <w:tcW w:w="1620" w:type="dxa"/>
            <w:vAlign w:val="center"/>
          </w:tcPr>
          <w:p w14:paraId="1F5009B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0.0503</w:t>
            </w:r>
          </w:p>
        </w:tc>
        <w:tc>
          <w:tcPr>
            <w:tcW w:w="1620" w:type="dxa"/>
            <w:vAlign w:val="center"/>
          </w:tcPr>
          <w:p w14:paraId="7D8848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0.0445</w:t>
            </w:r>
          </w:p>
        </w:tc>
        <w:tc>
          <w:tcPr>
            <w:tcW w:w="1380" w:type="dxa"/>
            <w:vAlign w:val="center"/>
          </w:tcPr>
          <w:p w14:paraId="6804F43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3.3264</w:t>
            </w:r>
          </w:p>
        </w:tc>
        <w:tc>
          <w:tcPr>
            <w:tcW w:w="1553" w:type="dxa"/>
            <w:vAlign w:val="center"/>
          </w:tcPr>
          <w:p w14:paraId="2E96AC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3.3454</w:t>
            </w:r>
          </w:p>
        </w:tc>
      </w:tr>
      <w:tr w14:paraId="5900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2E0ADFC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距原点32米</w:t>
            </w:r>
          </w:p>
        </w:tc>
        <w:tc>
          <w:tcPr>
            <w:tcW w:w="1620" w:type="dxa"/>
            <w:vAlign w:val="center"/>
          </w:tcPr>
          <w:p w14:paraId="3420833A">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0.0461</w:t>
            </w:r>
          </w:p>
        </w:tc>
        <w:tc>
          <w:tcPr>
            <w:tcW w:w="1620" w:type="dxa"/>
            <w:vAlign w:val="center"/>
          </w:tcPr>
          <w:p w14:paraId="639308FC">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0.0406</w:t>
            </w:r>
          </w:p>
        </w:tc>
        <w:tc>
          <w:tcPr>
            <w:tcW w:w="1380" w:type="dxa"/>
            <w:vAlign w:val="center"/>
          </w:tcPr>
          <w:p w14:paraId="71E683A6">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3.2238</w:t>
            </w:r>
          </w:p>
        </w:tc>
        <w:tc>
          <w:tcPr>
            <w:tcW w:w="1553" w:type="dxa"/>
            <w:vAlign w:val="center"/>
          </w:tcPr>
          <w:p w14:paraId="036FF04A">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3.2412</w:t>
            </w:r>
          </w:p>
        </w:tc>
      </w:tr>
      <w:tr w14:paraId="115E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7E430F6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eastAsia="zh-CN"/>
                <w14:textFill>
                  <w14:solidFill>
                    <w14:schemeClr w14:val="tx1"/>
                  </w14:solidFill>
                </w14:textFill>
              </w:rPr>
              <w:t>距原点33米</w:t>
            </w:r>
          </w:p>
        </w:tc>
        <w:tc>
          <w:tcPr>
            <w:tcW w:w="1620" w:type="dxa"/>
            <w:vAlign w:val="center"/>
          </w:tcPr>
          <w:p w14:paraId="351E8414">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0.0422</w:t>
            </w:r>
          </w:p>
        </w:tc>
        <w:tc>
          <w:tcPr>
            <w:tcW w:w="1620" w:type="dxa"/>
            <w:vAlign w:val="center"/>
          </w:tcPr>
          <w:p w14:paraId="4B1680B5">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0.0372</w:t>
            </w:r>
          </w:p>
        </w:tc>
        <w:tc>
          <w:tcPr>
            <w:tcW w:w="1380" w:type="dxa"/>
            <w:vAlign w:val="center"/>
          </w:tcPr>
          <w:p w14:paraId="27697D17">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3.1273</w:t>
            </w:r>
          </w:p>
        </w:tc>
        <w:tc>
          <w:tcPr>
            <w:tcW w:w="1553" w:type="dxa"/>
            <w:vAlign w:val="center"/>
          </w:tcPr>
          <w:p w14:paraId="6E8BF636">
            <w:pPr>
              <w:keepNext w:val="0"/>
              <w:keepLines w:val="0"/>
              <w:suppressLineNumbers w:val="0"/>
              <w:spacing w:before="0" w:beforeAutospacing="0" w:after="0" w:afterAutospacing="0"/>
              <w:ind w:left="0" w:right="0"/>
              <w:jc w:val="center"/>
              <w:rPr>
                <w:rFonts w:hint="eastAsia"/>
                <w:color w:val="000000" w:themeColor="text1"/>
                <w:vertAlign w:val="baseline"/>
                <w:lang w:eastAsia="zh-CN"/>
                <w14:textFill>
                  <w14:solidFill>
                    <w14:schemeClr w14:val="tx1"/>
                  </w14:solidFill>
                </w14:textFill>
              </w:rPr>
            </w:pPr>
            <w:r>
              <w:rPr>
                <w:rFonts w:hint="eastAsia"/>
                <w:color w:val="000000" w:themeColor="text1"/>
                <w:vertAlign w:val="baseline"/>
                <w:lang w:eastAsia="zh-CN"/>
                <w14:textFill>
                  <w14:solidFill>
                    <w14:schemeClr w14:val="tx1"/>
                  </w14:solidFill>
                </w14:textFill>
              </w:rPr>
              <w:t>3.1432</w:t>
            </w:r>
          </w:p>
        </w:tc>
      </w:tr>
      <w:tr w14:paraId="51C9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3C85410B">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最大值</w:t>
            </w:r>
          </w:p>
        </w:tc>
        <w:tc>
          <w:tcPr>
            <w:tcW w:w="1620" w:type="dxa"/>
            <w:vAlign w:val="center"/>
          </w:tcPr>
          <w:p w14:paraId="6D53E03D">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1.4690</w:t>
            </w:r>
          </w:p>
        </w:tc>
        <w:tc>
          <w:tcPr>
            <w:tcW w:w="1620" w:type="dxa"/>
            <w:vAlign w:val="center"/>
          </w:tcPr>
          <w:p w14:paraId="12A5422B">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2.0085</w:t>
            </w:r>
          </w:p>
        </w:tc>
        <w:tc>
          <w:tcPr>
            <w:tcW w:w="1380" w:type="dxa"/>
            <w:vAlign w:val="center"/>
          </w:tcPr>
          <w:p w14:paraId="61631CF5">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14.3309</w:t>
            </w:r>
          </w:p>
        </w:tc>
        <w:tc>
          <w:tcPr>
            <w:tcW w:w="1553" w:type="dxa"/>
            <w:vAlign w:val="center"/>
          </w:tcPr>
          <w:p w14:paraId="65622D56">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16.3474</w:t>
            </w:r>
          </w:p>
        </w:tc>
      </w:tr>
      <w:tr w14:paraId="78B6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4819F172">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最大值处距线路走廊中心距离</w:t>
            </w:r>
          </w:p>
        </w:tc>
        <w:tc>
          <w:tcPr>
            <w:tcW w:w="1620" w:type="dxa"/>
            <w:vAlign w:val="center"/>
          </w:tcPr>
          <w:p w14:paraId="63891D58">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4</w:t>
            </w:r>
          </w:p>
        </w:tc>
        <w:tc>
          <w:tcPr>
            <w:tcW w:w="1620" w:type="dxa"/>
            <w:vAlign w:val="center"/>
          </w:tcPr>
          <w:p w14:paraId="2503FC35">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4</w:t>
            </w:r>
          </w:p>
        </w:tc>
        <w:tc>
          <w:tcPr>
            <w:tcW w:w="1380" w:type="dxa"/>
            <w:vAlign w:val="center"/>
          </w:tcPr>
          <w:p w14:paraId="4267EF9A">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w:t>
            </w:r>
          </w:p>
        </w:tc>
        <w:tc>
          <w:tcPr>
            <w:tcW w:w="1553" w:type="dxa"/>
            <w:vAlign w:val="center"/>
          </w:tcPr>
          <w:p w14:paraId="230F2A97">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3</w:t>
            </w:r>
          </w:p>
        </w:tc>
      </w:tr>
      <w:tr w14:paraId="2573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185" w:type="dxa"/>
            <w:vAlign w:val="center"/>
          </w:tcPr>
          <w:p w14:paraId="05E08E9B">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标准限值</w:t>
            </w:r>
          </w:p>
        </w:tc>
        <w:tc>
          <w:tcPr>
            <w:tcW w:w="1620" w:type="dxa"/>
            <w:vAlign w:val="center"/>
          </w:tcPr>
          <w:p w14:paraId="2F50C05B">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4</w:t>
            </w:r>
          </w:p>
        </w:tc>
        <w:tc>
          <w:tcPr>
            <w:tcW w:w="1620" w:type="dxa"/>
            <w:vAlign w:val="center"/>
          </w:tcPr>
          <w:p w14:paraId="6ADAC0F9">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10</w:t>
            </w:r>
          </w:p>
        </w:tc>
        <w:tc>
          <w:tcPr>
            <w:tcW w:w="1380" w:type="dxa"/>
            <w:vAlign w:val="center"/>
          </w:tcPr>
          <w:p w14:paraId="32331D9D">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100</w:t>
            </w:r>
          </w:p>
        </w:tc>
        <w:tc>
          <w:tcPr>
            <w:tcW w:w="1553" w:type="dxa"/>
            <w:vAlign w:val="center"/>
          </w:tcPr>
          <w:p w14:paraId="54253F4F">
            <w:pPr>
              <w:keepNext w:val="0"/>
              <w:keepLines w:val="0"/>
              <w:suppressLineNumbers w:val="0"/>
              <w:spacing w:before="0" w:beforeAutospacing="0" w:after="0" w:afterAutospacing="0"/>
              <w:ind w:left="0" w:right="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100</w:t>
            </w:r>
          </w:p>
        </w:tc>
      </w:tr>
    </w:tbl>
    <w:p w14:paraId="64A825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rPr>
          <w:rFonts w:hint="default" w:ascii="Times New Roman" w:hAnsi="Times New Roman" w:cs="Times New Roman"/>
          <w:b/>
          <w:color w:val="000000" w:themeColor="text1"/>
          <w:sz w:val="22"/>
          <w:szCs w:val="22"/>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2971800"/>
            <wp:effectExtent l="4445" t="4445" r="12700" b="1079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482B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rPr>
          <w:rFonts w:hint="default" w:ascii="Times New Roman" w:hAnsi="Times New Roman" w:cs="Times New Roman"/>
          <w:b/>
          <w:color w:val="000000" w:themeColor="text1"/>
          <w:sz w:val="22"/>
          <w:szCs w:val="22"/>
          <w:lang w:val="en-US" w:eastAsia="zh-CN"/>
          <w14:textFill>
            <w14:solidFill>
              <w14:schemeClr w14:val="tx1"/>
            </w14:solidFill>
          </w14:textFill>
        </w:rPr>
      </w:pPr>
      <w:r>
        <w:rPr>
          <w:rFonts w:hint="default" w:ascii="Times New Roman" w:hAnsi="Times New Roman" w:cs="Times New Roman"/>
          <w:b/>
          <w:color w:val="000000" w:themeColor="text1"/>
          <w:sz w:val="22"/>
          <w:szCs w:val="22"/>
          <w:lang w:val="en-US" w:eastAsia="zh-CN"/>
          <w14:textFill>
            <w14:solidFill>
              <w14:schemeClr w14:val="tx1"/>
            </w14:solidFill>
          </w14:textFill>
        </w:rPr>
        <w:t>图</w:t>
      </w:r>
      <w:r>
        <w:rPr>
          <w:rFonts w:hint="eastAsia" w:ascii="Times New Roman" w:hAnsi="Times New Roman" w:cs="Times New Roman"/>
          <w:b/>
          <w:color w:val="000000" w:themeColor="text1"/>
          <w:sz w:val="22"/>
          <w:szCs w:val="22"/>
          <w:lang w:val="en-US" w:eastAsia="zh-CN"/>
          <w14:textFill>
            <w14:solidFill>
              <w14:schemeClr w14:val="tx1"/>
            </w14:solidFill>
          </w14:textFill>
        </w:rPr>
        <w:t>3.2-3  单</w:t>
      </w:r>
      <w:r>
        <w:rPr>
          <w:rFonts w:hint="default" w:ascii="Times New Roman" w:hAnsi="Times New Roman" w:cs="Times New Roman"/>
          <w:b/>
          <w:color w:val="000000" w:themeColor="text1"/>
          <w:sz w:val="22"/>
          <w:szCs w:val="22"/>
          <w:lang w:val="en-US" w:eastAsia="zh-CN"/>
          <w14:textFill>
            <w14:solidFill>
              <w14:schemeClr w14:val="tx1"/>
            </w14:solidFill>
          </w14:textFill>
        </w:rPr>
        <w:t>回路线路工频电场强度预测分布曲线</w:t>
      </w:r>
    </w:p>
    <w:p w14:paraId="035D3278">
      <w:pPr>
        <w:pStyle w:val="15"/>
        <w:bidi w:val="0"/>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44465" cy="2800350"/>
            <wp:effectExtent l="4445" t="4445" r="8890" b="14605"/>
            <wp:docPr id="2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42329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rPr>
          <w:rFonts w:hint="eastAsia" w:cs="Times New Roman"/>
          <w:b/>
          <w:color w:val="000000" w:themeColor="text1"/>
          <w:sz w:val="24"/>
          <w:szCs w:val="24"/>
          <w:lang w:val="en-US" w:eastAsia="zh-CN"/>
          <w14:textFill>
            <w14:solidFill>
              <w14:schemeClr w14:val="tx1"/>
            </w14:solidFill>
          </w14:textFill>
        </w:rPr>
      </w:pPr>
      <w:r>
        <w:rPr>
          <w:rFonts w:hint="eastAsia" w:ascii="Times New Roman" w:hAnsi="Times New Roman" w:cs="Times New Roman"/>
          <w:b/>
          <w:color w:val="000000" w:themeColor="text1"/>
          <w:sz w:val="22"/>
          <w:szCs w:val="22"/>
          <w:lang w:val="en-US" w:eastAsia="zh-CN"/>
          <w14:textFill>
            <w14:solidFill>
              <w14:schemeClr w14:val="tx1"/>
            </w14:solidFill>
          </w14:textFill>
        </w:rPr>
        <w:t>图3.2-4  单回路线路工频磁感应强度预测分布曲线</w:t>
      </w:r>
    </w:p>
    <w:p w14:paraId="2AE2ED20">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Chars="0" w:firstLine="0" w:firstLineChars="0"/>
        <w:jc w:val="left"/>
        <w:textAlignment w:val="auto"/>
        <w:rPr>
          <w:rFonts w:hint="eastAsia" w:ascii="Times New Roman" w:hAnsi="Times New Roman"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3.2</w:t>
      </w:r>
      <w:r>
        <w:rPr>
          <w:rFonts w:hint="eastAsia" w:ascii="Times New Roman" w:hAnsi="Times New Roman" w:cs="Times New Roman"/>
          <w:b/>
          <w:color w:val="000000" w:themeColor="text1"/>
          <w:sz w:val="24"/>
          <w:szCs w:val="24"/>
          <w:lang w:val="en-US" w:eastAsia="zh-CN"/>
          <w14:textFill>
            <w14:solidFill>
              <w14:schemeClr w14:val="tx1"/>
            </w14:solidFill>
          </w14:textFill>
        </w:rPr>
        <w:t>.4计算结果分析</w:t>
      </w:r>
    </w:p>
    <w:p w14:paraId="42D2BB93">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rFonts w:hint="default" w:ascii="Times New Roman" w:hAnsi="Times New Roman" w:cs="Times New Roman"/>
          <w:b w:val="0"/>
          <w:bCs/>
          <w:color w:val="000000" w:themeColor="text1"/>
          <w:sz w:val="24"/>
          <w:szCs w:val="24"/>
          <w:lang w:val="en-US" w:eastAsia="zh-CN"/>
          <w14:textFill>
            <w14:solidFill>
              <w14:schemeClr w14:val="tx1"/>
            </w14:solidFill>
          </w14:textFill>
        </w:rPr>
        <w:t>由表</w:t>
      </w:r>
      <w:r>
        <w:rPr>
          <w:rFonts w:hint="eastAsia" w:cs="Times New Roman"/>
          <w:b w:val="0"/>
          <w:bCs/>
          <w:color w:val="000000" w:themeColor="text1"/>
          <w:sz w:val="24"/>
          <w:szCs w:val="24"/>
          <w:lang w:val="en-US" w:eastAsia="zh-CN"/>
          <w14:textFill>
            <w14:solidFill>
              <w14:schemeClr w14:val="tx1"/>
            </w14:solidFill>
          </w14:textFill>
        </w:rPr>
        <w:t>3.2-4单</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回路电磁预测结果分析可知：当线高按6.0m预测</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经过非居民区</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，线路工频电场强度最大值为</w:t>
      </w:r>
      <w:r>
        <w:rPr>
          <w:rFonts w:hint="eastAsia" w:cs="Times New Roman"/>
          <w:b w:val="0"/>
          <w:bCs/>
          <w:color w:val="000000" w:themeColor="text1"/>
          <w:sz w:val="24"/>
          <w:szCs w:val="24"/>
          <w:lang w:val="en-US" w:eastAsia="zh-CN"/>
          <w14:textFill>
            <w14:solidFill>
              <w14:schemeClr w14:val="tx1"/>
            </w14:solidFill>
          </w14:textFill>
        </w:rPr>
        <w:t>2.0085kV</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/m</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距线路走廊中心</w:t>
      </w:r>
      <w:r>
        <w:rPr>
          <w:rFonts w:hint="eastAsia" w:cs="Times New Roman"/>
          <w:b w:val="0"/>
          <w:bCs/>
          <w:color w:val="000000" w:themeColor="text1"/>
          <w:sz w:val="24"/>
          <w:szCs w:val="24"/>
          <w:lang w:val="en-US" w:eastAsia="zh-CN"/>
          <w14:textFill>
            <w14:solidFill>
              <w14:schemeClr w14:val="tx1"/>
            </w14:solidFill>
          </w14:textFill>
        </w:rPr>
        <w:t>4米</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、工频磁感应强度最大值为</w:t>
      </w:r>
      <w:r>
        <w:rPr>
          <w:rFonts w:hint="eastAsia" w:cs="Times New Roman"/>
          <w:b w:val="0"/>
          <w:bCs/>
          <w:color w:val="000000" w:themeColor="text1"/>
          <w:sz w:val="24"/>
          <w:szCs w:val="24"/>
          <w:lang w:val="en-US" w:eastAsia="zh-CN"/>
          <w14:textFill>
            <w14:solidFill>
              <w14:schemeClr w14:val="tx1"/>
            </w14:solidFill>
          </w14:textFill>
        </w:rPr>
        <w:t>16.3474</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μT</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距线路走廊中心</w:t>
      </w:r>
      <w:r>
        <w:rPr>
          <w:rFonts w:hint="eastAsia" w:cs="Times New Roman"/>
          <w:b w:val="0"/>
          <w:bCs/>
          <w:color w:val="000000" w:themeColor="text1"/>
          <w:sz w:val="24"/>
          <w:szCs w:val="24"/>
          <w:lang w:val="en-US" w:eastAsia="zh-CN"/>
          <w14:textFill>
            <w14:solidFill>
              <w14:schemeClr w14:val="tx1"/>
            </w14:solidFill>
          </w14:textFill>
        </w:rPr>
        <w:t>3</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m</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，线路运行产生的工频电场强度、工频磁感应强度能够分别满足</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10</w:t>
      </w:r>
      <w:r>
        <w:rPr>
          <w:rFonts w:hint="eastAsia" w:cs="Times New Roman"/>
          <w:b w:val="0"/>
          <w:bCs/>
          <w:color w:val="000000" w:themeColor="text1"/>
          <w:sz w:val="24"/>
          <w:szCs w:val="24"/>
          <w:lang w:val="en-US" w:eastAsia="zh-CN"/>
          <w14:textFill>
            <w14:solidFill>
              <w14:schemeClr w14:val="tx1"/>
            </w14:solidFill>
          </w14:textFill>
        </w:rPr>
        <w:t>kV</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/m和</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100μT控制限值要求</w:t>
      </w:r>
      <w:r>
        <w:rPr>
          <w:rFonts w:hint="eastAsia" w:cs="Times New Roman"/>
          <w:b w:val="0"/>
          <w:bCs/>
          <w:color w:val="000000" w:themeColor="text1"/>
          <w:sz w:val="24"/>
          <w:szCs w:val="24"/>
          <w:lang w:val="en-US" w:eastAsia="zh-CN"/>
          <w14:textFill>
            <w14:solidFill>
              <w14:schemeClr w14:val="tx1"/>
            </w14:solidFill>
          </w14:textFill>
        </w:rPr>
        <w:t>。</w:t>
      </w:r>
    </w:p>
    <w:p w14:paraId="79004848">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b w:val="0"/>
          <w:bCs/>
          <w:color w:val="000000" w:themeColor="text1"/>
          <w:sz w:val="24"/>
          <w:szCs w:val="24"/>
          <w:lang w:val="en-US" w:eastAsia="zh-CN"/>
          <w14:textFill>
            <w14:solidFill>
              <w14:schemeClr w14:val="tx1"/>
            </w14:solidFill>
          </w14:textFill>
        </w:rPr>
      </w:pPr>
      <w:r>
        <w:rPr>
          <w:rFonts w:hint="default" w:ascii="Times New Roman" w:hAnsi="Times New Roman" w:cs="Times New Roman"/>
          <w:b w:val="0"/>
          <w:bCs/>
          <w:color w:val="000000" w:themeColor="text1"/>
          <w:sz w:val="24"/>
          <w:szCs w:val="24"/>
          <w:lang w:val="en-US" w:eastAsia="zh-CN"/>
          <w14:textFill>
            <w14:solidFill>
              <w14:schemeClr w14:val="tx1"/>
            </w14:solidFill>
          </w14:textFill>
        </w:rPr>
        <w:t>当计算线高按7.0m预测</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经过居民区</w:t>
      </w:r>
      <w:r>
        <w:rPr>
          <w:rFonts w:hint="eastAsia" w:cs="Times New Roman"/>
          <w:b w:val="0"/>
          <w:bCs/>
          <w:color w:val="000000" w:themeColor="text1"/>
          <w:sz w:val="24"/>
          <w:szCs w:val="24"/>
          <w:lang w:val="en-US" w:eastAsia="zh-CN"/>
          <w14:textFill>
            <w14:solidFill>
              <w14:schemeClr w14:val="tx1"/>
            </w14:solidFill>
          </w14:textFill>
        </w:rPr>
        <w:t>即电磁环境敏感目标处）</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，线路工频电场强度最大值为</w:t>
      </w:r>
      <w:r>
        <w:rPr>
          <w:rFonts w:hint="eastAsia" w:cs="Times New Roman"/>
          <w:b w:val="0"/>
          <w:bCs/>
          <w:color w:val="000000" w:themeColor="text1"/>
          <w:sz w:val="24"/>
          <w:szCs w:val="24"/>
          <w:lang w:val="en-US" w:eastAsia="zh-CN"/>
          <w14:textFill>
            <w14:solidFill>
              <w14:schemeClr w14:val="tx1"/>
            </w14:solidFill>
          </w14:textFill>
        </w:rPr>
        <w:t>1.4690kV</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/m</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距线路走廊中心</w:t>
      </w:r>
      <w:r>
        <w:rPr>
          <w:rFonts w:hint="eastAsia" w:cs="Times New Roman"/>
          <w:b w:val="0"/>
          <w:bCs/>
          <w:color w:val="000000" w:themeColor="text1"/>
          <w:sz w:val="24"/>
          <w:szCs w:val="24"/>
          <w:lang w:val="en-US" w:eastAsia="zh-CN"/>
          <w14:textFill>
            <w14:solidFill>
              <w14:schemeClr w14:val="tx1"/>
            </w14:solidFill>
          </w14:textFill>
        </w:rPr>
        <w:t>4</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m</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、工频磁感应强度最大值为</w:t>
      </w:r>
      <w:r>
        <w:rPr>
          <w:rFonts w:hint="eastAsia" w:cs="Times New Roman"/>
          <w:b w:val="0"/>
          <w:bCs/>
          <w:color w:val="000000" w:themeColor="text1"/>
          <w:sz w:val="24"/>
          <w:szCs w:val="24"/>
          <w:lang w:val="en-US" w:eastAsia="zh-CN"/>
          <w14:textFill>
            <w14:solidFill>
              <w14:schemeClr w14:val="tx1"/>
            </w14:solidFill>
          </w14:textFill>
        </w:rPr>
        <w:t>14.3309</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μT</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距线路走廊中心</w:t>
      </w:r>
      <w:r>
        <w:rPr>
          <w:rFonts w:hint="eastAsia" w:cs="Times New Roman"/>
          <w:b w:val="0"/>
          <w:bCs/>
          <w:color w:val="000000" w:themeColor="text1"/>
          <w:sz w:val="24"/>
          <w:szCs w:val="24"/>
          <w:lang w:val="en-US" w:eastAsia="zh-CN"/>
          <w14:textFill>
            <w14:solidFill>
              <w14:schemeClr w14:val="tx1"/>
            </w14:solidFill>
          </w14:textFill>
        </w:rPr>
        <w:t>2</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m</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，线路运行产生的工频电场强度、工频磁感应强度能够分别满足</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4</w:t>
      </w:r>
      <w:r>
        <w:rPr>
          <w:rFonts w:hint="eastAsia" w:cs="Times New Roman"/>
          <w:b w:val="0"/>
          <w:bCs/>
          <w:color w:val="000000" w:themeColor="text1"/>
          <w:sz w:val="24"/>
          <w:szCs w:val="24"/>
          <w:lang w:val="en-US" w:eastAsia="zh-CN"/>
          <w14:textFill>
            <w14:solidFill>
              <w14:schemeClr w14:val="tx1"/>
            </w14:solidFill>
          </w14:textFill>
        </w:rPr>
        <w:t>kV</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/m和</w:t>
      </w:r>
      <w:r>
        <w:rPr>
          <w:rFonts w:hint="eastAsia"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100μT控制限值要求</w:t>
      </w:r>
      <w:r>
        <w:rPr>
          <w:rFonts w:hint="eastAsia" w:cs="Times New Roman"/>
          <w:b w:val="0"/>
          <w:bCs/>
          <w:color w:val="000000" w:themeColor="text1"/>
          <w:sz w:val="24"/>
          <w:szCs w:val="24"/>
          <w:lang w:val="en-US" w:eastAsia="zh-CN"/>
          <w14:textFill>
            <w14:solidFill>
              <w14:schemeClr w14:val="tx1"/>
            </w14:solidFill>
          </w14:textFill>
        </w:rPr>
        <w:t>。</w:t>
      </w:r>
    </w:p>
    <w:p w14:paraId="51A247E9">
      <w:pPr>
        <w:pStyle w:val="4"/>
        <w:rPr>
          <w:rFonts w:eastAsia="宋体"/>
          <w:color w:val="000000" w:themeColor="text1"/>
          <w:sz w:val="28"/>
          <w:szCs w:val="28"/>
          <w:highlight w:val="none"/>
          <w14:textFill>
            <w14:solidFill>
              <w14:schemeClr w14:val="tx1"/>
            </w14:solidFill>
          </w14:textFill>
        </w:rPr>
      </w:pPr>
      <w:bookmarkStart w:id="103" w:name="_Toc9934"/>
      <w:bookmarkStart w:id="104" w:name="_Toc32073"/>
      <w:bookmarkStart w:id="105" w:name="_Toc4218"/>
      <w:r>
        <w:rPr>
          <w:rFonts w:hint="eastAsia" w:eastAsia="宋体"/>
          <w:color w:val="000000" w:themeColor="text1"/>
          <w:sz w:val="28"/>
          <w:szCs w:val="28"/>
          <w:highlight w:val="none"/>
          <w14:textFill>
            <w14:solidFill>
              <w14:schemeClr w14:val="tx1"/>
            </w14:solidFill>
          </w14:textFill>
        </w:rPr>
        <w:t>4电磁环境保护措施</w:t>
      </w:r>
      <w:bookmarkEnd w:id="103"/>
      <w:bookmarkEnd w:id="104"/>
      <w:bookmarkEnd w:id="105"/>
    </w:p>
    <w:p w14:paraId="59AD976D">
      <w:pPr>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（1）</w:t>
      </w:r>
      <w:r>
        <w:rPr>
          <w:rFonts w:hint="eastAsia"/>
          <w:bCs/>
          <w:color w:val="000000" w:themeColor="text1"/>
          <w:sz w:val="24"/>
          <w:highlight w:val="none"/>
          <w:lang w:val="zh-CN"/>
          <w14:textFill>
            <w14:solidFill>
              <w14:schemeClr w14:val="tx1"/>
            </w14:solidFill>
          </w14:textFill>
        </w:rPr>
        <w:t>升压站</w:t>
      </w:r>
      <w:r>
        <w:rPr>
          <w:rFonts w:hint="eastAsia"/>
          <w:color w:val="000000" w:themeColor="text1"/>
          <w:kern w:val="0"/>
          <w:sz w:val="24"/>
          <w:highlight w:val="none"/>
          <w:lang w:bidi="ar"/>
          <w14:textFill>
            <w14:solidFill>
              <w14:schemeClr w14:val="tx1"/>
            </w14:solidFill>
          </w14:textFill>
        </w:rPr>
        <w:t>严格按照总平面布置</w:t>
      </w:r>
      <w:bookmarkStart w:id="109" w:name="_GoBack"/>
      <w:bookmarkEnd w:id="109"/>
      <w:r>
        <w:rPr>
          <w:rFonts w:hint="eastAsia"/>
          <w:color w:val="000000" w:themeColor="text1"/>
          <w:kern w:val="0"/>
          <w:sz w:val="24"/>
          <w:highlight w:val="none"/>
          <w:lang w:bidi="ar"/>
          <w14:textFill>
            <w14:solidFill>
              <w14:schemeClr w14:val="tx1"/>
            </w14:solidFill>
          </w14:textFill>
        </w:rPr>
        <w:t>图完成相关电气设备的建设，对电气设备进行合理优化布局，保证导体和电气设备安全距离，选用具有抗干扰能力的设备；</w:t>
      </w:r>
    </w:p>
    <w:p w14:paraId="73970C02">
      <w:pPr>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（2）制定安全操作规程，加强职工安全教育，加强电磁水平监测；</w:t>
      </w:r>
    </w:p>
    <w:p w14:paraId="04B499A6">
      <w:pPr>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（3）对员工进行电磁环境影响基础知识培训，在巡检带电维修过程中，尽可能减少人员曝露在电磁场中的时间；</w:t>
      </w:r>
    </w:p>
    <w:p w14:paraId="1F771E98">
      <w:pPr>
        <w:spacing w:line="36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（4）设立警示标志，禁止无关人员靠近带电架构。</w:t>
      </w:r>
    </w:p>
    <w:p w14:paraId="37DD63EB">
      <w:pPr>
        <w:pStyle w:val="4"/>
        <w:rPr>
          <w:rFonts w:eastAsia="宋体"/>
          <w:color w:val="000000" w:themeColor="text1"/>
          <w:sz w:val="28"/>
          <w:szCs w:val="28"/>
          <w:highlight w:val="none"/>
          <w14:textFill>
            <w14:solidFill>
              <w14:schemeClr w14:val="tx1"/>
            </w14:solidFill>
          </w14:textFill>
        </w:rPr>
      </w:pPr>
      <w:bookmarkStart w:id="106" w:name="_Toc13411"/>
      <w:bookmarkStart w:id="107" w:name="_Toc30277"/>
      <w:bookmarkStart w:id="108" w:name="_Toc24354"/>
      <w:r>
        <w:rPr>
          <w:rFonts w:hint="eastAsia" w:eastAsia="宋体"/>
          <w:color w:val="000000" w:themeColor="text1"/>
          <w:sz w:val="28"/>
          <w:szCs w:val="28"/>
          <w:highlight w:val="none"/>
          <w14:textFill>
            <w14:solidFill>
              <w14:schemeClr w14:val="tx1"/>
            </w14:solidFill>
          </w14:textFill>
        </w:rPr>
        <w:t>5电磁环境影响评价结论</w:t>
      </w:r>
      <w:bookmarkEnd w:id="106"/>
      <w:bookmarkEnd w:id="107"/>
      <w:bookmarkEnd w:id="108"/>
    </w:p>
    <w:p w14:paraId="434EF8C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根据类比监测方式预测结果进行分析，本项目新建升压站建成投运后，对升压站周围环境产生的影响在可接受范围，升压站</w:t>
      </w:r>
      <w:r>
        <w:rPr>
          <w:rFonts w:hint="eastAsia" w:ascii="宋体" w:hAnsi="宋体"/>
          <w:color w:val="000000" w:themeColor="text1"/>
          <w:sz w:val="24"/>
          <w:highlight w:val="none"/>
          <w:lang w:val="en-US" w:eastAsia="zh-CN"/>
          <w14:textFill>
            <w14:solidFill>
              <w14:schemeClr w14:val="tx1"/>
            </w14:solidFill>
          </w14:textFill>
        </w:rPr>
        <w:t>及输电线路</w:t>
      </w:r>
      <w:r>
        <w:rPr>
          <w:rFonts w:hint="eastAsia" w:ascii="宋体" w:hAnsi="宋体"/>
          <w:color w:val="000000" w:themeColor="text1"/>
          <w:sz w:val="24"/>
          <w:highlight w:val="none"/>
          <w14:textFill>
            <w14:solidFill>
              <w14:schemeClr w14:val="tx1"/>
            </w14:solidFill>
          </w14:textFill>
        </w:rPr>
        <w:t>电磁环境影响能满足《电磁环境控制限值》（</w:t>
      </w:r>
      <w:r>
        <w:rPr>
          <w:color w:val="000000" w:themeColor="text1"/>
          <w:sz w:val="24"/>
          <w:highlight w:val="none"/>
          <w14:textFill>
            <w14:solidFill>
              <w14:schemeClr w14:val="tx1"/>
            </w14:solidFill>
          </w14:textFill>
        </w:rPr>
        <w:t>GB8702-2014</w:t>
      </w:r>
      <w:r>
        <w:rPr>
          <w:rFonts w:hint="eastAsia" w:ascii="宋体" w:hAnsi="宋体"/>
          <w:color w:val="000000" w:themeColor="text1"/>
          <w:sz w:val="24"/>
          <w:highlight w:val="none"/>
          <w14:textFill>
            <w14:solidFill>
              <w14:schemeClr w14:val="tx1"/>
            </w14:solidFill>
          </w14:textFill>
        </w:rPr>
        <w:t>）中频率为</w:t>
      </w:r>
      <w:r>
        <w:rPr>
          <w:color w:val="000000" w:themeColor="text1"/>
          <w:sz w:val="24"/>
          <w:highlight w:val="none"/>
          <w14:textFill>
            <w14:solidFill>
              <w14:schemeClr w14:val="tx1"/>
            </w14:solidFill>
          </w14:textFill>
        </w:rPr>
        <w:t>50Hz时的工频电场强度</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4000V/m、工频磁感应强度</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100μT</w:t>
      </w:r>
      <w:r>
        <w:rPr>
          <w:rFonts w:hint="eastAsia" w:ascii="宋体" w:hAnsi="宋体"/>
          <w:color w:val="000000" w:themeColor="text1"/>
          <w:sz w:val="24"/>
          <w:highlight w:val="none"/>
          <w14:textFill>
            <w14:solidFill>
              <w14:schemeClr w14:val="tx1"/>
            </w14:solidFill>
          </w14:textFill>
        </w:rPr>
        <w:t>的公众曝露控制限值要求</w:t>
      </w:r>
      <w:r>
        <w:rPr>
          <w:rFonts w:hint="eastAsia"/>
          <w:color w:val="000000" w:themeColor="text1"/>
          <w:sz w:val="24"/>
          <w:highlight w:val="none"/>
          <w14:textFill>
            <w14:solidFill>
              <w14:schemeClr w14:val="tx1"/>
            </w14:solidFill>
          </w14:textFill>
        </w:rPr>
        <w:t>。</w:t>
      </w:r>
    </w:p>
    <w:p w14:paraId="47AAABEE">
      <w:pPr>
        <w:pStyle w:val="13"/>
        <w:spacing w:after="0" w:line="360" w:lineRule="auto"/>
        <w:ind w:left="0" w:leftChars="0" w:firstLine="480" w:firstLineChars="200"/>
        <w:rPr>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w:t>综上所述，本项目拟建</w:t>
      </w:r>
      <w:r>
        <w:rPr>
          <w:rFonts w:hint="eastAsia"/>
          <w:color w:val="000000" w:themeColor="text1"/>
          <w:sz w:val="24"/>
          <w:highlight w:val="none"/>
          <w:lang w:eastAsia="zh-CN"/>
          <w14:textFill>
            <w14:solidFill>
              <w14:schemeClr w14:val="tx1"/>
            </w14:solidFill>
          </w14:textFill>
        </w:rPr>
        <w:t>奥宇托克逊县10万千瓦/40万千瓦时电化学独立储能项目</w:t>
      </w:r>
      <w:r>
        <w:rPr>
          <w:color w:val="000000" w:themeColor="text1"/>
          <w:sz w:val="24"/>
          <w:highlight w:val="none"/>
          <w14:textFill>
            <w14:solidFill>
              <w14:schemeClr w14:val="tx1"/>
            </w14:solidFill>
          </w14:textFill>
        </w:rPr>
        <w:t>工程</w:t>
      </w:r>
      <w:r>
        <w:rPr>
          <w:rFonts w:hint="eastAsia" w:ascii="宋体" w:hAnsi="宋体"/>
          <w:color w:val="000000" w:themeColor="text1"/>
          <w:sz w:val="24"/>
          <w:highlight w:val="none"/>
          <w14:textFill>
            <w14:solidFill>
              <w14:schemeClr w14:val="tx1"/>
            </w14:solidFill>
          </w14:textFill>
        </w:rPr>
        <w:t>建成运行后评价范围内的电磁环境能满足《电磁环境控制限值》（</w:t>
      </w:r>
      <w:r>
        <w:rPr>
          <w:color w:val="000000" w:themeColor="text1"/>
          <w:sz w:val="24"/>
          <w:highlight w:val="none"/>
          <w14:textFill>
            <w14:solidFill>
              <w14:schemeClr w14:val="tx1"/>
            </w14:solidFill>
          </w14:textFill>
        </w:rPr>
        <w:t>GB8702-2014</w:t>
      </w:r>
      <w:r>
        <w:rPr>
          <w:rFonts w:hint="eastAsia" w:ascii="宋体" w:hAnsi="宋体"/>
          <w:color w:val="000000" w:themeColor="text1"/>
          <w:sz w:val="24"/>
          <w:highlight w:val="none"/>
          <w14:textFill>
            <w14:solidFill>
              <w14:schemeClr w14:val="tx1"/>
            </w14:solidFill>
          </w14:textFill>
        </w:rPr>
        <w:t>）控制限值要求，项目对周边的电磁环境影响较小</w:t>
      </w:r>
      <w:r>
        <w:rPr>
          <w:rFonts w:hint="eastAsia"/>
          <w:color w:val="000000" w:themeColor="text1"/>
          <w:highlight w:val="none"/>
          <w14:textFill>
            <w14:solidFill>
              <w14:schemeClr w14:val="tx1"/>
            </w14:solidFill>
          </w14:textFill>
        </w:rPr>
        <w:t>。</w:t>
      </w:r>
    </w:p>
    <w:p w14:paraId="42CA6345">
      <w:pPr>
        <w:pStyle w:val="3"/>
        <w:spacing w:after="0" w:line="240" w:lineRule="auto"/>
        <w:jc w:val="left"/>
        <w:rPr>
          <w:b/>
          <w:bCs/>
          <w:color w:val="000000" w:themeColor="text1"/>
          <w:sz w:val="24"/>
          <w:szCs w:val="32"/>
          <w:highlight w:val="none"/>
          <w14:textFill>
            <w14:solidFill>
              <w14:schemeClr w14:val="tx1"/>
            </w14:solidFill>
          </w14:textFill>
        </w:rPr>
      </w:pPr>
    </w:p>
    <w:sectPr>
      <w:headerReference r:id="rId6" w:type="default"/>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行楷">
    <w:altName w:val="微软雅黑"/>
    <w:panose1 w:val="02010800040101010101"/>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Emoji">
    <w:altName w:val="Segoe UI"/>
    <w:panose1 w:val="020B0502040204020203"/>
    <w:charset w:val="00"/>
    <w:family w:val="auto"/>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31E03">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A155">
    <w:pPr>
      <w:pStyle w:val="19"/>
      <w:framePr w:wrap="around" w:vAnchor="text" w:hAnchor="margin" w:xAlign="outside" w:y="1"/>
      <w:rPr>
        <w:rStyle w:val="36"/>
      </w:rPr>
    </w:pPr>
    <w:r>
      <w:rPr>
        <w:rStyle w:val="36"/>
      </w:rPr>
      <w:fldChar w:fldCharType="begin"/>
    </w:r>
    <w:r>
      <w:rPr>
        <w:rStyle w:val="36"/>
      </w:rPr>
      <w:instrText xml:space="preserve">PAGE  </w:instrText>
    </w:r>
    <w:r>
      <w:rPr>
        <w:rStyle w:val="36"/>
      </w:rPr>
      <w:fldChar w:fldCharType="end"/>
    </w:r>
  </w:p>
  <w:p w14:paraId="2ACD13F2">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F619">
    <w:pPr>
      <w:pStyle w:val="19"/>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7"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F235D1">
                          <w:pPr>
                            <w:pStyle w:val="19"/>
                            <w:rPr>
                              <w:rStyle w:val="36"/>
                              <w:rFonts w:hint="eastAsia" w:ascii="宋体" w:hAnsi="宋体"/>
                              <w:sz w:val="28"/>
                              <w:szCs w:val="28"/>
                            </w:rPr>
                          </w:pPr>
                          <w:r>
                            <w:rPr>
                              <w:rStyle w:val="36"/>
                              <w:rFonts w:hint="eastAsia" w:ascii="宋体" w:hAnsi="宋体"/>
                              <w:sz w:val="28"/>
                              <w:szCs w:val="28"/>
                            </w:rPr>
                            <w:t>—</w:t>
                          </w:r>
                          <w:r>
                            <w:rPr>
                              <w:rStyle w:val="36"/>
                              <w:rFonts w:hint="eastAsia" w:ascii="宋体" w:hAnsi="宋体"/>
                              <w:sz w:val="20"/>
                              <w:szCs w:val="20"/>
                            </w:rPr>
                            <w:t xml:space="preserve">  </w:t>
                          </w:r>
                          <w:r>
                            <w:rPr>
                              <w:rStyle w:val="36"/>
                              <w:sz w:val="26"/>
                              <w:szCs w:val="26"/>
                            </w:rPr>
                            <w:fldChar w:fldCharType="begin"/>
                          </w:r>
                          <w:r>
                            <w:rPr>
                              <w:rStyle w:val="36"/>
                              <w:sz w:val="26"/>
                              <w:szCs w:val="26"/>
                            </w:rPr>
                            <w:instrText xml:space="preserve">PAGE  </w:instrText>
                          </w:r>
                          <w:r>
                            <w:rPr>
                              <w:rStyle w:val="36"/>
                              <w:sz w:val="26"/>
                              <w:szCs w:val="26"/>
                            </w:rPr>
                            <w:fldChar w:fldCharType="separate"/>
                          </w:r>
                          <w:r>
                            <w:rPr>
                              <w:rStyle w:val="36"/>
                              <w:sz w:val="26"/>
                              <w:szCs w:val="26"/>
                            </w:rPr>
                            <w:t>22</w:t>
                          </w:r>
                          <w:r>
                            <w:rPr>
                              <w:rStyle w:val="36"/>
                              <w:sz w:val="26"/>
                              <w:szCs w:val="26"/>
                            </w:rPr>
                            <w:fldChar w:fldCharType="end"/>
                          </w:r>
                          <w:r>
                            <w:rPr>
                              <w:rStyle w:val="36"/>
                              <w:rFonts w:hint="eastAsia" w:ascii="宋体" w:hAnsi="宋体"/>
                              <w:sz w:val="20"/>
                              <w:szCs w:val="20"/>
                            </w:rPr>
                            <w:t xml:space="preserve">  </w:t>
                          </w:r>
                          <w:r>
                            <w:rPr>
                              <w:rStyle w:val="36"/>
                              <w:rFonts w:hint="eastAsia" w:ascii="宋体" w:hAnsi="宋体"/>
                              <w:sz w:val="28"/>
                              <w:szCs w:val="28"/>
                            </w:rPr>
                            <w:t>—</w:t>
                          </w:r>
                        </w:p>
                      </w:txbxContent>
                    </wps:txbx>
                    <wps:bodyPr vert="horz" wrap="none" lIns="0" tIns="0" rIns="0" bIns="0" anchor="t" anchorCtr="0">
                      <a:spAutoFit/>
                    </wps:bodyPr>
                  </wps:wsp>
                </a:graphicData>
              </a:graphic>
            </wp:anchor>
          </w:drawing>
        </mc:Choice>
        <mc:Fallback>
          <w:pict>
            <v:shape id="文本框 2049"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zEaLmNwBAAC2AwAADgAAAAAAAAAB&#10;ACAAAAAeAQAAZHJzL2Uyb0RvYy54bWxQSwUGAAAAAAYABgBZAQAAbAUAAAAA&#10;">
              <v:fill on="f" focussize="0,0"/>
              <v:stroke on="f"/>
              <v:imagedata o:title=""/>
              <o:lock v:ext="edit" aspectratio="f"/>
              <v:textbox inset="0mm,0mm,0mm,0mm" style="mso-fit-shape-to-text:t;">
                <w:txbxContent>
                  <w:p w14:paraId="7DF235D1">
                    <w:pPr>
                      <w:pStyle w:val="19"/>
                      <w:rPr>
                        <w:rStyle w:val="36"/>
                        <w:rFonts w:hint="eastAsia" w:ascii="宋体" w:hAnsi="宋体"/>
                        <w:sz w:val="28"/>
                        <w:szCs w:val="28"/>
                      </w:rPr>
                    </w:pPr>
                    <w:r>
                      <w:rPr>
                        <w:rStyle w:val="36"/>
                        <w:rFonts w:hint="eastAsia" w:ascii="宋体" w:hAnsi="宋体"/>
                        <w:sz w:val="28"/>
                        <w:szCs w:val="28"/>
                      </w:rPr>
                      <w:t>—</w:t>
                    </w:r>
                    <w:r>
                      <w:rPr>
                        <w:rStyle w:val="36"/>
                        <w:rFonts w:hint="eastAsia" w:ascii="宋体" w:hAnsi="宋体"/>
                        <w:sz w:val="20"/>
                        <w:szCs w:val="20"/>
                      </w:rPr>
                      <w:t xml:space="preserve">  </w:t>
                    </w:r>
                    <w:r>
                      <w:rPr>
                        <w:rStyle w:val="36"/>
                        <w:sz w:val="26"/>
                        <w:szCs w:val="26"/>
                      </w:rPr>
                      <w:fldChar w:fldCharType="begin"/>
                    </w:r>
                    <w:r>
                      <w:rPr>
                        <w:rStyle w:val="36"/>
                        <w:sz w:val="26"/>
                        <w:szCs w:val="26"/>
                      </w:rPr>
                      <w:instrText xml:space="preserve">PAGE  </w:instrText>
                    </w:r>
                    <w:r>
                      <w:rPr>
                        <w:rStyle w:val="36"/>
                        <w:sz w:val="26"/>
                        <w:szCs w:val="26"/>
                      </w:rPr>
                      <w:fldChar w:fldCharType="separate"/>
                    </w:r>
                    <w:r>
                      <w:rPr>
                        <w:rStyle w:val="36"/>
                        <w:sz w:val="26"/>
                        <w:szCs w:val="26"/>
                      </w:rPr>
                      <w:t>22</w:t>
                    </w:r>
                    <w:r>
                      <w:rPr>
                        <w:rStyle w:val="36"/>
                        <w:sz w:val="26"/>
                        <w:szCs w:val="26"/>
                      </w:rPr>
                      <w:fldChar w:fldCharType="end"/>
                    </w:r>
                    <w:r>
                      <w:rPr>
                        <w:rStyle w:val="36"/>
                        <w:rFonts w:hint="eastAsia" w:ascii="宋体" w:hAnsi="宋体"/>
                        <w:sz w:val="20"/>
                        <w:szCs w:val="20"/>
                      </w:rPr>
                      <w:t xml:space="preserve">  </w:t>
                    </w:r>
                    <w:r>
                      <w:rPr>
                        <w:rStyle w:val="36"/>
                        <w:rFonts w:hint="eastAsia" w:ascii="宋体" w:hAnsi="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C1F92">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12E2B2"/>
    <w:multiLevelType w:val="singleLevel"/>
    <w:tmpl w:val="E312E2B2"/>
    <w:lvl w:ilvl="0" w:tentative="0">
      <w:start w:val="3"/>
      <w:numFmt w:val="decimal"/>
      <w:suff w:val="nothing"/>
      <w:lvlText w:val="%1、"/>
      <w:lvlJc w:val="left"/>
    </w:lvl>
  </w:abstractNum>
  <w:abstractNum w:abstractNumId="1">
    <w:nsid w:val="5392089B"/>
    <w:multiLevelType w:val="singleLevel"/>
    <w:tmpl w:val="5392089B"/>
    <w:lvl w:ilvl="0" w:tentative="0">
      <w:start w:val="2"/>
      <w:numFmt w:val="decimal"/>
      <w:suff w:val="nothing"/>
      <w:lvlText w:val="（%1）"/>
      <w:lvlJc w:val="left"/>
    </w:lvl>
  </w:abstractNum>
  <w:abstractNum w:abstractNumId="2">
    <w:nsid w:val="77922B6B"/>
    <w:multiLevelType w:val="singleLevel"/>
    <w:tmpl w:val="77922B6B"/>
    <w:lvl w:ilvl="0" w:tentative="0">
      <w:start w:val="1"/>
      <w:numFmt w:val="decimal"/>
      <w:pStyle w:val="22"/>
      <w:lvlText w:val="%1."/>
      <w:lvlJc w:val="left"/>
      <w:pPr>
        <w:tabs>
          <w:tab w:val="left" w:pos="2040"/>
        </w:tabs>
        <w:ind w:left="2040" w:hanging="360"/>
      </w:pPr>
    </w:lvl>
  </w:abstractNum>
  <w:abstractNum w:abstractNumId="3">
    <w:nsid w:val="79B0E49D"/>
    <w:multiLevelType w:val="singleLevel"/>
    <w:tmpl w:val="79B0E49D"/>
    <w:lvl w:ilvl="0" w:tentative="0">
      <w:start w:val="2"/>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kMGE1NzMzMzVhY2M4MDY0NjlmM2VjMzFiN2NlZjc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51BC"/>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4452"/>
    <w:rsid w:val="000F6DA1"/>
    <w:rsid w:val="000F701B"/>
    <w:rsid w:val="001056A0"/>
    <w:rsid w:val="00115279"/>
    <w:rsid w:val="00117459"/>
    <w:rsid w:val="0011749A"/>
    <w:rsid w:val="00121F9A"/>
    <w:rsid w:val="00127A68"/>
    <w:rsid w:val="00140B13"/>
    <w:rsid w:val="00141B68"/>
    <w:rsid w:val="001466DA"/>
    <w:rsid w:val="00154DE1"/>
    <w:rsid w:val="00155B40"/>
    <w:rsid w:val="00156958"/>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6E0"/>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1948"/>
    <w:rsid w:val="003B152A"/>
    <w:rsid w:val="003B545B"/>
    <w:rsid w:val="003D1CBF"/>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C088A"/>
    <w:rsid w:val="005C6ADC"/>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3AC"/>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65527"/>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02F7"/>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4172"/>
    <w:rsid w:val="00AB1914"/>
    <w:rsid w:val="00AB5330"/>
    <w:rsid w:val="00AB7747"/>
    <w:rsid w:val="00AC2532"/>
    <w:rsid w:val="00AD1507"/>
    <w:rsid w:val="00AD5A70"/>
    <w:rsid w:val="00AD738B"/>
    <w:rsid w:val="00AE1BF4"/>
    <w:rsid w:val="00AE5D97"/>
    <w:rsid w:val="00AE6794"/>
    <w:rsid w:val="00AF1302"/>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2A72"/>
    <w:rsid w:val="00B63522"/>
    <w:rsid w:val="00B76F1D"/>
    <w:rsid w:val="00B92A19"/>
    <w:rsid w:val="00B9544C"/>
    <w:rsid w:val="00BA29E9"/>
    <w:rsid w:val="00BB3618"/>
    <w:rsid w:val="00BC0C9E"/>
    <w:rsid w:val="00BC32DC"/>
    <w:rsid w:val="00BD1B51"/>
    <w:rsid w:val="00BD47F6"/>
    <w:rsid w:val="00BE312D"/>
    <w:rsid w:val="00BE3FCA"/>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E1BD9"/>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9B6"/>
    <w:rsid w:val="00FA5CB6"/>
    <w:rsid w:val="00FC66AC"/>
    <w:rsid w:val="00FD18F4"/>
    <w:rsid w:val="00FD74B4"/>
    <w:rsid w:val="00FF6FCE"/>
    <w:rsid w:val="00FF7518"/>
    <w:rsid w:val="00FF7FD8"/>
    <w:rsid w:val="01003578"/>
    <w:rsid w:val="01156255"/>
    <w:rsid w:val="0132766E"/>
    <w:rsid w:val="014E0261"/>
    <w:rsid w:val="015772A4"/>
    <w:rsid w:val="01B6046E"/>
    <w:rsid w:val="01D05B3C"/>
    <w:rsid w:val="01E04744"/>
    <w:rsid w:val="01E46D89"/>
    <w:rsid w:val="023454E9"/>
    <w:rsid w:val="02391C28"/>
    <w:rsid w:val="023A5F04"/>
    <w:rsid w:val="024141DC"/>
    <w:rsid w:val="029B4694"/>
    <w:rsid w:val="02A33799"/>
    <w:rsid w:val="02AD78A2"/>
    <w:rsid w:val="02B726F0"/>
    <w:rsid w:val="02E37317"/>
    <w:rsid w:val="02F4124E"/>
    <w:rsid w:val="03190CB5"/>
    <w:rsid w:val="03463A74"/>
    <w:rsid w:val="0355468E"/>
    <w:rsid w:val="035B751F"/>
    <w:rsid w:val="03647E1C"/>
    <w:rsid w:val="0381685A"/>
    <w:rsid w:val="03817F97"/>
    <w:rsid w:val="038471D0"/>
    <w:rsid w:val="0391081A"/>
    <w:rsid w:val="03D90444"/>
    <w:rsid w:val="03E13881"/>
    <w:rsid w:val="04113AA1"/>
    <w:rsid w:val="04312CAE"/>
    <w:rsid w:val="0438182F"/>
    <w:rsid w:val="04495C44"/>
    <w:rsid w:val="044D2479"/>
    <w:rsid w:val="04504B8B"/>
    <w:rsid w:val="04637556"/>
    <w:rsid w:val="04662224"/>
    <w:rsid w:val="04780E37"/>
    <w:rsid w:val="04845EDE"/>
    <w:rsid w:val="04AB16E9"/>
    <w:rsid w:val="04C42EA2"/>
    <w:rsid w:val="04C80BEB"/>
    <w:rsid w:val="04F87635"/>
    <w:rsid w:val="05045CFA"/>
    <w:rsid w:val="052634B7"/>
    <w:rsid w:val="0543026B"/>
    <w:rsid w:val="05442000"/>
    <w:rsid w:val="0548762F"/>
    <w:rsid w:val="054B2F85"/>
    <w:rsid w:val="054B5371"/>
    <w:rsid w:val="05742AC8"/>
    <w:rsid w:val="059C4787"/>
    <w:rsid w:val="05F64AF8"/>
    <w:rsid w:val="0630252B"/>
    <w:rsid w:val="06352F05"/>
    <w:rsid w:val="063E7D85"/>
    <w:rsid w:val="06713AF5"/>
    <w:rsid w:val="067A322A"/>
    <w:rsid w:val="06A534B3"/>
    <w:rsid w:val="06DA1410"/>
    <w:rsid w:val="06F515DB"/>
    <w:rsid w:val="06FD5B4F"/>
    <w:rsid w:val="070875E0"/>
    <w:rsid w:val="071D4ED9"/>
    <w:rsid w:val="07212CC2"/>
    <w:rsid w:val="07293586"/>
    <w:rsid w:val="07295285"/>
    <w:rsid w:val="073B2C60"/>
    <w:rsid w:val="074B5D75"/>
    <w:rsid w:val="07563E19"/>
    <w:rsid w:val="075A01D6"/>
    <w:rsid w:val="07626357"/>
    <w:rsid w:val="07770C56"/>
    <w:rsid w:val="07D1069B"/>
    <w:rsid w:val="07D478A0"/>
    <w:rsid w:val="08114650"/>
    <w:rsid w:val="08266E61"/>
    <w:rsid w:val="08351248"/>
    <w:rsid w:val="085628C1"/>
    <w:rsid w:val="08601134"/>
    <w:rsid w:val="087E7461"/>
    <w:rsid w:val="087F780C"/>
    <w:rsid w:val="0882554E"/>
    <w:rsid w:val="08881E16"/>
    <w:rsid w:val="08A90D2D"/>
    <w:rsid w:val="08C66AE9"/>
    <w:rsid w:val="08F16230"/>
    <w:rsid w:val="08FB789F"/>
    <w:rsid w:val="09156C07"/>
    <w:rsid w:val="092217DD"/>
    <w:rsid w:val="092C1016"/>
    <w:rsid w:val="093305F6"/>
    <w:rsid w:val="093A7294"/>
    <w:rsid w:val="096A7F1D"/>
    <w:rsid w:val="09A55CE3"/>
    <w:rsid w:val="09B80B68"/>
    <w:rsid w:val="09C37A6B"/>
    <w:rsid w:val="09CB6A81"/>
    <w:rsid w:val="09F83408"/>
    <w:rsid w:val="0A0106F5"/>
    <w:rsid w:val="0A1422FC"/>
    <w:rsid w:val="0A292A16"/>
    <w:rsid w:val="0A424F95"/>
    <w:rsid w:val="0A474359"/>
    <w:rsid w:val="0A6369B9"/>
    <w:rsid w:val="0A924BFB"/>
    <w:rsid w:val="0A927AFF"/>
    <w:rsid w:val="0AA34E41"/>
    <w:rsid w:val="0AD33E3F"/>
    <w:rsid w:val="0B42116F"/>
    <w:rsid w:val="0B68456E"/>
    <w:rsid w:val="0B7348DB"/>
    <w:rsid w:val="0BA80B22"/>
    <w:rsid w:val="0BD27BF6"/>
    <w:rsid w:val="0C0B7609"/>
    <w:rsid w:val="0C167EB5"/>
    <w:rsid w:val="0C2869E9"/>
    <w:rsid w:val="0C345EE6"/>
    <w:rsid w:val="0C360B29"/>
    <w:rsid w:val="0C62366D"/>
    <w:rsid w:val="0C83460C"/>
    <w:rsid w:val="0C845D75"/>
    <w:rsid w:val="0C914292"/>
    <w:rsid w:val="0CA830A9"/>
    <w:rsid w:val="0CBD6B55"/>
    <w:rsid w:val="0D103128"/>
    <w:rsid w:val="0D3A117D"/>
    <w:rsid w:val="0D3A63F7"/>
    <w:rsid w:val="0D782A7C"/>
    <w:rsid w:val="0DCC7C75"/>
    <w:rsid w:val="0DE66DEE"/>
    <w:rsid w:val="0DEE4D74"/>
    <w:rsid w:val="0E110D06"/>
    <w:rsid w:val="0E377A47"/>
    <w:rsid w:val="0E43752E"/>
    <w:rsid w:val="0E540297"/>
    <w:rsid w:val="0ED01438"/>
    <w:rsid w:val="0F0C5B71"/>
    <w:rsid w:val="0F13775A"/>
    <w:rsid w:val="0F160DD4"/>
    <w:rsid w:val="0F237224"/>
    <w:rsid w:val="0F5B2655"/>
    <w:rsid w:val="0F7F5C63"/>
    <w:rsid w:val="0F80423E"/>
    <w:rsid w:val="0F930041"/>
    <w:rsid w:val="0F9A112B"/>
    <w:rsid w:val="0F9B1709"/>
    <w:rsid w:val="0FAB0DB8"/>
    <w:rsid w:val="0FDD12BC"/>
    <w:rsid w:val="0FED59A3"/>
    <w:rsid w:val="10645128"/>
    <w:rsid w:val="106D2F64"/>
    <w:rsid w:val="108266D6"/>
    <w:rsid w:val="10B63710"/>
    <w:rsid w:val="10C77FA2"/>
    <w:rsid w:val="10CE5900"/>
    <w:rsid w:val="111C2F7A"/>
    <w:rsid w:val="113013DE"/>
    <w:rsid w:val="115B2212"/>
    <w:rsid w:val="11743B94"/>
    <w:rsid w:val="118C4D48"/>
    <w:rsid w:val="11A42091"/>
    <w:rsid w:val="11FA43A7"/>
    <w:rsid w:val="122B06C2"/>
    <w:rsid w:val="1262090D"/>
    <w:rsid w:val="12707054"/>
    <w:rsid w:val="12A95ADA"/>
    <w:rsid w:val="12E249C2"/>
    <w:rsid w:val="12EE0C10"/>
    <w:rsid w:val="13552062"/>
    <w:rsid w:val="13951726"/>
    <w:rsid w:val="139879D4"/>
    <w:rsid w:val="139974F1"/>
    <w:rsid w:val="13C046CB"/>
    <w:rsid w:val="13DC08F3"/>
    <w:rsid w:val="14027543"/>
    <w:rsid w:val="142A603A"/>
    <w:rsid w:val="14396509"/>
    <w:rsid w:val="1447165C"/>
    <w:rsid w:val="144D1713"/>
    <w:rsid w:val="144E2BD1"/>
    <w:rsid w:val="14665D24"/>
    <w:rsid w:val="14996598"/>
    <w:rsid w:val="149F62FB"/>
    <w:rsid w:val="14AB6B9F"/>
    <w:rsid w:val="14C2372B"/>
    <w:rsid w:val="15227E9D"/>
    <w:rsid w:val="15235F67"/>
    <w:rsid w:val="152C49FC"/>
    <w:rsid w:val="156B5510"/>
    <w:rsid w:val="15980DB5"/>
    <w:rsid w:val="15A334C0"/>
    <w:rsid w:val="15A62A20"/>
    <w:rsid w:val="15A87CC5"/>
    <w:rsid w:val="15AD0685"/>
    <w:rsid w:val="15B33CFB"/>
    <w:rsid w:val="15DD2F83"/>
    <w:rsid w:val="15E87EC0"/>
    <w:rsid w:val="160475A2"/>
    <w:rsid w:val="16090291"/>
    <w:rsid w:val="161063F4"/>
    <w:rsid w:val="1624772B"/>
    <w:rsid w:val="164D6109"/>
    <w:rsid w:val="16583205"/>
    <w:rsid w:val="16691AFB"/>
    <w:rsid w:val="16876E28"/>
    <w:rsid w:val="16B91B9C"/>
    <w:rsid w:val="16C42DFC"/>
    <w:rsid w:val="172A3039"/>
    <w:rsid w:val="17714319"/>
    <w:rsid w:val="17735226"/>
    <w:rsid w:val="177C79D8"/>
    <w:rsid w:val="1795187C"/>
    <w:rsid w:val="17CA5BFA"/>
    <w:rsid w:val="18024008"/>
    <w:rsid w:val="181F5AD8"/>
    <w:rsid w:val="184D5C83"/>
    <w:rsid w:val="18634390"/>
    <w:rsid w:val="189701E7"/>
    <w:rsid w:val="18CE1CF7"/>
    <w:rsid w:val="18D47700"/>
    <w:rsid w:val="18E13BCB"/>
    <w:rsid w:val="18E31223"/>
    <w:rsid w:val="18F338FE"/>
    <w:rsid w:val="18FF60F3"/>
    <w:rsid w:val="191A70DD"/>
    <w:rsid w:val="19362169"/>
    <w:rsid w:val="19614BB7"/>
    <w:rsid w:val="19706291"/>
    <w:rsid w:val="198B076F"/>
    <w:rsid w:val="19C92FDD"/>
    <w:rsid w:val="19E716B5"/>
    <w:rsid w:val="19E85E48"/>
    <w:rsid w:val="19F62DCC"/>
    <w:rsid w:val="19F93466"/>
    <w:rsid w:val="1A057D8D"/>
    <w:rsid w:val="1A1C66C0"/>
    <w:rsid w:val="1A206975"/>
    <w:rsid w:val="1A42393B"/>
    <w:rsid w:val="1A616FE2"/>
    <w:rsid w:val="1A6836E2"/>
    <w:rsid w:val="1AD75285"/>
    <w:rsid w:val="1B043BA1"/>
    <w:rsid w:val="1B046F80"/>
    <w:rsid w:val="1B0F5566"/>
    <w:rsid w:val="1B210CC4"/>
    <w:rsid w:val="1B3267B5"/>
    <w:rsid w:val="1B361D6F"/>
    <w:rsid w:val="1B5B2910"/>
    <w:rsid w:val="1B6D1E4F"/>
    <w:rsid w:val="1B90339C"/>
    <w:rsid w:val="1BA01A42"/>
    <w:rsid w:val="1BBD09CD"/>
    <w:rsid w:val="1BC25DC8"/>
    <w:rsid w:val="1BD75223"/>
    <w:rsid w:val="1C1F5136"/>
    <w:rsid w:val="1C31563E"/>
    <w:rsid w:val="1C5E7925"/>
    <w:rsid w:val="1C887FC8"/>
    <w:rsid w:val="1C970128"/>
    <w:rsid w:val="1CF55E97"/>
    <w:rsid w:val="1D1E3197"/>
    <w:rsid w:val="1D560930"/>
    <w:rsid w:val="1D5F6196"/>
    <w:rsid w:val="1D6132A5"/>
    <w:rsid w:val="1D617603"/>
    <w:rsid w:val="1D8E56D5"/>
    <w:rsid w:val="1DB96EC4"/>
    <w:rsid w:val="1DD47948"/>
    <w:rsid w:val="1DD57814"/>
    <w:rsid w:val="1DE86C3A"/>
    <w:rsid w:val="1DF223D6"/>
    <w:rsid w:val="1E2A6014"/>
    <w:rsid w:val="1E547359"/>
    <w:rsid w:val="1E7A43DA"/>
    <w:rsid w:val="1E8F7828"/>
    <w:rsid w:val="1EB277FE"/>
    <w:rsid w:val="1EC37BCD"/>
    <w:rsid w:val="1EEF691D"/>
    <w:rsid w:val="1EF34658"/>
    <w:rsid w:val="1EF47EF6"/>
    <w:rsid w:val="1F212F73"/>
    <w:rsid w:val="1F226CEB"/>
    <w:rsid w:val="1F247119"/>
    <w:rsid w:val="1F394904"/>
    <w:rsid w:val="1F4153C3"/>
    <w:rsid w:val="1F545AF1"/>
    <w:rsid w:val="1F853096"/>
    <w:rsid w:val="1F960D36"/>
    <w:rsid w:val="1F993E68"/>
    <w:rsid w:val="1FB936D8"/>
    <w:rsid w:val="1FC57DA2"/>
    <w:rsid w:val="1FCD6C57"/>
    <w:rsid w:val="1FE7539E"/>
    <w:rsid w:val="20114855"/>
    <w:rsid w:val="20396983"/>
    <w:rsid w:val="206F41B2"/>
    <w:rsid w:val="209459C7"/>
    <w:rsid w:val="20963CB8"/>
    <w:rsid w:val="209730FC"/>
    <w:rsid w:val="2099383D"/>
    <w:rsid w:val="20B07FB6"/>
    <w:rsid w:val="20B73DE5"/>
    <w:rsid w:val="20C938C2"/>
    <w:rsid w:val="20D17D63"/>
    <w:rsid w:val="20E31D16"/>
    <w:rsid w:val="210C1A01"/>
    <w:rsid w:val="213B74B1"/>
    <w:rsid w:val="214B671C"/>
    <w:rsid w:val="215A2310"/>
    <w:rsid w:val="215C0087"/>
    <w:rsid w:val="21B532A3"/>
    <w:rsid w:val="21DE318A"/>
    <w:rsid w:val="21E57700"/>
    <w:rsid w:val="21EF5B80"/>
    <w:rsid w:val="220A7126"/>
    <w:rsid w:val="22576990"/>
    <w:rsid w:val="225C2514"/>
    <w:rsid w:val="225D0766"/>
    <w:rsid w:val="2287729B"/>
    <w:rsid w:val="229C4EAB"/>
    <w:rsid w:val="22B83BEE"/>
    <w:rsid w:val="22C2681B"/>
    <w:rsid w:val="22D12F02"/>
    <w:rsid w:val="22DD3655"/>
    <w:rsid w:val="22DF34C5"/>
    <w:rsid w:val="232F19D7"/>
    <w:rsid w:val="23404C0D"/>
    <w:rsid w:val="236B0C61"/>
    <w:rsid w:val="23C61427"/>
    <w:rsid w:val="23CE7536"/>
    <w:rsid w:val="23E44858"/>
    <w:rsid w:val="23E80503"/>
    <w:rsid w:val="23F5369C"/>
    <w:rsid w:val="23F63D46"/>
    <w:rsid w:val="23F64217"/>
    <w:rsid w:val="242E63EE"/>
    <w:rsid w:val="24352C2F"/>
    <w:rsid w:val="245D2BEE"/>
    <w:rsid w:val="24705167"/>
    <w:rsid w:val="24A05689"/>
    <w:rsid w:val="24C33CAC"/>
    <w:rsid w:val="252D53FE"/>
    <w:rsid w:val="253C6E05"/>
    <w:rsid w:val="25535E50"/>
    <w:rsid w:val="25772217"/>
    <w:rsid w:val="258A211F"/>
    <w:rsid w:val="259F4BF2"/>
    <w:rsid w:val="25EC2D81"/>
    <w:rsid w:val="260E1D77"/>
    <w:rsid w:val="264528BD"/>
    <w:rsid w:val="264A42D6"/>
    <w:rsid w:val="265A03D0"/>
    <w:rsid w:val="265C7550"/>
    <w:rsid w:val="266C349F"/>
    <w:rsid w:val="26F64CE5"/>
    <w:rsid w:val="26FC6074"/>
    <w:rsid w:val="274C2B57"/>
    <w:rsid w:val="2767173F"/>
    <w:rsid w:val="27B34984"/>
    <w:rsid w:val="27B4239A"/>
    <w:rsid w:val="27B84691"/>
    <w:rsid w:val="27BA57E9"/>
    <w:rsid w:val="27C846D2"/>
    <w:rsid w:val="27D15DD1"/>
    <w:rsid w:val="27D9565E"/>
    <w:rsid w:val="27EA13CE"/>
    <w:rsid w:val="28196BC9"/>
    <w:rsid w:val="282A68D2"/>
    <w:rsid w:val="28417B1C"/>
    <w:rsid w:val="285F2D5E"/>
    <w:rsid w:val="287D4E13"/>
    <w:rsid w:val="288325A9"/>
    <w:rsid w:val="28A76295"/>
    <w:rsid w:val="28B20331"/>
    <w:rsid w:val="28C54A49"/>
    <w:rsid w:val="29206EB8"/>
    <w:rsid w:val="29210AC9"/>
    <w:rsid w:val="29323329"/>
    <w:rsid w:val="29422895"/>
    <w:rsid w:val="296B659A"/>
    <w:rsid w:val="29A529F3"/>
    <w:rsid w:val="29BF5C1F"/>
    <w:rsid w:val="29E325E0"/>
    <w:rsid w:val="29E32983"/>
    <w:rsid w:val="2A1A6392"/>
    <w:rsid w:val="2A452503"/>
    <w:rsid w:val="2A4E308A"/>
    <w:rsid w:val="2A64465C"/>
    <w:rsid w:val="2A7E2A3F"/>
    <w:rsid w:val="2A936534"/>
    <w:rsid w:val="2AB77B2F"/>
    <w:rsid w:val="2ACF7D27"/>
    <w:rsid w:val="2AFF058C"/>
    <w:rsid w:val="2B1413ED"/>
    <w:rsid w:val="2B18626E"/>
    <w:rsid w:val="2B5621F6"/>
    <w:rsid w:val="2B6B39DB"/>
    <w:rsid w:val="2B7933F9"/>
    <w:rsid w:val="2B8F0C83"/>
    <w:rsid w:val="2B9E57A0"/>
    <w:rsid w:val="2BA87DFF"/>
    <w:rsid w:val="2BA936A8"/>
    <w:rsid w:val="2BBA196F"/>
    <w:rsid w:val="2BDC0994"/>
    <w:rsid w:val="2BF4116F"/>
    <w:rsid w:val="2BF73439"/>
    <w:rsid w:val="2C01411F"/>
    <w:rsid w:val="2C206454"/>
    <w:rsid w:val="2C315A5A"/>
    <w:rsid w:val="2C695F59"/>
    <w:rsid w:val="2CAB47C4"/>
    <w:rsid w:val="2CAD08BA"/>
    <w:rsid w:val="2CDB7A41"/>
    <w:rsid w:val="2D3B63D4"/>
    <w:rsid w:val="2D8429E2"/>
    <w:rsid w:val="2D9E56F5"/>
    <w:rsid w:val="2DA53720"/>
    <w:rsid w:val="2DD163DE"/>
    <w:rsid w:val="2E085E21"/>
    <w:rsid w:val="2E282F1D"/>
    <w:rsid w:val="2E522C7B"/>
    <w:rsid w:val="2E5F2E29"/>
    <w:rsid w:val="2E661D8A"/>
    <w:rsid w:val="2E667F96"/>
    <w:rsid w:val="2E7B1F74"/>
    <w:rsid w:val="2E7D2364"/>
    <w:rsid w:val="2E81758A"/>
    <w:rsid w:val="2E8226AB"/>
    <w:rsid w:val="2E883856"/>
    <w:rsid w:val="2E970A8B"/>
    <w:rsid w:val="2EA10CF5"/>
    <w:rsid w:val="2EC93975"/>
    <w:rsid w:val="2ECF7033"/>
    <w:rsid w:val="2EDB0345"/>
    <w:rsid w:val="2EF85338"/>
    <w:rsid w:val="2F4D56BE"/>
    <w:rsid w:val="2F77273B"/>
    <w:rsid w:val="2F832C79"/>
    <w:rsid w:val="2FC17A18"/>
    <w:rsid w:val="2FCD4A51"/>
    <w:rsid w:val="2FEF2D58"/>
    <w:rsid w:val="2FF75719"/>
    <w:rsid w:val="30361CDB"/>
    <w:rsid w:val="304265C5"/>
    <w:rsid w:val="30485980"/>
    <w:rsid w:val="30564A47"/>
    <w:rsid w:val="30580BC9"/>
    <w:rsid w:val="306879CB"/>
    <w:rsid w:val="3077395D"/>
    <w:rsid w:val="30F0481F"/>
    <w:rsid w:val="311C359A"/>
    <w:rsid w:val="311E2ED7"/>
    <w:rsid w:val="313034EA"/>
    <w:rsid w:val="31523460"/>
    <w:rsid w:val="315C449C"/>
    <w:rsid w:val="31741628"/>
    <w:rsid w:val="31856B75"/>
    <w:rsid w:val="318B13F4"/>
    <w:rsid w:val="31AD1AB4"/>
    <w:rsid w:val="31B71D48"/>
    <w:rsid w:val="31B82709"/>
    <w:rsid w:val="32026530"/>
    <w:rsid w:val="321367FB"/>
    <w:rsid w:val="323B3EF4"/>
    <w:rsid w:val="32400B34"/>
    <w:rsid w:val="32455065"/>
    <w:rsid w:val="326162E8"/>
    <w:rsid w:val="328533C1"/>
    <w:rsid w:val="32867865"/>
    <w:rsid w:val="329E6876"/>
    <w:rsid w:val="32B62650"/>
    <w:rsid w:val="32D22AAA"/>
    <w:rsid w:val="32D85702"/>
    <w:rsid w:val="32F1110E"/>
    <w:rsid w:val="3333250D"/>
    <w:rsid w:val="337771AE"/>
    <w:rsid w:val="339C1D47"/>
    <w:rsid w:val="33BB3804"/>
    <w:rsid w:val="33BC49A9"/>
    <w:rsid w:val="33D934D4"/>
    <w:rsid w:val="33FE2F6A"/>
    <w:rsid w:val="3401780C"/>
    <w:rsid w:val="3404045B"/>
    <w:rsid w:val="341C539C"/>
    <w:rsid w:val="346516FC"/>
    <w:rsid w:val="34877216"/>
    <w:rsid w:val="35083C52"/>
    <w:rsid w:val="35241264"/>
    <w:rsid w:val="35346831"/>
    <w:rsid w:val="353C245D"/>
    <w:rsid w:val="353E661C"/>
    <w:rsid w:val="355359F9"/>
    <w:rsid w:val="35A07E31"/>
    <w:rsid w:val="35A22455"/>
    <w:rsid w:val="35B95832"/>
    <w:rsid w:val="36074A7F"/>
    <w:rsid w:val="363040A3"/>
    <w:rsid w:val="363475D8"/>
    <w:rsid w:val="364C66D0"/>
    <w:rsid w:val="36883480"/>
    <w:rsid w:val="368F2A60"/>
    <w:rsid w:val="36923549"/>
    <w:rsid w:val="36B107E6"/>
    <w:rsid w:val="36B75FBF"/>
    <w:rsid w:val="36BB450C"/>
    <w:rsid w:val="36BE732B"/>
    <w:rsid w:val="36C06A28"/>
    <w:rsid w:val="36E25B0D"/>
    <w:rsid w:val="36FB4891"/>
    <w:rsid w:val="37093512"/>
    <w:rsid w:val="370B7894"/>
    <w:rsid w:val="371429F4"/>
    <w:rsid w:val="37166CDE"/>
    <w:rsid w:val="371F44C8"/>
    <w:rsid w:val="374421D7"/>
    <w:rsid w:val="375241BA"/>
    <w:rsid w:val="37713349"/>
    <w:rsid w:val="377D4BAD"/>
    <w:rsid w:val="37854CAC"/>
    <w:rsid w:val="37A62A66"/>
    <w:rsid w:val="37B95FE7"/>
    <w:rsid w:val="37C624B2"/>
    <w:rsid w:val="37C66804"/>
    <w:rsid w:val="37F71118"/>
    <w:rsid w:val="381C2F73"/>
    <w:rsid w:val="38311074"/>
    <w:rsid w:val="38704421"/>
    <w:rsid w:val="38763ED8"/>
    <w:rsid w:val="388F612E"/>
    <w:rsid w:val="38A269BB"/>
    <w:rsid w:val="38A74542"/>
    <w:rsid w:val="38BC622E"/>
    <w:rsid w:val="38C071F6"/>
    <w:rsid w:val="38F12CD3"/>
    <w:rsid w:val="38F94775"/>
    <w:rsid w:val="392971ED"/>
    <w:rsid w:val="393D67A4"/>
    <w:rsid w:val="396C3DA5"/>
    <w:rsid w:val="397C7FA0"/>
    <w:rsid w:val="39A23BE9"/>
    <w:rsid w:val="39B354DE"/>
    <w:rsid w:val="39D204D9"/>
    <w:rsid w:val="39D87645"/>
    <w:rsid w:val="39E81284"/>
    <w:rsid w:val="3A1F511E"/>
    <w:rsid w:val="3A3C4CAD"/>
    <w:rsid w:val="3A5B3385"/>
    <w:rsid w:val="3A7E52C6"/>
    <w:rsid w:val="3A890439"/>
    <w:rsid w:val="3A9E7C72"/>
    <w:rsid w:val="3AB17449"/>
    <w:rsid w:val="3AC345F5"/>
    <w:rsid w:val="3AD04B46"/>
    <w:rsid w:val="3B0E1F65"/>
    <w:rsid w:val="3B22546F"/>
    <w:rsid w:val="3B3763D1"/>
    <w:rsid w:val="3B6919E9"/>
    <w:rsid w:val="3B800B35"/>
    <w:rsid w:val="3BC10059"/>
    <w:rsid w:val="3C277297"/>
    <w:rsid w:val="3C3B024A"/>
    <w:rsid w:val="3CBD64C5"/>
    <w:rsid w:val="3CDA245A"/>
    <w:rsid w:val="3CE37954"/>
    <w:rsid w:val="3CE80FD1"/>
    <w:rsid w:val="3CEE0A37"/>
    <w:rsid w:val="3D18582A"/>
    <w:rsid w:val="3D285718"/>
    <w:rsid w:val="3D474095"/>
    <w:rsid w:val="3D5D28F2"/>
    <w:rsid w:val="3D5E4F3B"/>
    <w:rsid w:val="3D6150B1"/>
    <w:rsid w:val="3D62684B"/>
    <w:rsid w:val="3DC04111"/>
    <w:rsid w:val="3DE14523"/>
    <w:rsid w:val="3DF33CF8"/>
    <w:rsid w:val="3DF9531D"/>
    <w:rsid w:val="3E0B6E71"/>
    <w:rsid w:val="3E531AFC"/>
    <w:rsid w:val="3E5C76CC"/>
    <w:rsid w:val="3E6C3D87"/>
    <w:rsid w:val="3E78202C"/>
    <w:rsid w:val="3E7D66E2"/>
    <w:rsid w:val="3EA012CB"/>
    <w:rsid w:val="3EB70307"/>
    <w:rsid w:val="3EE004CF"/>
    <w:rsid w:val="3F220916"/>
    <w:rsid w:val="3F2A5E51"/>
    <w:rsid w:val="3F4107B0"/>
    <w:rsid w:val="3F660E74"/>
    <w:rsid w:val="3F7C275B"/>
    <w:rsid w:val="3F80388E"/>
    <w:rsid w:val="3F8A5D66"/>
    <w:rsid w:val="3FA470A3"/>
    <w:rsid w:val="3FC92B3F"/>
    <w:rsid w:val="3FDB0AC5"/>
    <w:rsid w:val="3FDB3094"/>
    <w:rsid w:val="3FE5175B"/>
    <w:rsid w:val="3FF70C4A"/>
    <w:rsid w:val="400918B9"/>
    <w:rsid w:val="401B60BB"/>
    <w:rsid w:val="406E36E7"/>
    <w:rsid w:val="407A6407"/>
    <w:rsid w:val="40BF4B5A"/>
    <w:rsid w:val="40C00471"/>
    <w:rsid w:val="40C81049"/>
    <w:rsid w:val="40D906DE"/>
    <w:rsid w:val="40FE7496"/>
    <w:rsid w:val="41166258"/>
    <w:rsid w:val="41894C7C"/>
    <w:rsid w:val="41991C2E"/>
    <w:rsid w:val="41AC096A"/>
    <w:rsid w:val="41C25FDC"/>
    <w:rsid w:val="41D13F2D"/>
    <w:rsid w:val="41EE7D86"/>
    <w:rsid w:val="42071797"/>
    <w:rsid w:val="420B0645"/>
    <w:rsid w:val="422A4671"/>
    <w:rsid w:val="423A3BCC"/>
    <w:rsid w:val="424C36A7"/>
    <w:rsid w:val="42650319"/>
    <w:rsid w:val="42660B19"/>
    <w:rsid w:val="42914FB7"/>
    <w:rsid w:val="43090DD5"/>
    <w:rsid w:val="431B5DA8"/>
    <w:rsid w:val="432804C5"/>
    <w:rsid w:val="433107D0"/>
    <w:rsid w:val="433A6FE6"/>
    <w:rsid w:val="4350713C"/>
    <w:rsid w:val="436653E0"/>
    <w:rsid w:val="43963680"/>
    <w:rsid w:val="43BA68D5"/>
    <w:rsid w:val="43E92DBA"/>
    <w:rsid w:val="440E12B2"/>
    <w:rsid w:val="441647C1"/>
    <w:rsid w:val="442B2FF1"/>
    <w:rsid w:val="444105AC"/>
    <w:rsid w:val="446566D5"/>
    <w:rsid w:val="44AC627A"/>
    <w:rsid w:val="44C47D79"/>
    <w:rsid w:val="44CD14E0"/>
    <w:rsid w:val="44ED72D0"/>
    <w:rsid w:val="4508235C"/>
    <w:rsid w:val="450C26B9"/>
    <w:rsid w:val="45162C42"/>
    <w:rsid w:val="451C265D"/>
    <w:rsid w:val="45255CFA"/>
    <w:rsid w:val="45554E75"/>
    <w:rsid w:val="45772D5B"/>
    <w:rsid w:val="458807CF"/>
    <w:rsid w:val="458946E9"/>
    <w:rsid w:val="45A516C2"/>
    <w:rsid w:val="45B6362B"/>
    <w:rsid w:val="45C953D5"/>
    <w:rsid w:val="45D67D64"/>
    <w:rsid w:val="45EA6C2F"/>
    <w:rsid w:val="46123AEA"/>
    <w:rsid w:val="462D1ED1"/>
    <w:rsid w:val="466B7950"/>
    <w:rsid w:val="4674757D"/>
    <w:rsid w:val="467D28D5"/>
    <w:rsid w:val="468A0B4E"/>
    <w:rsid w:val="46A47888"/>
    <w:rsid w:val="46B67127"/>
    <w:rsid w:val="46BC032A"/>
    <w:rsid w:val="46CB1230"/>
    <w:rsid w:val="46D955A7"/>
    <w:rsid w:val="46ED47E4"/>
    <w:rsid w:val="470E5445"/>
    <w:rsid w:val="47133957"/>
    <w:rsid w:val="47274635"/>
    <w:rsid w:val="4734113F"/>
    <w:rsid w:val="474B2EBC"/>
    <w:rsid w:val="47752FE9"/>
    <w:rsid w:val="4779329E"/>
    <w:rsid w:val="47802144"/>
    <w:rsid w:val="47803504"/>
    <w:rsid w:val="479B74B7"/>
    <w:rsid w:val="47A07E0C"/>
    <w:rsid w:val="47A76A77"/>
    <w:rsid w:val="47E1440E"/>
    <w:rsid w:val="482F2C92"/>
    <w:rsid w:val="48533A54"/>
    <w:rsid w:val="4870272E"/>
    <w:rsid w:val="48845CDA"/>
    <w:rsid w:val="48DA3628"/>
    <w:rsid w:val="48DB38E3"/>
    <w:rsid w:val="48EC3D42"/>
    <w:rsid w:val="48F13107"/>
    <w:rsid w:val="490F7AD2"/>
    <w:rsid w:val="49115557"/>
    <w:rsid w:val="4921579A"/>
    <w:rsid w:val="49305713"/>
    <w:rsid w:val="494C78F7"/>
    <w:rsid w:val="49971F00"/>
    <w:rsid w:val="49CF5145"/>
    <w:rsid w:val="49DB288D"/>
    <w:rsid w:val="49DC7715"/>
    <w:rsid w:val="49FC1D63"/>
    <w:rsid w:val="4A023139"/>
    <w:rsid w:val="4A1F6E09"/>
    <w:rsid w:val="4A396B13"/>
    <w:rsid w:val="4A3B288C"/>
    <w:rsid w:val="4A79723B"/>
    <w:rsid w:val="4A7B576F"/>
    <w:rsid w:val="4A8806A7"/>
    <w:rsid w:val="4A8C4C16"/>
    <w:rsid w:val="4AA10275"/>
    <w:rsid w:val="4B02460A"/>
    <w:rsid w:val="4B1C090F"/>
    <w:rsid w:val="4B647BC0"/>
    <w:rsid w:val="4B763C68"/>
    <w:rsid w:val="4BA6525A"/>
    <w:rsid w:val="4BBE0F22"/>
    <w:rsid w:val="4BC845F3"/>
    <w:rsid w:val="4BC93EC7"/>
    <w:rsid w:val="4C111E3E"/>
    <w:rsid w:val="4C2812DC"/>
    <w:rsid w:val="4C3C0B3D"/>
    <w:rsid w:val="4C433ACD"/>
    <w:rsid w:val="4C4A0649"/>
    <w:rsid w:val="4C4E7F9D"/>
    <w:rsid w:val="4C6267F5"/>
    <w:rsid w:val="4C6274D1"/>
    <w:rsid w:val="4C6360CA"/>
    <w:rsid w:val="4C907D37"/>
    <w:rsid w:val="4CB54F90"/>
    <w:rsid w:val="4CB640AB"/>
    <w:rsid w:val="4CD53240"/>
    <w:rsid w:val="4CE470D3"/>
    <w:rsid w:val="4CF17B79"/>
    <w:rsid w:val="4CFC46E3"/>
    <w:rsid w:val="4D1722F5"/>
    <w:rsid w:val="4D1F46CD"/>
    <w:rsid w:val="4D6245D3"/>
    <w:rsid w:val="4D6D60D4"/>
    <w:rsid w:val="4DA7089B"/>
    <w:rsid w:val="4DBB7062"/>
    <w:rsid w:val="4DEC4FB0"/>
    <w:rsid w:val="4DF348E0"/>
    <w:rsid w:val="4E075D8A"/>
    <w:rsid w:val="4E0B6A19"/>
    <w:rsid w:val="4E555EE6"/>
    <w:rsid w:val="4E564138"/>
    <w:rsid w:val="4E85297D"/>
    <w:rsid w:val="4E8F13F8"/>
    <w:rsid w:val="4EA74993"/>
    <w:rsid w:val="4EEE16C0"/>
    <w:rsid w:val="4F041DE6"/>
    <w:rsid w:val="4F116D1C"/>
    <w:rsid w:val="4F9A1C45"/>
    <w:rsid w:val="4FBD1DC4"/>
    <w:rsid w:val="4FC62A8C"/>
    <w:rsid w:val="4FE20F0D"/>
    <w:rsid w:val="4FF15F2D"/>
    <w:rsid w:val="5019592F"/>
    <w:rsid w:val="501A68F5"/>
    <w:rsid w:val="50345083"/>
    <w:rsid w:val="5038136C"/>
    <w:rsid w:val="50504C4B"/>
    <w:rsid w:val="506C2D96"/>
    <w:rsid w:val="508F3931"/>
    <w:rsid w:val="509A7BC2"/>
    <w:rsid w:val="509C6E7C"/>
    <w:rsid w:val="50D47596"/>
    <w:rsid w:val="51004B59"/>
    <w:rsid w:val="51234079"/>
    <w:rsid w:val="5162104E"/>
    <w:rsid w:val="52065E07"/>
    <w:rsid w:val="526E74F8"/>
    <w:rsid w:val="527F7A20"/>
    <w:rsid w:val="52C36A6C"/>
    <w:rsid w:val="52D7336D"/>
    <w:rsid w:val="52DE64AA"/>
    <w:rsid w:val="52FF5081"/>
    <w:rsid w:val="53017FD5"/>
    <w:rsid w:val="535C4752"/>
    <w:rsid w:val="539078F0"/>
    <w:rsid w:val="53A039CC"/>
    <w:rsid w:val="53A1505A"/>
    <w:rsid w:val="53B278ED"/>
    <w:rsid w:val="53CE6ED3"/>
    <w:rsid w:val="53D333E6"/>
    <w:rsid w:val="53DE1A2D"/>
    <w:rsid w:val="54063E08"/>
    <w:rsid w:val="54091C4C"/>
    <w:rsid w:val="541B35D1"/>
    <w:rsid w:val="54296415"/>
    <w:rsid w:val="543437E8"/>
    <w:rsid w:val="54553489"/>
    <w:rsid w:val="54677396"/>
    <w:rsid w:val="549340F6"/>
    <w:rsid w:val="54B27180"/>
    <w:rsid w:val="54B971CF"/>
    <w:rsid w:val="54CA318A"/>
    <w:rsid w:val="54CC6D18"/>
    <w:rsid w:val="54CD67D6"/>
    <w:rsid w:val="54D20F81"/>
    <w:rsid w:val="54D264E2"/>
    <w:rsid w:val="54DB5397"/>
    <w:rsid w:val="54EC3DA0"/>
    <w:rsid w:val="54FC530D"/>
    <w:rsid w:val="54FC70BB"/>
    <w:rsid w:val="55252C52"/>
    <w:rsid w:val="55432865"/>
    <w:rsid w:val="55436A98"/>
    <w:rsid w:val="555111B5"/>
    <w:rsid w:val="557129AD"/>
    <w:rsid w:val="559B174B"/>
    <w:rsid w:val="55CD3175"/>
    <w:rsid w:val="55CE0A58"/>
    <w:rsid w:val="55CE0CF4"/>
    <w:rsid w:val="55F56B29"/>
    <w:rsid w:val="561306B8"/>
    <w:rsid w:val="565D1DDC"/>
    <w:rsid w:val="56847090"/>
    <w:rsid w:val="56B22A9C"/>
    <w:rsid w:val="56FF2D86"/>
    <w:rsid w:val="5714319B"/>
    <w:rsid w:val="575C2093"/>
    <w:rsid w:val="57621D18"/>
    <w:rsid w:val="579D0B84"/>
    <w:rsid w:val="57A2422F"/>
    <w:rsid w:val="57B10631"/>
    <w:rsid w:val="57B72A76"/>
    <w:rsid w:val="57CF6D09"/>
    <w:rsid w:val="57D6310C"/>
    <w:rsid w:val="57D65A9A"/>
    <w:rsid w:val="57E75F0A"/>
    <w:rsid w:val="581632B9"/>
    <w:rsid w:val="583848AE"/>
    <w:rsid w:val="58496430"/>
    <w:rsid w:val="58567246"/>
    <w:rsid w:val="58767185"/>
    <w:rsid w:val="58916EC2"/>
    <w:rsid w:val="589F66DB"/>
    <w:rsid w:val="58C44394"/>
    <w:rsid w:val="58D2085F"/>
    <w:rsid w:val="58DD073C"/>
    <w:rsid w:val="58EC0427"/>
    <w:rsid w:val="591206B2"/>
    <w:rsid w:val="592E34C2"/>
    <w:rsid w:val="59576D46"/>
    <w:rsid w:val="597638E0"/>
    <w:rsid w:val="59944019"/>
    <w:rsid w:val="59C5733D"/>
    <w:rsid w:val="5A3314F1"/>
    <w:rsid w:val="5A3B6FB9"/>
    <w:rsid w:val="5A3C747D"/>
    <w:rsid w:val="5A4320CB"/>
    <w:rsid w:val="5A625C12"/>
    <w:rsid w:val="5A690D83"/>
    <w:rsid w:val="5A8423E0"/>
    <w:rsid w:val="5A9D2E35"/>
    <w:rsid w:val="5ABE2233"/>
    <w:rsid w:val="5AC276B4"/>
    <w:rsid w:val="5AEA56F9"/>
    <w:rsid w:val="5B0305D2"/>
    <w:rsid w:val="5B155AC1"/>
    <w:rsid w:val="5B276D18"/>
    <w:rsid w:val="5B407AD6"/>
    <w:rsid w:val="5B6A2FD1"/>
    <w:rsid w:val="5B6C2231"/>
    <w:rsid w:val="5BA95099"/>
    <w:rsid w:val="5BCB451C"/>
    <w:rsid w:val="5BDF5D95"/>
    <w:rsid w:val="5BFB168A"/>
    <w:rsid w:val="5C127E96"/>
    <w:rsid w:val="5C317F92"/>
    <w:rsid w:val="5C3458D3"/>
    <w:rsid w:val="5C37035E"/>
    <w:rsid w:val="5C433D09"/>
    <w:rsid w:val="5C483EAE"/>
    <w:rsid w:val="5C621A51"/>
    <w:rsid w:val="5C7A2F45"/>
    <w:rsid w:val="5CA249EC"/>
    <w:rsid w:val="5CF54B1C"/>
    <w:rsid w:val="5D17113C"/>
    <w:rsid w:val="5D1C02FB"/>
    <w:rsid w:val="5D485594"/>
    <w:rsid w:val="5D7D0F83"/>
    <w:rsid w:val="5DBC388C"/>
    <w:rsid w:val="5DF87A0F"/>
    <w:rsid w:val="5E212600"/>
    <w:rsid w:val="5E227B93"/>
    <w:rsid w:val="5E5804E7"/>
    <w:rsid w:val="5E697B64"/>
    <w:rsid w:val="5E960581"/>
    <w:rsid w:val="5EC0466B"/>
    <w:rsid w:val="5F1A2B43"/>
    <w:rsid w:val="5F4D50E3"/>
    <w:rsid w:val="5FB837BB"/>
    <w:rsid w:val="5FC31D92"/>
    <w:rsid w:val="5FC66252"/>
    <w:rsid w:val="5FD53876"/>
    <w:rsid w:val="5FDD558A"/>
    <w:rsid w:val="5FE64BF0"/>
    <w:rsid w:val="600B430E"/>
    <w:rsid w:val="60285F52"/>
    <w:rsid w:val="606F67AA"/>
    <w:rsid w:val="60772E49"/>
    <w:rsid w:val="607B480C"/>
    <w:rsid w:val="60C969EB"/>
    <w:rsid w:val="60D419BC"/>
    <w:rsid w:val="610F7FCD"/>
    <w:rsid w:val="6120497C"/>
    <w:rsid w:val="61346FA8"/>
    <w:rsid w:val="61454EB6"/>
    <w:rsid w:val="61535A56"/>
    <w:rsid w:val="61572249"/>
    <w:rsid w:val="616679B4"/>
    <w:rsid w:val="61681EB9"/>
    <w:rsid w:val="61803A80"/>
    <w:rsid w:val="61B77AEA"/>
    <w:rsid w:val="61DE64C6"/>
    <w:rsid w:val="61FC35C5"/>
    <w:rsid w:val="621C783B"/>
    <w:rsid w:val="6225218E"/>
    <w:rsid w:val="62364782"/>
    <w:rsid w:val="627961EF"/>
    <w:rsid w:val="62931040"/>
    <w:rsid w:val="629D0130"/>
    <w:rsid w:val="62C00BB0"/>
    <w:rsid w:val="63094592"/>
    <w:rsid w:val="63137F51"/>
    <w:rsid w:val="631643EE"/>
    <w:rsid w:val="63424833"/>
    <w:rsid w:val="634459A9"/>
    <w:rsid w:val="6381388C"/>
    <w:rsid w:val="63844E4C"/>
    <w:rsid w:val="638D0016"/>
    <w:rsid w:val="6391172E"/>
    <w:rsid w:val="63C9253A"/>
    <w:rsid w:val="63D40BE9"/>
    <w:rsid w:val="63DD455C"/>
    <w:rsid w:val="63DE5EB2"/>
    <w:rsid w:val="63E0211F"/>
    <w:rsid w:val="641966A1"/>
    <w:rsid w:val="643669DB"/>
    <w:rsid w:val="64382254"/>
    <w:rsid w:val="645514C1"/>
    <w:rsid w:val="647C5B23"/>
    <w:rsid w:val="648C1D61"/>
    <w:rsid w:val="64986E00"/>
    <w:rsid w:val="649A50FE"/>
    <w:rsid w:val="64A5151D"/>
    <w:rsid w:val="64AA09DD"/>
    <w:rsid w:val="64C71494"/>
    <w:rsid w:val="652D78D7"/>
    <w:rsid w:val="65373578"/>
    <w:rsid w:val="65385EEE"/>
    <w:rsid w:val="658579E1"/>
    <w:rsid w:val="658642E4"/>
    <w:rsid w:val="65B650A2"/>
    <w:rsid w:val="65BD5220"/>
    <w:rsid w:val="65FF5A3E"/>
    <w:rsid w:val="660B13B2"/>
    <w:rsid w:val="661E2CB4"/>
    <w:rsid w:val="66237792"/>
    <w:rsid w:val="662C3B8C"/>
    <w:rsid w:val="66565FB4"/>
    <w:rsid w:val="669B4986"/>
    <w:rsid w:val="66CB74B4"/>
    <w:rsid w:val="66D11098"/>
    <w:rsid w:val="66EF1E6B"/>
    <w:rsid w:val="66EF4CD2"/>
    <w:rsid w:val="67185FD7"/>
    <w:rsid w:val="673F2C7A"/>
    <w:rsid w:val="67582877"/>
    <w:rsid w:val="679C3948"/>
    <w:rsid w:val="679E5954"/>
    <w:rsid w:val="67E73BFB"/>
    <w:rsid w:val="67EC1C9A"/>
    <w:rsid w:val="67FE20FD"/>
    <w:rsid w:val="67FF5BF2"/>
    <w:rsid w:val="681A7B2C"/>
    <w:rsid w:val="681F6961"/>
    <w:rsid w:val="68376930"/>
    <w:rsid w:val="685D7E35"/>
    <w:rsid w:val="68610A2F"/>
    <w:rsid w:val="68805514"/>
    <w:rsid w:val="68A67612"/>
    <w:rsid w:val="68BD6421"/>
    <w:rsid w:val="69335A4E"/>
    <w:rsid w:val="694E2071"/>
    <w:rsid w:val="69603C65"/>
    <w:rsid w:val="696E0130"/>
    <w:rsid w:val="69786B69"/>
    <w:rsid w:val="697A3B33"/>
    <w:rsid w:val="697B284D"/>
    <w:rsid w:val="697D0493"/>
    <w:rsid w:val="697D4817"/>
    <w:rsid w:val="699E2456"/>
    <w:rsid w:val="69AA370A"/>
    <w:rsid w:val="69C96B03"/>
    <w:rsid w:val="69CD762E"/>
    <w:rsid w:val="69DA13FE"/>
    <w:rsid w:val="69E36ACA"/>
    <w:rsid w:val="6A2B6A62"/>
    <w:rsid w:val="6AB53970"/>
    <w:rsid w:val="6AD820D3"/>
    <w:rsid w:val="6AF2584B"/>
    <w:rsid w:val="6AF80FBC"/>
    <w:rsid w:val="6AF91179"/>
    <w:rsid w:val="6AFA2BF3"/>
    <w:rsid w:val="6B053823"/>
    <w:rsid w:val="6B115CAC"/>
    <w:rsid w:val="6B322639"/>
    <w:rsid w:val="6B482C03"/>
    <w:rsid w:val="6B6C594C"/>
    <w:rsid w:val="6B6E08BB"/>
    <w:rsid w:val="6B873C2E"/>
    <w:rsid w:val="6BA8544F"/>
    <w:rsid w:val="6BC02799"/>
    <w:rsid w:val="6BC717CD"/>
    <w:rsid w:val="6BDF5315"/>
    <w:rsid w:val="6C335936"/>
    <w:rsid w:val="6C375961"/>
    <w:rsid w:val="6C636C38"/>
    <w:rsid w:val="6C985C47"/>
    <w:rsid w:val="6C9C6A8B"/>
    <w:rsid w:val="6CE64A52"/>
    <w:rsid w:val="6D042B59"/>
    <w:rsid w:val="6D747729"/>
    <w:rsid w:val="6D9F4EA6"/>
    <w:rsid w:val="6DB27B2D"/>
    <w:rsid w:val="6DB34098"/>
    <w:rsid w:val="6DB545B6"/>
    <w:rsid w:val="6E1A6AD8"/>
    <w:rsid w:val="6E4375A0"/>
    <w:rsid w:val="6E514CED"/>
    <w:rsid w:val="6E5755A8"/>
    <w:rsid w:val="6E79491A"/>
    <w:rsid w:val="6EB563D5"/>
    <w:rsid w:val="6EC802E2"/>
    <w:rsid w:val="6F225983"/>
    <w:rsid w:val="6F3A28DE"/>
    <w:rsid w:val="6F5A4CB2"/>
    <w:rsid w:val="6F7608CB"/>
    <w:rsid w:val="6F854425"/>
    <w:rsid w:val="6F8B2DA0"/>
    <w:rsid w:val="6FA15959"/>
    <w:rsid w:val="6FAE7790"/>
    <w:rsid w:val="6FE041D8"/>
    <w:rsid w:val="6FEF05BC"/>
    <w:rsid w:val="6FFC5590"/>
    <w:rsid w:val="70180D6C"/>
    <w:rsid w:val="70301DA3"/>
    <w:rsid w:val="70477581"/>
    <w:rsid w:val="704A2789"/>
    <w:rsid w:val="705C2137"/>
    <w:rsid w:val="70691651"/>
    <w:rsid w:val="706D1DD0"/>
    <w:rsid w:val="706E5C1D"/>
    <w:rsid w:val="70856B87"/>
    <w:rsid w:val="70892669"/>
    <w:rsid w:val="708E7F3B"/>
    <w:rsid w:val="709304A5"/>
    <w:rsid w:val="70C44AD9"/>
    <w:rsid w:val="70D527EE"/>
    <w:rsid w:val="71202DBA"/>
    <w:rsid w:val="71595467"/>
    <w:rsid w:val="715B5300"/>
    <w:rsid w:val="715F4BD7"/>
    <w:rsid w:val="7183205D"/>
    <w:rsid w:val="71887D54"/>
    <w:rsid w:val="71970440"/>
    <w:rsid w:val="71B903B6"/>
    <w:rsid w:val="71D27F8A"/>
    <w:rsid w:val="71F744C6"/>
    <w:rsid w:val="71F960CF"/>
    <w:rsid w:val="721C0443"/>
    <w:rsid w:val="72282783"/>
    <w:rsid w:val="72785B7B"/>
    <w:rsid w:val="72C830E4"/>
    <w:rsid w:val="72E27499"/>
    <w:rsid w:val="72F21F81"/>
    <w:rsid w:val="72F35B4A"/>
    <w:rsid w:val="72FC7489"/>
    <w:rsid w:val="73187C1F"/>
    <w:rsid w:val="731F5D5E"/>
    <w:rsid w:val="732F3510"/>
    <w:rsid w:val="73340BE0"/>
    <w:rsid w:val="733A0718"/>
    <w:rsid w:val="734F06CE"/>
    <w:rsid w:val="739632D3"/>
    <w:rsid w:val="739D0E6C"/>
    <w:rsid w:val="73A91215"/>
    <w:rsid w:val="741E793C"/>
    <w:rsid w:val="746B719D"/>
    <w:rsid w:val="749709C0"/>
    <w:rsid w:val="749B0CAB"/>
    <w:rsid w:val="74FB57D0"/>
    <w:rsid w:val="75400278"/>
    <w:rsid w:val="756A7FC2"/>
    <w:rsid w:val="75784795"/>
    <w:rsid w:val="758D75E2"/>
    <w:rsid w:val="75952703"/>
    <w:rsid w:val="759929D8"/>
    <w:rsid w:val="75F4331B"/>
    <w:rsid w:val="75F8542B"/>
    <w:rsid w:val="76340274"/>
    <w:rsid w:val="76352F26"/>
    <w:rsid w:val="76375666"/>
    <w:rsid w:val="766972D5"/>
    <w:rsid w:val="76FC2E7C"/>
    <w:rsid w:val="773A5684"/>
    <w:rsid w:val="77494C78"/>
    <w:rsid w:val="77762421"/>
    <w:rsid w:val="77826FF3"/>
    <w:rsid w:val="77AB0F0A"/>
    <w:rsid w:val="77AE0291"/>
    <w:rsid w:val="77CC1F57"/>
    <w:rsid w:val="77D60187"/>
    <w:rsid w:val="780F09F4"/>
    <w:rsid w:val="78270C11"/>
    <w:rsid w:val="785D13A7"/>
    <w:rsid w:val="78915B36"/>
    <w:rsid w:val="789C4F47"/>
    <w:rsid w:val="78A90480"/>
    <w:rsid w:val="78C338C8"/>
    <w:rsid w:val="78CA10FB"/>
    <w:rsid w:val="78DB354E"/>
    <w:rsid w:val="78E76AB7"/>
    <w:rsid w:val="78F0091A"/>
    <w:rsid w:val="79015DD7"/>
    <w:rsid w:val="790E032F"/>
    <w:rsid w:val="797D616D"/>
    <w:rsid w:val="79811327"/>
    <w:rsid w:val="7A364017"/>
    <w:rsid w:val="7A461F44"/>
    <w:rsid w:val="7A5A1877"/>
    <w:rsid w:val="7A625969"/>
    <w:rsid w:val="7A787FBD"/>
    <w:rsid w:val="7A7A1CD1"/>
    <w:rsid w:val="7A8265E1"/>
    <w:rsid w:val="7AC51B7A"/>
    <w:rsid w:val="7B000E04"/>
    <w:rsid w:val="7B191EC6"/>
    <w:rsid w:val="7B4553AE"/>
    <w:rsid w:val="7B4704B2"/>
    <w:rsid w:val="7B6438A3"/>
    <w:rsid w:val="7B686D42"/>
    <w:rsid w:val="7B841746"/>
    <w:rsid w:val="7B8C56A4"/>
    <w:rsid w:val="7B8E2DE1"/>
    <w:rsid w:val="7B9D7D8A"/>
    <w:rsid w:val="7BA15F11"/>
    <w:rsid w:val="7BED557B"/>
    <w:rsid w:val="7BFD3595"/>
    <w:rsid w:val="7C786876"/>
    <w:rsid w:val="7C9F22EA"/>
    <w:rsid w:val="7CB352B8"/>
    <w:rsid w:val="7CDF5BF7"/>
    <w:rsid w:val="7CF24797"/>
    <w:rsid w:val="7CF42F02"/>
    <w:rsid w:val="7D0239FF"/>
    <w:rsid w:val="7D2E4ED9"/>
    <w:rsid w:val="7D585D96"/>
    <w:rsid w:val="7D5E40CD"/>
    <w:rsid w:val="7D693BED"/>
    <w:rsid w:val="7D7907A2"/>
    <w:rsid w:val="7D7D498E"/>
    <w:rsid w:val="7D92366A"/>
    <w:rsid w:val="7D9D4081"/>
    <w:rsid w:val="7DA41F1A"/>
    <w:rsid w:val="7DB67EA0"/>
    <w:rsid w:val="7DDB691B"/>
    <w:rsid w:val="7DFA68BB"/>
    <w:rsid w:val="7E3B794C"/>
    <w:rsid w:val="7E3C65F7"/>
    <w:rsid w:val="7E5872E0"/>
    <w:rsid w:val="7E5919C6"/>
    <w:rsid w:val="7E75110A"/>
    <w:rsid w:val="7E862E6E"/>
    <w:rsid w:val="7E9C2B2A"/>
    <w:rsid w:val="7EC576BA"/>
    <w:rsid w:val="7ECA7315"/>
    <w:rsid w:val="7ED545F3"/>
    <w:rsid w:val="7EDE320A"/>
    <w:rsid w:val="7EF551C7"/>
    <w:rsid w:val="7EFA5DA2"/>
    <w:rsid w:val="7F0B0905"/>
    <w:rsid w:val="7F3A4CFC"/>
    <w:rsid w:val="7F5F340C"/>
    <w:rsid w:val="7F9B10FB"/>
    <w:rsid w:val="7FA93ADF"/>
    <w:rsid w:val="7FB15C63"/>
    <w:rsid w:val="7FBD2DA9"/>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ocked="1"/>
    <w:lsdException w:qFormat="1" w:unhideWhenUsed="0" w:uiPriority="0" w:semiHidden="0" w:name="heading 3" w:locked="1"/>
    <w:lsdException w:qFormat="1" w:uiPriority="9"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ocked="1"/>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ocked="1"/>
    <w:lsdException w:unhideWhenUsed="0" w:uiPriority="0" w:semiHidden="0" w:name="Closing"/>
    <w:lsdException w:qFormat="1" w:uiPriority="99" w:semiHidden="0" w:name="Signature"/>
    <w:lsdException w:qFormat="1" w:uiPriority="1"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99"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autoRedefine/>
    <w:unhideWhenUsed/>
    <w:qFormat/>
    <w:locked/>
    <w:uiPriority w:val="0"/>
    <w:pPr>
      <w:keepNext/>
      <w:keepLines/>
      <w:spacing w:before="260" w:after="260" w:line="416" w:lineRule="auto"/>
      <w:outlineLvl w:val="1"/>
    </w:pPr>
    <w:rPr>
      <w:rFonts w:ascii="等线 Light" w:hAnsi="等线 Light" w:eastAsia="等线 Light"/>
      <w:b/>
      <w:bCs/>
      <w:sz w:val="32"/>
      <w:szCs w:val="32"/>
    </w:rPr>
  </w:style>
  <w:style w:type="paragraph" w:styleId="6">
    <w:name w:val="heading 3"/>
    <w:basedOn w:val="1"/>
    <w:next w:val="1"/>
    <w:link w:val="48"/>
    <w:autoRedefine/>
    <w:qFormat/>
    <w:locked/>
    <w:uiPriority w:val="0"/>
    <w:pPr>
      <w:keepNext/>
      <w:keepLines/>
      <w:spacing w:before="260" w:after="260" w:line="413" w:lineRule="auto"/>
      <w:outlineLvl w:val="2"/>
    </w:pPr>
    <w:rPr>
      <w:b/>
      <w:sz w:val="32"/>
    </w:rPr>
  </w:style>
  <w:style w:type="paragraph" w:styleId="7">
    <w:name w:val="heading 4"/>
    <w:basedOn w:val="1"/>
    <w:next w:val="1"/>
    <w:unhideWhenUsed/>
    <w:qFormat/>
    <w:locked/>
    <w:uiPriority w:val="9"/>
    <w:pPr>
      <w:keepNext/>
      <w:keepLines/>
      <w:spacing w:before="280" w:after="290" w:line="372" w:lineRule="auto"/>
      <w:outlineLvl w:val="3"/>
    </w:pPr>
    <w:rPr>
      <w:rFonts w:ascii="Arial" w:hAnsi="Arial" w:eastAsia="黑体"/>
      <w:b/>
      <w:sz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7"/>
    <w:autoRedefine/>
    <w:qFormat/>
    <w:uiPriority w:val="0"/>
    <w:pPr>
      <w:widowControl/>
      <w:snapToGrid w:val="0"/>
      <w:spacing w:before="60" w:after="160" w:line="259" w:lineRule="auto"/>
      <w:ind w:right="113"/>
    </w:pPr>
    <w:rPr>
      <w:kern w:val="0"/>
      <w:sz w:val="18"/>
      <w:szCs w:val="18"/>
    </w:rPr>
  </w:style>
  <w:style w:type="paragraph" w:styleId="3">
    <w:name w:val="Body Text 2"/>
    <w:basedOn w:val="1"/>
    <w:autoRedefine/>
    <w:unhideWhenUsed/>
    <w:qFormat/>
    <w:uiPriority w:val="99"/>
    <w:pPr>
      <w:spacing w:after="120" w:line="480" w:lineRule="auto"/>
    </w:pPr>
  </w:style>
  <w:style w:type="paragraph" w:styleId="8">
    <w:name w:val="Normal Indent"/>
    <w:basedOn w:val="1"/>
    <w:next w:val="9"/>
    <w:autoRedefine/>
    <w:qFormat/>
    <w:uiPriority w:val="0"/>
    <w:pPr>
      <w:ind w:firstLine="420" w:firstLineChars="200"/>
    </w:pPr>
  </w:style>
  <w:style w:type="paragraph" w:customStyle="1" w:styleId="9">
    <w:name w:val="样式 正文文本 + 首行缩进:  2 字符"/>
    <w:autoRedefine/>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10">
    <w:name w:val="caption"/>
    <w:basedOn w:val="1"/>
    <w:next w:val="1"/>
    <w:autoRedefine/>
    <w:unhideWhenUsed/>
    <w:qFormat/>
    <w:locked/>
    <w:uiPriority w:val="35"/>
    <w:pPr>
      <w:jc w:val="center"/>
    </w:pPr>
    <w:rPr>
      <w:b/>
      <w:szCs w:val="20"/>
    </w:rPr>
  </w:style>
  <w:style w:type="paragraph" w:styleId="11">
    <w:name w:val="annotation text"/>
    <w:basedOn w:val="1"/>
    <w:link w:val="49"/>
    <w:autoRedefine/>
    <w:semiHidden/>
    <w:qFormat/>
    <w:uiPriority w:val="0"/>
    <w:pPr>
      <w:jc w:val="left"/>
    </w:pPr>
    <w:rPr>
      <w:kern w:val="0"/>
      <w:sz w:val="20"/>
    </w:rPr>
  </w:style>
  <w:style w:type="paragraph" w:styleId="12">
    <w:name w:val="Body Text 3"/>
    <w:basedOn w:val="1"/>
    <w:autoRedefine/>
    <w:qFormat/>
    <w:uiPriority w:val="99"/>
    <w:pPr>
      <w:spacing w:after="120" w:line="360" w:lineRule="auto"/>
    </w:pPr>
    <w:rPr>
      <w:sz w:val="16"/>
    </w:rPr>
  </w:style>
  <w:style w:type="paragraph" w:styleId="13">
    <w:name w:val="Body Text Indent"/>
    <w:basedOn w:val="1"/>
    <w:next w:val="14"/>
    <w:link w:val="46"/>
    <w:autoRedefine/>
    <w:semiHidden/>
    <w:qFormat/>
    <w:uiPriority w:val="0"/>
    <w:pPr>
      <w:spacing w:after="120"/>
      <w:ind w:left="420" w:leftChars="200"/>
    </w:pPr>
  </w:style>
  <w:style w:type="paragraph" w:styleId="14">
    <w:name w:val="Balloon Text"/>
    <w:basedOn w:val="1"/>
    <w:link w:val="51"/>
    <w:autoRedefine/>
    <w:semiHidden/>
    <w:qFormat/>
    <w:uiPriority w:val="0"/>
    <w:rPr>
      <w:sz w:val="18"/>
      <w:szCs w:val="18"/>
    </w:rPr>
  </w:style>
  <w:style w:type="paragraph" w:styleId="15">
    <w:name w:val="Plain Text"/>
    <w:basedOn w:val="1"/>
    <w:next w:val="16"/>
    <w:autoRedefine/>
    <w:qFormat/>
    <w:uiPriority w:val="0"/>
    <w:rPr>
      <w:rFonts w:ascii="宋体" w:hAnsi="Courier New" w:cs="Courier New"/>
      <w:szCs w:val="21"/>
    </w:rPr>
  </w:style>
  <w:style w:type="paragraph" w:styleId="16">
    <w:name w:val="Signature"/>
    <w:basedOn w:val="1"/>
    <w:autoRedefine/>
    <w:unhideWhenUsed/>
    <w:qFormat/>
    <w:uiPriority w:val="99"/>
    <w:pPr>
      <w:ind w:left="100" w:leftChars="2100"/>
    </w:pPr>
  </w:style>
  <w:style w:type="paragraph" w:styleId="17">
    <w:name w:val="Date"/>
    <w:basedOn w:val="1"/>
    <w:next w:val="1"/>
    <w:link w:val="50"/>
    <w:autoRedefine/>
    <w:qFormat/>
    <w:uiPriority w:val="0"/>
    <w:pPr>
      <w:ind w:left="100" w:leftChars="2500"/>
    </w:pPr>
    <w:rPr>
      <w:kern w:val="0"/>
      <w:sz w:val="20"/>
    </w:rPr>
  </w:style>
  <w:style w:type="paragraph" w:styleId="18">
    <w:name w:val="Body Text Indent 2"/>
    <w:basedOn w:val="1"/>
    <w:next w:val="1"/>
    <w:autoRedefine/>
    <w:unhideWhenUsed/>
    <w:qFormat/>
    <w:uiPriority w:val="99"/>
    <w:pPr>
      <w:spacing w:line="620" w:lineRule="exact"/>
      <w:ind w:firstLine="570"/>
    </w:pPr>
  </w:style>
  <w:style w:type="paragraph" w:styleId="19">
    <w:name w:val="footer"/>
    <w:basedOn w:val="1"/>
    <w:link w:val="52"/>
    <w:autoRedefine/>
    <w:qFormat/>
    <w:uiPriority w:val="0"/>
    <w:pPr>
      <w:tabs>
        <w:tab w:val="center" w:pos="4153"/>
        <w:tab w:val="right" w:pos="8306"/>
      </w:tabs>
      <w:snapToGrid w:val="0"/>
      <w:jc w:val="left"/>
    </w:pPr>
    <w:rPr>
      <w:sz w:val="18"/>
      <w:szCs w:val="18"/>
    </w:rPr>
  </w:style>
  <w:style w:type="paragraph" w:styleId="20">
    <w:name w:val="header"/>
    <w:basedOn w:val="1"/>
    <w:next w:val="1"/>
    <w:link w:val="53"/>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0"/>
  </w:style>
  <w:style w:type="paragraph" w:styleId="22">
    <w:name w:val="List Number 5"/>
    <w:basedOn w:val="1"/>
    <w:qFormat/>
    <w:uiPriority w:val="0"/>
    <w:pPr>
      <w:numPr>
        <w:ilvl w:val="0"/>
        <w:numId w:val="1"/>
      </w:numPr>
    </w:pPr>
  </w:style>
  <w:style w:type="paragraph" w:styleId="23">
    <w:name w:val="List"/>
    <w:basedOn w:val="1"/>
    <w:next w:val="1"/>
    <w:qFormat/>
    <w:uiPriority w:val="0"/>
    <w:pPr>
      <w:ind w:left="200" w:hanging="200" w:hangingChars="200"/>
    </w:pPr>
  </w:style>
  <w:style w:type="paragraph" w:styleId="24">
    <w:name w:val="table of figures"/>
    <w:basedOn w:val="1"/>
    <w:next w:val="1"/>
    <w:autoRedefine/>
    <w:qFormat/>
    <w:uiPriority w:val="99"/>
    <w:pPr>
      <w:ind w:left="200" w:leftChars="200" w:hanging="200" w:hangingChars="200"/>
    </w:pPr>
  </w:style>
  <w:style w:type="paragraph" w:styleId="25">
    <w:name w:val="toc 2"/>
    <w:basedOn w:val="1"/>
    <w:next w:val="1"/>
    <w:qFormat/>
    <w:locked/>
    <w:uiPriority w:val="0"/>
    <w:pPr>
      <w:ind w:left="420" w:leftChars="200"/>
    </w:pPr>
  </w:style>
  <w:style w:type="paragraph" w:styleId="2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7">
    <w:name w:val="Normal (Web)"/>
    <w:basedOn w:val="1"/>
    <w:link w:val="54"/>
    <w:autoRedefine/>
    <w:qFormat/>
    <w:uiPriority w:val="0"/>
    <w:pPr>
      <w:widowControl/>
      <w:spacing w:before="100" w:beforeAutospacing="1" w:after="100" w:afterAutospacing="1"/>
      <w:jc w:val="left"/>
    </w:pPr>
    <w:rPr>
      <w:rFonts w:ascii="宋体" w:hAnsi="宋体"/>
      <w:kern w:val="0"/>
      <w:sz w:val="24"/>
    </w:rPr>
  </w:style>
  <w:style w:type="paragraph" w:styleId="28">
    <w:name w:val="Title"/>
    <w:basedOn w:val="1"/>
    <w:next w:val="1"/>
    <w:autoRedefine/>
    <w:qFormat/>
    <w:locked/>
    <w:uiPriority w:val="0"/>
    <w:pPr>
      <w:spacing w:before="240" w:beforeLines="50" w:after="60" w:line="312" w:lineRule="auto"/>
      <w:ind w:firstLine="200" w:firstLineChars="200"/>
      <w:jc w:val="center"/>
      <w:textAlignment w:val="baseline"/>
      <w:outlineLvl w:val="0"/>
    </w:pPr>
    <w:rPr>
      <w:rFonts w:ascii="Arial" w:hAnsi="Arial" w:cs="Arial"/>
      <w:b/>
      <w:bCs/>
      <w:kern w:val="0"/>
      <w:sz w:val="32"/>
      <w:szCs w:val="32"/>
    </w:rPr>
  </w:style>
  <w:style w:type="paragraph" w:styleId="29">
    <w:name w:val="annotation subject"/>
    <w:basedOn w:val="11"/>
    <w:next w:val="11"/>
    <w:link w:val="55"/>
    <w:autoRedefine/>
    <w:semiHidden/>
    <w:qFormat/>
    <w:uiPriority w:val="0"/>
    <w:rPr>
      <w:b/>
      <w:bCs/>
    </w:rPr>
  </w:style>
  <w:style w:type="paragraph" w:styleId="30">
    <w:name w:val="Body Text First Indent"/>
    <w:basedOn w:val="2"/>
    <w:next w:val="1"/>
    <w:autoRedefine/>
    <w:qFormat/>
    <w:uiPriority w:val="0"/>
    <w:pPr>
      <w:ind w:firstLine="420" w:firstLineChars="100"/>
    </w:pPr>
  </w:style>
  <w:style w:type="paragraph" w:styleId="31">
    <w:name w:val="Body Text First Indent 2"/>
    <w:basedOn w:val="1"/>
    <w:next w:val="15"/>
    <w:autoRedefine/>
    <w:qFormat/>
    <w:uiPriority w:val="0"/>
    <w:pPr>
      <w:ind w:firstLine="420"/>
    </w:pPr>
    <w:rPr>
      <w:rFonts w:ascii="Calibri" w:hAnsi="Calibri"/>
      <w:szCs w:val="22"/>
    </w:rPr>
  </w:style>
  <w:style w:type="table" w:styleId="33">
    <w:name w:val="Table Grid"/>
    <w:basedOn w:val="3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locked/>
    <w:uiPriority w:val="0"/>
    <w:rPr>
      <w:b/>
    </w:rPr>
  </w:style>
  <w:style w:type="character" w:styleId="36">
    <w:name w:val="page number"/>
    <w:basedOn w:val="34"/>
    <w:autoRedefine/>
    <w:qFormat/>
    <w:uiPriority w:val="0"/>
  </w:style>
  <w:style w:type="character" w:styleId="37">
    <w:name w:val="Emphasis"/>
    <w:basedOn w:val="34"/>
    <w:autoRedefine/>
    <w:qFormat/>
    <w:locked/>
    <w:uiPriority w:val="0"/>
    <w:rPr>
      <w:i/>
    </w:rPr>
  </w:style>
  <w:style w:type="character" w:styleId="38">
    <w:name w:val="Hyperlink"/>
    <w:basedOn w:val="34"/>
    <w:autoRedefine/>
    <w:qFormat/>
    <w:uiPriority w:val="0"/>
    <w:rPr>
      <w:color w:val="0000FF"/>
      <w:u w:val="single"/>
    </w:rPr>
  </w:style>
  <w:style w:type="character" w:styleId="39">
    <w:name w:val="annotation reference"/>
    <w:basedOn w:val="34"/>
    <w:autoRedefine/>
    <w:semiHidden/>
    <w:qFormat/>
    <w:uiPriority w:val="0"/>
    <w:rPr>
      <w:sz w:val="21"/>
    </w:rPr>
  </w:style>
  <w:style w:type="paragraph" w:customStyle="1" w:styleId="40">
    <w:name w:val="Char"/>
    <w:next w:val="1"/>
    <w:autoRedefine/>
    <w:qFormat/>
    <w:uiPriority w:val="0"/>
    <w:pPr>
      <w:widowControl w:val="0"/>
      <w:overflowPunct w:val="0"/>
      <w:snapToGrid w:val="0"/>
      <w:spacing w:line="360" w:lineRule="auto"/>
      <w:ind w:firstLine="480" w:firstLineChars="200"/>
    </w:pPr>
    <w:rPr>
      <w:rFonts w:ascii="仿宋_GB2312" w:hAnsi="宋体" w:eastAsia="仿宋_GB2312" w:cs="Times New Roman"/>
      <w:sz w:val="24"/>
      <w:szCs w:val="24"/>
      <w:lang w:val="en-US" w:eastAsia="zh-CN" w:bidi="ar-SA"/>
    </w:rPr>
  </w:style>
  <w:style w:type="paragraph" w:customStyle="1" w:styleId="41">
    <w:name w:val="Default"/>
    <w:basedOn w:val="42"/>
    <w:next w:val="1"/>
    <w:autoRedefine/>
    <w:qFormat/>
    <w:uiPriority w:val="0"/>
    <w:pPr>
      <w:tabs>
        <w:tab w:val="left" w:pos="1845"/>
      </w:tabs>
      <w:autoSpaceDE w:val="0"/>
      <w:autoSpaceDN w:val="0"/>
      <w:adjustRightInd w:val="0"/>
    </w:pPr>
    <w:rPr>
      <w:rFonts w:ascii="宋体" w:cs="宋体"/>
      <w:color w:val="000000"/>
      <w:sz w:val="24"/>
    </w:rPr>
  </w:style>
  <w:style w:type="paragraph" w:customStyle="1" w:styleId="42">
    <w:name w:val="纯文本1"/>
    <w:basedOn w:val="1"/>
    <w:autoRedefine/>
    <w:qFormat/>
    <w:uiPriority w:val="0"/>
    <w:pPr>
      <w:tabs>
        <w:tab w:val="left" w:pos="1845"/>
      </w:tabs>
      <w:spacing w:line="240" w:lineRule="exact"/>
      <w:jc w:val="center"/>
    </w:pPr>
    <w:rPr>
      <w:sz w:val="18"/>
    </w:rPr>
  </w:style>
  <w:style w:type="paragraph" w:customStyle="1" w:styleId="43">
    <w:name w:val="1 表头"/>
    <w:basedOn w:val="1"/>
    <w:autoRedefine/>
    <w:qFormat/>
    <w:uiPriority w:val="0"/>
    <w:pPr>
      <w:adjustRightInd w:val="0"/>
      <w:snapToGrid w:val="0"/>
      <w:jc w:val="center"/>
    </w:pPr>
    <w:rPr>
      <w:b/>
      <w:color w:val="000000"/>
      <w:szCs w:val="21"/>
    </w:rPr>
  </w:style>
  <w:style w:type="paragraph" w:customStyle="1" w:styleId="44">
    <w:name w:val="表格内"/>
    <w:autoRedefine/>
    <w:qFormat/>
    <w:uiPriority w:val="0"/>
    <w:pPr>
      <w:autoSpaceDE w:val="0"/>
      <w:autoSpaceDN w:val="0"/>
      <w:adjustRightInd w:val="0"/>
      <w:snapToGrid w:val="0"/>
      <w:spacing w:after="200" w:line="360" w:lineRule="exact"/>
      <w:jc w:val="center"/>
    </w:pPr>
    <w:rPr>
      <w:rFonts w:ascii="宋体" w:hAnsi="宋体" w:eastAsia="微软雅黑" w:cs="宋体"/>
      <w:snapToGrid w:val="0"/>
      <w:sz w:val="22"/>
      <w:szCs w:val="21"/>
      <w:lang w:val="en-US" w:eastAsia="en-US" w:bidi="ar-SA"/>
    </w:rPr>
  </w:style>
  <w:style w:type="paragraph" w:customStyle="1" w:styleId="45">
    <w:name w:val="样式5"/>
    <w:basedOn w:val="8"/>
    <w:autoRedefine/>
    <w:qFormat/>
    <w:uiPriority w:val="0"/>
    <w:pPr>
      <w:tabs>
        <w:tab w:val="left" w:pos="840"/>
      </w:tabs>
      <w:spacing w:line="380" w:lineRule="exact"/>
      <w:ind w:firstLine="566" w:firstLineChars="202"/>
    </w:pPr>
    <w:rPr>
      <w:rFonts w:eastAsia="华文行楷"/>
      <w:sz w:val="28"/>
    </w:rPr>
  </w:style>
  <w:style w:type="character" w:customStyle="1" w:styleId="46">
    <w:name w:val="正文文本缩进 字符"/>
    <w:basedOn w:val="34"/>
    <w:link w:val="13"/>
    <w:autoRedefine/>
    <w:semiHidden/>
    <w:qFormat/>
    <w:locked/>
    <w:uiPriority w:val="0"/>
    <w:rPr>
      <w:rFonts w:ascii="Times New Roman" w:hAnsi="Times New Roman" w:eastAsia="宋体" w:cs="Times New Roman"/>
      <w:sz w:val="24"/>
      <w:szCs w:val="24"/>
    </w:rPr>
  </w:style>
  <w:style w:type="character" w:customStyle="1" w:styleId="47">
    <w:name w:val="正文文本 字符"/>
    <w:link w:val="2"/>
    <w:autoRedefine/>
    <w:qFormat/>
    <w:locked/>
    <w:uiPriority w:val="0"/>
    <w:rPr>
      <w:sz w:val="18"/>
    </w:rPr>
  </w:style>
  <w:style w:type="character" w:customStyle="1" w:styleId="48">
    <w:name w:val="标题 3 字符"/>
    <w:basedOn w:val="34"/>
    <w:link w:val="6"/>
    <w:autoRedefine/>
    <w:qFormat/>
    <w:uiPriority w:val="0"/>
    <w:rPr>
      <w:b/>
      <w:bCs/>
      <w:kern w:val="2"/>
      <w:sz w:val="32"/>
      <w:szCs w:val="32"/>
    </w:rPr>
  </w:style>
  <w:style w:type="character" w:customStyle="1" w:styleId="49">
    <w:name w:val="批注文字 字符"/>
    <w:link w:val="11"/>
    <w:autoRedefine/>
    <w:qFormat/>
    <w:locked/>
    <w:uiPriority w:val="0"/>
    <w:rPr>
      <w:rFonts w:ascii="Times New Roman" w:hAnsi="Times New Roman" w:eastAsia="宋体"/>
      <w:sz w:val="24"/>
    </w:rPr>
  </w:style>
  <w:style w:type="character" w:customStyle="1" w:styleId="50">
    <w:name w:val="日期 字符1"/>
    <w:link w:val="17"/>
    <w:autoRedefine/>
    <w:qFormat/>
    <w:locked/>
    <w:uiPriority w:val="0"/>
    <w:rPr>
      <w:rFonts w:ascii="Times New Roman" w:hAnsi="Times New Roman" w:eastAsia="宋体"/>
      <w:sz w:val="24"/>
    </w:rPr>
  </w:style>
  <w:style w:type="character" w:customStyle="1" w:styleId="51">
    <w:name w:val="批注框文本 字符"/>
    <w:basedOn w:val="34"/>
    <w:link w:val="14"/>
    <w:autoRedefine/>
    <w:semiHidden/>
    <w:qFormat/>
    <w:locked/>
    <w:uiPriority w:val="0"/>
    <w:rPr>
      <w:rFonts w:ascii="Times New Roman" w:hAnsi="Times New Roman" w:eastAsia="宋体" w:cs="Times New Roman"/>
      <w:sz w:val="18"/>
      <w:szCs w:val="18"/>
    </w:rPr>
  </w:style>
  <w:style w:type="character" w:customStyle="1" w:styleId="52">
    <w:name w:val="页脚 字符"/>
    <w:basedOn w:val="34"/>
    <w:link w:val="19"/>
    <w:autoRedefine/>
    <w:qFormat/>
    <w:locked/>
    <w:uiPriority w:val="0"/>
    <w:rPr>
      <w:rFonts w:cs="Times New Roman"/>
      <w:sz w:val="18"/>
      <w:szCs w:val="18"/>
    </w:rPr>
  </w:style>
  <w:style w:type="character" w:customStyle="1" w:styleId="53">
    <w:name w:val="页眉 字符"/>
    <w:basedOn w:val="34"/>
    <w:link w:val="20"/>
    <w:autoRedefine/>
    <w:qFormat/>
    <w:locked/>
    <w:uiPriority w:val="0"/>
    <w:rPr>
      <w:rFonts w:cs="Times New Roman"/>
      <w:sz w:val="18"/>
      <w:szCs w:val="18"/>
    </w:rPr>
  </w:style>
  <w:style w:type="character" w:customStyle="1" w:styleId="54">
    <w:name w:val="普通(网站) 字符"/>
    <w:link w:val="27"/>
    <w:autoRedefine/>
    <w:qFormat/>
    <w:locked/>
    <w:uiPriority w:val="0"/>
    <w:rPr>
      <w:rFonts w:ascii="宋体" w:hAnsi="宋体" w:eastAsia="宋体"/>
      <w:sz w:val="24"/>
    </w:rPr>
  </w:style>
  <w:style w:type="character" w:customStyle="1" w:styleId="55">
    <w:name w:val="批注主题 字符"/>
    <w:basedOn w:val="49"/>
    <w:link w:val="29"/>
    <w:autoRedefine/>
    <w:semiHidden/>
    <w:qFormat/>
    <w:locked/>
    <w:uiPriority w:val="0"/>
    <w:rPr>
      <w:rFonts w:ascii="Times New Roman" w:hAnsi="Times New Roman" w:eastAsia="宋体" w:cs="Times New Roman"/>
      <w:b/>
      <w:bCs/>
      <w:kern w:val="2"/>
      <w:sz w:val="24"/>
      <w:szCs w:val="24"/>
    </w:rPr>
  </w:style>
  <w:style w:type="character" w:customStyle="1" w:styleId="56">
    <w:name w:val="日期 字符"/>
    <w:basedOn w:val="34"/>
    <w:autoRedefine/>
    <w:semiHidden/>
    <w:qFormat/>
    <w:uiPriority w:val="0"/>
    <w:rPr>
      <w:rFonts w:ascii="Times New Roman" w:hAnsi="Times New Roman" w:eastAsia="宋体" w:cs="Times New Roman"/>
      <w:sz w:val="24"/>
      <w:szCs w:val="24"/>
    </w:rPr>
  </w:style>
  <w:style w:type="character" w:customStyle="1" w:styleId="57">
    <w:name w:val="正文文本 字符1"/>
    <w:basedOn w:val="34"/>
    <w:autoRedefine/>
    <w:semiHidden/>
    <w:qFormat/>
    <w:uiPriority w:val="0"/>
    <w:rPr>
      <w:rFonts w:ascii="Times New Roman" w:hAnsi="Times New Roman" w:eastAsia="宋体" w:cs="Times New Roman"/>
      <w:sz w:val="24"/>
      <w:szCs w:val="24"/>
    </w:rPr>
  </w:style>
  <w:style w:type="paragraph" w:customStyle="1" w:styleId="58">
    <w:name w:val="普通(网站)2"/>
    <w:basedOn w:val="1"/>
    <w:autoRedefine/>
    <w:qFormat/>
    <w:uiPriority w:val="0"/>
    <w:pPr>
      <w:widowControl/>
      <w:spacing w:before="100" w:beforeAutospacing="1" w:after="100" w:afterAutospacing="1"/>
      <w:jc w:val="left"/>
    </w:pPr>
    <w:rPr>
      <w:rFonts w:ascii="宋体" w:hAnsi="宋体"/>
      <w:sz w:val="24"/>
      <w:szCs w:val="20"/>
    </w:rPr>
  </w:style>
  <w:style w:type="character" w:customStyle="1" w:styleId="59">
    <w:name w:val="表格 Char"/>
    <w:link w:val="60"/>
    <w:autoRedefine/>
    <w:qFormat/>
    <w:locked/>
    <w:uiPriority w:val="0"/>
    <w:rPr>
      <w:rFonts w:ascii="宋体"/>
      <w:sz w:val="21"/>
    </w:rPr>
  </w:style>
  <w:style w:type="paragraph" w:customStyle="1" w:styleId="60">
    <w:name w:val="表格"/>
    <w:basedOn w:val="8"/>
    <w:next w:val="1"/>
    <w:link w:val="59"/>
    <w:autoRedefine/>
    <w:qFormat/>
    <w:uiPriority w:val="0"/>
    <w:pPr>
      <w:adjustRightInd w:val="0"/>
      <w:snapToGrid w:val="0"/>
      <w:spacing w:beforeLines="10" w:afterLines="10" w:line="259" w:lineRule="auto"/>
      <w:jc w:val="center"/>
    </w:pPr>
    <w:rPr>
      <w:rFonts w:ascii="宋体"/>
      <w:kern w:val="0"/>
      <w:sz w:val="20"/>
      <w:szCs w:val="21"/>
    </w:rPr>
  </w:style>
  <w:style w:type="character" w:customStyle="1" w:styleId="61">
    <w:name w:val="批注文字 字符1"/>
    <w:basedOn w:val="34"/>
    <w:autoRedefine/>
    <w:semiHidden/>
    <w:qFormat/>
    <w:uiPriority w:val="0"/>
    <w:rPr>
      <w:rFonts w:ascii="Times New Roman" w:hAnsi="Times New Roman" w:eastAsia="宋体" w:cs="Times New Roman"/>
      <w:sz w:val="24"/>
      <w:szCs w:val="24"/>
    </w:rPr>
  </w:style>
  <w:style w:type="character" w:customStyle="1" w:styleId="62">
    <w:name w:val="普通(网站) Char"/>
    <w:autoRedefine/>
    <w:qFormat/>
    <w:locked/>
    <w:uiPriority w:val="0"/>
    <w:rPr>
      <w:rFonts w:ascii="宋体" w:hAnsi="宋体" w:eastAsia="宋体"/>
      <w:sz w:val="24"/>
    </w:rPr>
  </w:style>
  <w:style w:type="paragraph" w:customStyle="1" w:styleId="63">
    <w:name w:val="Table Paragraph"/>
    <w:basedOn w:val="1"/>
    <w:autoRedefine/>
    <w:qFormat/>
    <w:uiPriority w:val="1"/>
    <w:pPr>
      <w:jc w:val="center"/>
    </w:pPr>
    <w:rPr>
      <w:rFonts w:ascii="宋体" w:hAnsi="宋体" w:cs="宋体"/>
    </w:rPr>
  </w:style>
  <w:style w:type="paragraph" w:customStyle="1" w:styleId="64">
    <w:name w:val="正文(首行缩进)"/>
    <w:basedOn w:val="1"/>
    <w:next w:val="1"/>
    <w:autoRedefine/>
    <w:semiHidden/>
    <w:qFormat/>
    <w:uiPriority w:val="0"/>
    <w:pPr>
      <w:spacing w:line="360" w:lineRule="auto"/>
      <w:ind w:firstLine="540" w:firstLineChars="225"/>
    </w:pPr>
    <w:rPr>
      <w:snapToGrid w:val="0"/>
      <w:color w:val="000000"/>
      <w:kern w:val="0"/>
      <w:sz w:val="24"/>
    </w:rPr>
  </w:style>
  <w:style w:type="paragraph" w:customStyle="1" w:styleId="65">
    <w:name w:val="表格文字"/>
    <w:basedOn w:val="1"/>
    <w:autoRedefine/>
    <w:qFormat/>
    <w:uiPriority w:val="0"/>
    <w:pPr>
      <w:adjustRightInd w:val="0"/>
      <w:spacing w:line="400" w:lineRule="exact"/>
      <w:jc w:val="center"/>
      <w:textAlignment w:val="baseline"/>
    </w:pPr>
    <w:rPr>
      <w:szCs w:val="21"/>
    </w:rPr>
  </w:style>
  <w:style w:type="paragraph" w:customStyle="1" w:styleId="66">
    <w:name w:val="正"/>
    <w:basedOn w:val="1"/>
    <w:autoRedefine/>
    <w:qFormat/>
    <w:uiPriority w:val="0"/>
    <w:pPr>
      <w:spacing w:line="360" w:lineRule="auto"/>
      <w:ind w:firstLine="200" w:firstLineChars="200"/>
    </w:pPr>
    <w:rPr>
      <w:kern w:val="0"/>
      <w:sz w:val="24"/>
      <w:szCs w:val="20"/>
    </w:rPr>
  </w:style>
  <w:style w:type="paragraph" w:customStyle="1" w:styleId="67">
    <w:name w:val="Heading2"/>
    <w:next w:val="1"/>
    <w:autoRedefine/>
    <w:qFormat/>
    <w:uiPriority w:val="0"/>
    <w:pPr>
      <w:keepNext/>
      <w:keepLines/>
      <w:widowControl w:val="0"/>
      <w:spacing w:before="260" w:after="260" w:line="416" w:lineRule="auto"/>
      <w:jc w:val="both"/>
    </w:pPr>
    <w:rPr>
      <w:rFonts w:ascii="Cambria" w:hAnsi="Cambria" w:eastAsia="宋体" w:cs="Times New Roman"/>
      <w:b/>
      <w:bCs/>
      <w:kern w:val="2"/>
      <w:sz w:val="32"/>
      <w:szCs w:val="32"/>
      <w:lang w:val="en-US" w:eastAsia="zh-CN" w:bidi="ar-SA"/>
    </w:rPr>
  </w:style>
  <w:style w:type="paragraph" w:customStyle="1" w:styleId="68">
    <w:name w:val="正文格式"/>
    <w:basedOn w:val="30"/>
    <w:autoRedefine/>
    <w:qFormat/>
    <w:uiPriority w:val="0"/>
    <w:pPr>
      <w:spacing w:after="0" w:line="360" w:lineRule="auto"/>
      <w:ind w:firstLine="200" w:firstLineChars="200"/>
      <w:jc w:val="left"/>
    </w:pPr>
    <w:rPr>
      <w:rFonts w:ascii="宋体"/>
      <w:bCs/>
      <w:color w:val="323232"/>
      <w:sz w:val="24"/>
      <w:szCs w:val="21"/>
      <w:lang w:val="zh-CN"/>
    </w:rPr>
  </w:style>
  <w:style w:type="paragraph" w:customStyle="1" w:styleId="69">
    <w:name w:val="BodyText1I2"/>
    <w:basedOn w:val="70"/>
    <w:autoRedefine/>
    <w:semiHidden/>
    <w:qFormat/>
    <w:uiPriority w:val="0"/>
    <w:pPr>
      <w:spacing w:line="560" w:lineRule="exact"/>
      <w:ind w:left="0" w:leftChars="0" w:firstLine="420" w:firstLineChars="200"/>
    </w:pPr>
    <w:rPr>
      <w:rFonts w:eastAsia="仿宋_GB2312"/>
      <w:sz w:val="32"/>
    </w:rPr>
  </w:style>
  <w:style w:type="paragraph" w:customStyle="1" w:styleId="70">
    <w:name w:val="BodyTextIndent"/>
    <w:basedOn w:val="1"/>
    <w:autoRedefine/>
    <w:semiHidden/>
    <w:qFormat/>
    <w:uiPriority w:val="0"/>
    <w:pPr>
      <w:ind w:left="420" w:leftChars="200"/>
      <w:textAlignment w:val="baseline"/>
    </w:pPr>
  </w:style>
  <w:style w:type="character" w:customStyle="1" w:styleId="71">
    <w:name w:val="font31"/>
    <w:basedOn w:val="34"/>
    <w:autoRedefine/>
    <w:qFormat/>
    <w:uiPriority w:val="0"/>
    <w:rPr>
      <w:rFonts w:hint="eastAsia" w:ascii="微软雅黑" w:hAnsi="微软雅黑" w:eastAsia="微软雅黑" w:cs="微软雅黑"/>
      <w:color w:val="000000"/>
      <w:sz w:val="22"/>
      <w:szCs w:val="22"/>
      <w:u w:val="none"/>
    </w:rPr>
  </w:style>
  <w:style w:type="character" w:customStyle="1" w:styleId="72">
    <w:name w:val="font51"/>
    <w:basedOn w:val="34"/>
    <w:autoRedefine/>
    <w:qFormat/>
    <w:uiPriority w:val="0"/>
    <w:rPr>
      <w:rFonts w:hint="default" w:ascii="Arial" w:hAnsi="Arial" w:cs="Arial"/>
      <w:color w:val="000000"/>
      <w:sz w:val="26"/>
      <w:szCs w:val="26"/>
      <w:u w:val="none"/>
    </w:rPr>
  </w:style>
  <w:style w:type="paragraph" w:customStyle="1" w:styleId="73">
    <w:name w:val="Other|1"/>
    <w:basedOn w:val="1"/>
    <w:autoRedefine/>
    <w:qFormat/>
    <w:uiPriority w:val="0"/>
    <w:pPr>
      <w:jc w:val="center"/>
    </w:pPr>
    <w:rPr>
      <w:rFonts w:ascii="宋体" w:hAnsi="宋体" w:cs="宋体"/>
      <w:lang w:val="zh-TW" w:eastAsia="zh-TW" w:bidi="zh-TW"/>
    </w:rPr>
  </w:style>
  <w:style w:type="paragraph" w:customStyle="1" w:styleId="74">
    <w:name w:val="Default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文本"/>
    <w:basedOn w:val="1"/>
    <w:autoRedefine/>
    <w:qFormat/>
    <w:uiPriority w:val="0"/>
    <w:pPr>
      <w:adjustRightInd w:val="0"/>
      <w:snapToGrid w:val="0"/>
      <w:spacing w:line="360" w:lineRule="auto"/>
      <w:ind w:firstLine="480" w:firstLineChars="200"/>
      <w:jc w:val="left"/>
    </w:pPr>
    <w:rPr>
      <w:sz w:val="24"/>
    </w:rPr>
  </w:style>
  <w:style w:type="paragraph" w:customStyle="1" w:styleId="76">
    <w:name w:val="TOC 31"/>
    <w:basedOn w:val="1"/>
    <w:next w:val="1"/>
    <w:autoRedefine/>
    <w:qFormat/>
    <w:uiPriority w:val="0"/>
    <w:pPr>
      <w:ind w:left="420"/>
    </w:pPr>
    <w:rPr>
      <w:i/>
    </w:rPr>
  </w:style>
  <w:style w:type="paragraph" w:customStyle="1" w:styleId="77">
    <w:name w:val="正文文本000"/>
    <w:basedOn w:val="1"/>
    <w:autoRedefine/>
    <w:qFormat/>
    <w:uiPriority w:val="0"/>
    <w:pPr>
      <w:widowControl/>
      <w:spacing w:line="360" w:lineRule="auto"/>
      <w:ind w:firstLine="560"/>
      <w:jc w:val="left"/>
    </w:pPr>
    <w:rPr>
      <w:rFonts w:hAnsi="宋体"/>
      <w:kern w:val="0"/>
      <w:sz w:val="28"/>
      <w:szCs w:val="28"/>
      <w:lang w:val="zh-CN"/>
    </w:rPr>
  </w:style>
  <w:style w:type="paragraph" w:customStyle="1" w:styleId="78">
    <w:name w:val="1-正文"/>
    <w:basedOn w:val="1"/>
    <w:autoRedefine/>
    <w:qFormat/>
    <w:uiPriority w:val="0"/>
    <w:pPr>
      <w:spacing w:line="360" w:lineRule="auto"/>
      <w:ind w:firstLine="200" w:firstLineChars="200"/>
    </w:pPr>
    <w:rPr>
      <w:sz w:val="24"/>
    </w:rPr>
  </w:style>
  <w:style w:type="paragraph" w:customStyle="1" w:styleId="79">
    <w:name w:val="样式 首行缩进:  2 字符1"/>
    <w:basedOn w:val="1"/>
    <w:autoRedefine/>
    <w:qFormat/>
    <w:uiPriority w:val="0"/>
    <w:pPr>
      <w:spacing w:before="120" w:line="400" w:lineRule="exact"/>
      <w:ind w:firstLine="200" w:firstLineChars="200"/>
    </w:pPr>
    <w:rPr>
      <w:rFonts w:ascii="宋体"/>
      <w:sz w:val="24"/>
      <w:szCs w:val="20"/>
    </w:rPr>
  </w:style>
  <w:style w:type="paragraph" w:styleId="80">
    <w:name w:val="List Paragraph"/>
    <w:basedOn w:val="1"/>
    <w:autoRedefine/>
    <w:unhideWhenUsed/>
    <w:qFormat/>
    <w:uiPriority w:val="99"/>
    <w:pPr>
      <w:ind w:firstLine="420"/>
    </w:pPr>
  </w:style>
  <w:style w:type="table" w:customStyle="1" w:styleId="81">
    <w:name w:val="Table Normal"/>
    <w:autoRedefine/>
    <w:unhideWhenUsed/>
    <w:qFormat/>
    <w:uiPriority w:val="0"/>
    <w:tblPr>
      <w:tblCellMar>
        <w:top w:w="0" w:type="dxa"/>
        <w:left w:w="0" w:type="dxa"/>
        <w:bottom w:w="0" w:type="dxa"/>
        <w:right w:w="0" w:type="dxa"/>
      </w:tblCellMar>
    </w:tblPr>
  </w:style>
  <w:style w:type="paragraph" w:customStyle="1" w:styleId="82">
    <w:name w:val="报告正文"/>
    <w:autoRedefine/>
    <w:qFormat/>
    <w:uiPriority w:val="0"/>
    <w:pPr>
      <w:spacing w:line="360" w:lineRule="auto"/>
      <w:ind w:firstLine="723" w:firstLineChars="200"/>
    </w:pPr>
    <w:rPr>
      <w:rFonts w:ascii="Times New Roman" w:hAnsi="Times New Roman" w:eastAsia="宋体" w:cs="宋体"/>
      <w:sz w:val="24"/>
      <w:szCs w:val="24"/>
      <w:lang w:val="en-US" w:eastAsia="zh-CN" w:bidi="ar-SA"/>
    </w:rPr>
  </w:style>
  <w:style w:type="paragraph" w:customStyle="1" w:styleId="83">
    <w:name w:val="6表头"/>
    <w:basedOn w:val="1"/>
    <w:autoRedefine/>
    <w:qFormat/>
    <w:uiPriority w:val="0"/>
    <w:pPr>
      <w:jc w:val="center"/>
    </w:pPr>
    <w:rPr>
      <w:rFonts w:cs="宋体"/>
      <w:b/>
      <w:szCs w:val="20"/>
    </w:rPr>
  </w:style>
  <w:style w:type="paragraph" w:customStyle="1" w:styleId="84">
    <w:name w:val="6表内文字 居中"/>
    <w:basedOn w:val="1"/>
    <w:autoRedefine/>
    <w:qFormat/>
    <w:uiPriority w:val="0"/>
    <w:pPr>
      <w:spacing w:line="240" w:lineRule="atLeast"/>
      <w:jc w:val="center"/>
      <w:textAlignment w:val="baseline"/>
    </w:pPr>
    <w:rPr>
      <w:snapToGrid w:val="0"/>
    </w:rPr>
  </w:style>
  <w:style w:type="paragraph" w:customStyle="1" w:styleId="85">
    <w:name w:val="0正文"/>
    <w:basedOn w:val="1"/>
    <w:autoRedefine/>
    <w:qFormat/>
    <w:uiPriority w:val="0"/>
    <w:pPr>
      <w:spacing w:line="360" w:lineRule="auto"/>
      <w:ind w:firstLine="480" w:firstLineChars="200"/>
    </w:pPr>
    <w:rPr>
      <w:rFonts w:cs="Calibri"/>
      <w:sz w:val="24"/>
      <w:szCs w:val="22"/>
    </w:rPr>
  </w:style>
  <w:style w:type="character" w:customStyle="1" w:styleId="86">
    <w:name w:val="font21"/>
    <w:basedOn w:val="34"/>
    <w:autoRedefine/>
    <w:qFormat/>
    <w:uiPriority w:val="0"/>
    <w:rPr>
      <w:rFonts w:ascii="宋体" w:hAnsi="宋体" w:eastAsia="宋体" w:cs="宋体"/>
      <w:color w:val="000000"/>
      <w:sz w:val="24"/>
      <w:szCs w:val="24"/>
      <w:u w:val="none"/>
    </w:rPr>
  </w:style>
  <w:style w:type="paragraph" w:customStyle="1" w:styleId="87">
    <w:name w:val="样式 正文缩进正文缩进2正文缩进 Char Char正文缩进 Char Char Char Char正文缩进 Char ..."/>
    <w:basedOn w:val="8"/>
    <w:autoRedefine/>
    <w:qFormat/>
    <w:uiPriority w:val="0"/>
    <w:pPr>
      <w:spacing w:line="360" w:lineRule="auto"/>
      <w:ind w:firstLine="200"/>
    </w:pPr>
    <w:rPr>
      <w:rFonts w:cs="宋体"/>
      <w:sz w:val="24"/>
    </w:rPr>
  </w:style>
  <w:style w:type="paragraph" w:customStyle="1" w:styleId="88">
    <w:name w:val="邓表格文字"/>
    <w:basedOn w:val="89"/>
    <w:autoRedefine/>
    <w:qFormat/>
    <w:uiPriority w:val="0"/>
    <w:pPr>
      <w:spacing w:line="220" w:lineRule="exact"/>
    </w:pPr>
    <w:rPr>
      <w:rFonts w:eastAsia="宋体"/>
      <w:kern w:val="0"/>
      <w:sz w:val="15"/>
      <w:szCs w:val="15"/>
    </w:rPr>
  </w:style>
  <w:style w:type="paragraph" w:customStyle="1" w:styleId="89">
    <w:name w:val="表格文字邓"/>
    <w:basedOn w:val="1"/>
    <w:autoRedefine/>
    <w:qFormat/>
    <w:uiPriority w:val="0"/>
    <w:pPr>
      <w:widowControl/>
      <w:snapToGrid w:val="0"/>
      <w:spacing w:line="200" w:lineRule="exact"/>
      <w:jc w:val="center"/>
    </w:pPr>
    <w:rPr>
      <w:rFonts w:ascii="宋体" w:hAnsi="宋体" w:eastAsia="华文中宋"/>
      <w:color w:val="000000"/>
      <w:sz w:val="18"/>
      <w:szCs w:val="18"/>
    </w:rPr>
  </w:style>
  <w:style w:type="paragraph" w:customStyle="1" w:styleId="90">
    <w:name w:val="WPSOffice手动目录 1"/>
    <w:qFormat/>
    <w:uiPriority w:val="0"/>
    <w:rPr>
      <w:rFonts w:ascii="Times New Roman" w:hAnsi="Times New Roman" w:eastAsia="宋体" w:cs="Times New Roman"/>
      <w:lang w:val="en-US" w:eastAsia="zh-CN" w:bidi="ar-SA"/>
    </w:rPr>
  </w:style>
  <w:style w:type="paragraph" w:customStyle="1" w:styleId="91">
    <w:name w:val="正文新"/>
    <w:basedOn w:val="1"/>
    <w:autoRedefine/>
    <w:qFormat/>
    <w:uiPriority w:val="0"/>
    <w:pPr>
      <w:spacing w:line="460" w:lineRule="exact"/>
      <w:ind w:firstLine="480" w:firstLineChars="200"/>
    </w:pPr>
    <w:rPr>
      <w:sz w:val="24"/>
    </w:rPr>
  </w:style>
  <w:style w:type="paragraph" w:customStyle="1" w:styleId="92">
    <w:name w:val="表格正文"/>
    <w:basedOn w:val="93"/>
    <w:autoRedefine/>
    <w:qFormat/>
    <w:uiPriority w:val="0"/>
    <w:pPr>
      <w:wordWrap w:val="0"/>
    </w:pPr>
  </w:style>
  <w:style w:type="paragraph" w:customStyle="1" w:styleId="93">
    <w:name w:val="表格标题"/>
    <w:basedOn w:val="94"/>
    <w:autoRedefine/>
    <w:qFormat/>
    <w:uiPriority w:val="0"/>
    <w:pPr>
      <w:spacing w:line="240" w:lineRule="auto"/>
      <w:ind w:firstLine="0" w:firstLineChars="0"/>
    </w:pPr>
    <w:rPr>
      <w:rFonts w:ascii="Times New Roman" w:hAnsi="Times New Roman" w:eastAsia="黑体" w:cs="Times New Roman"/>
      <w:sz w:val="21"/>
    </w:rPr>
  </w:style>
  <w:style w:type="paragraph" w:customStyle="1" w:styleId="94">
    <w:name w:val="表头"/>
    <w:basedOn w:val="8"/>
    <w:next w:val="1"/>
    <w:autoRedefine/>
    <w:qFormat/>
    <w:uiPriority w:val="0"/>
    <w:pPr>
      <w:widowControl/>
      <w:adjustRightInd w:val="0"/>
      <w:snapToGrid w:val="0"/>
      <w:spacing w:before="156" w:beforeLines="50" w:line="360" w:lineRule="auto"/>
      <w:jc w:val="center"/>
      <w:textAlignment w:val="baseline"/>
    </w:pPr>
    <w:rPr>
      <w:rFonts w:ascii="Arial" w:hAnsi="宋体" w:cs="Arial"/>
      <w:bCs/>
      <w:kern w:val="0"/>
      <w:sz w:val="24"/>
      <w:szCs w:val="21"/>
    </w:rPr>
  </w:style>
  <w:style w:type="paragraph" w:customStyle="1" w:styleId="95">
    <w:name w:val="环评正文"/>
    <w:basedOn w:val="1"/>
    <w:autoRedefine/>
    <w:qFormat/>
    <w:uiPriority w:val="0"/>
    <w:pPr>
      <w:autoSpaceDE w:val="0"/>
      <w:autoSpaceDN w:val="0"/>
      <w:adjustRightInd w:val="0"/>
      <w:snapToGrid w:val="0"/>
      <w:spacing w:line="360" w:lineRule="auto"/>
      <w:ind w:firstLine="200" w:firstLineChars="200"/>
    </w:pPr>
    <w:rPr>
      <w:rFonts w:cs="宋体"/>
      <w:kern w:val="0"/>
      <w:sz w:val="24"/>
      <w:szCs w:val="21"/>
    </w:rPr>
  </w:style>
  <w:style w:type="paragraph" w:customStyle="1" w:styleId="96">
    <w:name w:val="表格内容"/>
    <w:autoRedefine/>
    <w:qFormat/>
    <w:uiPriority w:val="0"/>
    <w:pPr>
      <w:keepNext/>
      <w:overflowPunct w:val="0"/>
      <w:adjustRightInd w:val="0"/>
      <w:jc w:val="center"/>
      <w:textAlignment w:val="baseline"/>
    </w:pPr>
    <w:rPr>
      <w:rFonts w:ascii="宋体" w:hAnsi="Arial" w:eastAsia="宋体" w:cs="Times New Roman"/>
      <w:sz w:val="24"/>
      <w:lang w:val="en-US" w:eastAsia="zh-CN" w:bidi="ar-SA"/>
    </w:rPr>
  </w:style>
  <w:style w:type="paragraph" w:customStyle="1" w:styleId="97">
    <w:name w:val="Table Text"/>
    <w:basedOn w:val="1"/>
    <w:semiHidden/>
    <w:qFormat/>
    <w:uiPriority w:val="0"/>
    <w:rPr>
      <w:rFonts w:ascii="宋体" w:hAnsi="宋体" w:cs="宋体"/>
      <w:sz w:val="24"/>
      <w:lang w:eastAsia="en-US"/>
    </w:rPr>
  </w:style>
  <w:style w:type="paragraph" w:customStyle="1" w:styleId="98">
    <w:name w:val="B正文"/>
    <w:basedOn w:val="1"/>
    <w:autoRedefine/>
    <w:qFormat/>
    <w:uiPriority w:val="0"/>
    <w:pPr>
      <w:widowControl/>
      <w:spacing w:line="360" w:lineRule="auto"/>
      <w:ind w:firstLine="200" w:firstLineChars="200"/>
      <w:jc w:val="left"/>
    </w:pPr>
    <w:rPr>
      <w:kern w:val="0"/>
      <w:sz w:val="24"/>
    </w:rPr>
  </w:style>
  <w:style w:type="paragraph" w:customStyle="1" w:styleId="99">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100">
    <w:name w:val="表格-0.1"/>
    <w:autoRedefine/>
    <w:qFormat/>
    <w:uiPriority w:val="0"/>
    <w:pPr>
      <w:ind w:left="-22" w:leftChars="-10" w:right="-22" w:rightChars="-10"/>
      <w:jc w:val="center"/>
    </w:pPr>
    <w:rPr>
      <w:rFonts w:ascii="Times New Roman" w:hAnsi="Times New Roman" w:eastAsia="宋体" w:cs="Times New Roman"/>
      <w:snapToGrid w:val="0"/>
      <w:sz w:val="21"/>
      <w:szCs w:val="21"/>
      <w:lang w:val="en-US" w:eastAsia="zh-CN" w:bidi="ar-SA"/>
    </w:rPr>
  </w:style>
  <w:style w:type="character" w:customStyle="1" w:styleId="101">
    <w:name w:val="font41"/>
    <w:basedOn w:val="34"/>
    <w:qFormat/>
    <w:uiPriority w:val="0"/>
    <w:rPr>
      <w:rFonts w:ascii="宋体" w:hAnsi="宋体" w:eastAsia="宋体" w:cs="宋体"/>
      <w:color w:val="000000"/>
      <w:sz w:val="26"/>
      <w:szCs w:val="26"/>
      <w:u w:val="none"/>
    </w:rPr>
  </w:style>
  <w:style w:type="paragraph" w:customStyle="1" w:styleId="10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chart" Target="charts/chart2.xml"/><Relationship Id="rId32" Type="http://schemas.openxmlformats.org/officeDocument/2006/relationships/chart" Target="charts/chart1.xml"/><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wmf"/><Relationship Id="rId28" Type="http://schemas.openxmlformats.org/officeDocument/2006/relationships/oleObject" Target="embeddings/oleObject7.bin"/><Relationship Id="rId27" Type="http://schemas.openxmlformats.org/officeDocument/2006/relationships/image" Target="media/image14.wmf"/><Relationship Id="rId26" Type="http://schemas.openxmlformats.org/officeDocument/2006/relationships/oleObject" Target="embeddings/oleObject6.bin"/><Relationship Id="rId25" Type="http://schemas.openxmlformats.org/officeDocument/2006/relationships/oleObject" Target="embeddings/oleObject5.bin"/><Relationship Id="rId24" Type="http://schemas.openxmlformats.org/officeDocument/2006/relationships/image" Target="media/image13.wmf"/><Relationship Id="rId23" Type="http://schemas.openxmlformats.org/officeDocument/2006/relationships/oleObject" Target="embeddings/oleObject4.bin"/><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wmf"/><Relationship Id="rId17" Type="http://schemas.openxmlformats.org/officeDocument/2006/relationships/oleObject" Target="embeddings/oleObject3.bin"/><Relationship Id="rId16" Type="http://schemas.openxmlformats.org/officeDocument/2006/relationships/image" Target="media/image7.wmf"/><Relationship Id="rId15" Type="http://schemas.openxmlformats.org/officeDocument/2006/relationships/oleObject" Target="embeddings/oleObject2.bin"/><Relationship Id="rId14" Type="http://schemas.openxmlformats.org/officeDocument/2006/relationships/image" Target="media/image6.wmf"/><Relationship Id="rId13" Type="http://schemas.openxmlformats.org/officeDocument/2006/relationships/oleObject" Target="embeddings/oleObject1.bin"/><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工频电场强度</a:t>
            </a:r>
          </a:p>
        </c:rich>
      </c:tx>
      <c:layout/>
      <c:overlay val="0"/>
      <c:spPr>
        <a:noFill/>
        <a:ln>
          <a:noFill/>
        </a:ln>
        <a:effectLst/>
      </c:spPr>
    </c:title>
    <c:autoTitleDeleted val="0"/>
    <c:plotArea>
      <c:layout>
        <c:manualLayout>
          <c:layoutTarget val="inner"/>
          <c:xMode val="edge"/>
          <c:yMode val="edge"/>
          <c:x val="0.0844021611463472"/>
          <c:y val="0.19"/>
          <c:w val="0.891519849659384"/>
          <c:h val="0.645708333333333"/>
        </c:manualLayout>
      </c:layout>
      <c:scatterChart>
        <c:scatterStyle val="smoothMarker"/>
        <c:varyColors val="0"/>
        <c:ser>
          <c:idx val="0"/>
          <c:order val="0"/>
          <c:tx>
            <c:strRef>
              <c:f>"7m"</c:f>
              <c:strCache>
                <c:ptCount val="1"/>
                <c:pt idx="0">
                  <c:v>7m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elete val="1"/>
          </c:dLbls>
          <c:xVal>
            <c:numRef>
              <c:f>[工作簿1]Sheet1!$K$84:$K$150</c:f>
              <c:numCache>
                <c:formatCode>General</c:formatCode>
                <c:ptCount val="67"/>
                <c:pt idx="0">
                  <c:v>-33</c:v>
                </c:pt>
                <c:pt idx="1">
                  <c:v>-32</c:v>
                </c:pt>
                <c:pt idx="2">
                  <c:v>-31</c:v>
                </c:pt>
                <c:pt idx="3">
                  <c:v>-30</c:v>
                </c:pt>
                <c:pt idx="4">
                  <c:v>-29</c:v>
                </c:pt>
                <c:pt idx="5">
                  <c:v>-28</c:v>
                </c:pt>
                <c:pt idx="6">
                  <c:v>-27</c:v>
                </c:pt>
                <c:pt idx="7">
                  <c:v>-26</c:v>
                </c:pt>
                <c:pt idx="8">
                  <c:v>-25</c:v>
                </c:pt>
                <c:pt idx="9">
                  <c:v>-24</c:v>
                </c:pt>
                <c:pt idx="10">
                  <c:v>-23</c:v>
                </c:pt>
                <c:pt idx="11">
                  <c:v>-22</c:v>
                </c:pt>
                <c:pt idx="12">
                  <c:v>-21</c:v>
                </c:pt>
                <c:pt idx="13">
                  <c:v>-20</c:v>
                </c:pt>
                <c:pt idx="14">
                  <c:v>-19</c:v>
                </c:pt>
                <c:pt idx="15">
                  <c:v>-18</c:v>
                </c:pt>
                <c:pt idx="16">
                  <c:v>-17</c:v>
                </c:pt>
                <c:pt idx="17">
                  <c:v>-16</c:v>
                </c:pt>
                <c:pt idx="18">
                  <c:v>-15</c:v>
                </c:pt>
                <c:pt idx="19">
                  <c:v>-14</c:v>
                </c:pt>
                <c:pt idx="20">
                  <c:v>-13</c:v>
                </c:pt>
                <c:pt idx="21">
                  <c:v>-12</c:v>
                </c:pt>
                <c:pt idx="22">
                  <c:v>-11</c:v>
                </c:pt>
                <c:pt idx="23">
                  <c:v>-10</c:v>
                </c:pt>
                <c:pt idx="24">
                  <c:v>-9</c:v>
                </c:pt>
                <c:pt idx="25">
                  <c:v>-8</c:v>
                </c:pt>
                <c:pt idx="26">
                  <c:v>-7</c:v>
                </c:pt>
                <c:pt idx="27">
                  <c:v>-6</c:v>
                </c:pt>
                <c:pt idx="28">
                  <c:v>-5</c:v>
                </c:pt>
                <c:pt idx="29">
                  <c:v>-4</c:v>
                </c:pt>
                <c:pt idx="30">
                  <c:v>-3</c:v>
                </c:pt>
                <c:pt idx="31">
                  <c:v>-2</c:v>
                </c:pt>
                <c:pt idx="32">
                  <c:v>-1</c:v>
                </c:pt>
                <c:pt idx="33">
                  <c:v>0</c:v>
                </c:pt>
                <c:pt idx="34">
                  <c:v>1</c:v>
                </c:pt>
                <c:pt idx="35">
                  <c:v>2</c:v>
                </c:pt>
                <c:pt idx="36">
                  <c:v>3</c:v>
                </c:pt>
                <c:pt idx="37">
                  <c:v>4</c:v>
                </c:pt>
                <c:pt idx="38">
                  <c:v>5</c:v>
                </c:pt>
                <c:pt idx="39">
                  <c:v>6</c:v>
                </c:pt>
                <c:pt idx="40">
                  <c:v>7</c:v>
                </c:pt>
                <c:pt idx="41">
                  <c:v>8</c:v>
                </c:pt>
                <c:pt idx="42">
                  <c:v>9</c:v>
                </c:pt>
                <c:pt idx="43">
                  <c:v>10</c:v>
                </c:pt>
                <c:pt idx="44">
                  <c:v>11</c:v>
                </c:pt>
                <c:pt idx="45">
                  <c:v>12</c:v>
                </c:pt>
                <c:pt idx="46">
                  <c:v>13</c:v>
                </c:pt>
                <c:pt idx="47">
                  <c:v>14</c:v>
                </c:pt>
                <c:pt idx="48">
                  <c:v>15</c:v>
                </c:pt>
                <c:pt idx="49">
                  <c:v>16</c:v>
                </c:pt>
                <c:pt idx="50">
                  <c:v>17</c:v>
                </c:pt>
                <c:pt idx="51">
                  <c:v>18</c:v>
                </c:pt>
                <c:pt idx="52">
                  <c:v>19</c:v>
                </c:pt>
                <c:pt idx="53">
                  <c:v>20</c:v>
                </c:pt>
                <c:pt idx="54">
                  <c:v>21</c:v>
                </c:pt>
                <c:pt idx="55">
                  <c:v>22</c:v>
                </c:pt>
                <c:pt idx="56">
                  <c:v>23</c:v>
                </c:pt>
                <c:pt idx="57">
                  <c:v>24</c:v>
                </c:pt>
                <c:pt idx="58">
                  <c:v>25</c:v>
                </c:pt>
                <c:pt idx="59">
                  <c:v>26</c:v>
                </c:pt>
                <c:pt idx="60">
                  <c:v>27</c:v>
                </c:pt>
                <c:pt idx="61">
                  <c:v>28</c:v>
                </c:pt>
                <c:pt idx="62">
                  <c:v>29</c:v>
                </c:pt>
                <c:pt idx="63">
                  <c:v>30</c:v>
                </c:pt>
                <c:pt idx="64">
                  <c:v>31</c:v>
                </c:pt>
                <c:pt idx="65">
                  <c:v>32</c:v>
                </c:pt>
                <c:pt idx="66">
                  <c:v>33</c:v>
                </c:pt>
              </c:numCache>
            </c:numRef>
          </c:xVal>
          <c:yVal>
            <c:numRef>
              <c:f>[工作簿1]Sheet1!$L$84:$L$150</c:f>
              <c:numCache>
                <c:formatCode>General</c:formatCode>
                <c:ptCount val="67"/>
                <c:pt idx="0">
                  <c:v>0.0422</c:v>
                </c:pt>
                <c:pt idx="1">
                  <c:v>0.0461</c:v>
                </c:pt>
                <c:pt idx="2">
                  <c:v>0.0503</c:v>
                </c:pt>
                <c:pt idx="3">
                  <c:v>0.0552</c:v>
                </c:pt>
                <c:pt idx="4">
                  <c:v>0.0607</c:v>
                </c:pt>
                <c:pt idx="5">
                  <c:v>0.0669</c:v>
                </c:pt>
                <c:pt idx="6">
                  <c:v>0.074</c:v>
                </c:pt>
                <c:pt idx="7">
                  <c:v>0.0822</c:v>
                </c:pt>
                <c:pt idx="8">
                  <c:v>0.0915</c:v>
                </c:pt>
                <c:pt idx="9">
                  <c:v>0.1024</c:v>
                </c:pt>
                <c:pt idx="10">
                  <c:v>0.1149</c:v>
                </c:pt>
                <c:pt idx="11">
                  <c:v>0.1295</c:v>
                </c:pt>
                <c:pt idx="12">
                  <c:v>0.1466</c:v>
                </c:pt>
                <c:pt idx="13">
                  <c:v>0.1668</c:v>
                </c:pt>
                <c:pt idx="14">
                  <c:v>0.1906</c:v>
                </c:pt>
                <c:pt idx="15">
                  <c:v>0.2189</c:v>
                </c:pt>
                <c:pt idx="16">
                  <c:v>0.2527</c:v>
                </c:pt>
                <c:pt idx="17">
                  <c:v>0.2933</c:v>
                </c:pt>
                <c:pt idx="18">
                  <c:v>0.3421</c:v>
                </c:pt>
                <c:pt idx="19">
                  <c:v>0.4011</c:v>
                </c:pt>
                <c:pt idx="20">
                  <c:v>0.4723</c:v>
                </c:pt>
                <c:pt idx="21">
                  <c:v>0.5583</c:v>
                </c:pt>
                <c:pt idx="22">
                  <c:v>0.6613</c:v>
                </c:pt>
                <c:pt idx="23">
                  <c:v>0.7831</c:v>
                </c:pt>
                <c:pt idx="24">
                  <c:v>0.9238</c:v>
                </c:pt>
                <c:pt idx="25">
                  <c:v>1.0792</c:v>
                </c:pt>
                <c:pt idx="26">
                  <c:v>1.2382</c:v>
                </c:pt>
                <c:pt idx="27">
                  <c:v>1.3789</c:v>
                </c:pt>
                <c:pt idx="28">
                  <c:v>1.468</c:v>
                </c:pt>
                <c:pt idx="29">
                  <c:v>1.469</c:v>
                </c:pt>
                <c:pt idx="30">
                  <c:v>1.3632</c:v>
                </c:pt>
                <c:pt idx="31">
                  <c:v>1.1752</c:v>
                </c:pt>
                <c:pt idx="32">
                  <c:v>0.9833</c:v>
                </c:pt>
                <c:pt idx="33">
                  <c:v>0.8985</c:v>
                </c:pt>
                <c:pt idx="34">
                  <c:v>0.9833</c:v>
                </c:pt>
                <c:pt idx="35">
                  <c:v>1.1752</c:v>
                </c:pt>
                <c:pt idx="36">
                  <c:v>1.3632</c:v>
                </c:pt>
                <c:pt idx="37">
                  <c:v>1.469</c:v>
                </c:pt>
                <c:pt idx="38">
                  <c:v>1.468</c:v>
                </c:pt>
                <c:pt idx="39">
                  <c:v>1.3789</c:v>
                </c:pt>
                <c:pt idx="40">
                  <c:v>1.2382</c:v>
                </c:pt>
                <c:pt idx="41">
                  <c:v>1.0792</c:v>
                </c:pt>
                <c:pt idx="42">
                  <c:v>0.9238</c:v>
                </c:pt>
                <c:pt idx="43">
                  <c:v>0.7831</c:v>
                </c:pt>
                <c:pt idx="44">
                  <c:v>0.6613</c:v>
                </c:pt>
                <c:pt idx="45">
                  <c:v>0.5583</c:v>
                </c:pt>
                <c:pt idx="46">
                  <c:v>0.4723</c:v>
                </c:pt>
                <c:pt idx="47">
                  <c:v>0.4011</c:v>
                </c:pt>
                <c:pt idx="48">
                  <c:v>0.3421</c:v>
                </c:pt>
                <c:pt idx="49">
                  <c:v>0.2933</c:v>
                </c:pt>
                <c:pt idx="50">
                  <c:v>0.2527</c:v>
                </c:pt>
                <c:pt idx="51">
                  <c:v>0.2189</c:v>
                </c:pt>
                <c:pt idx="52">
                  <c:v>0.1906</c:v>
                </c:pt>
                <c:pt idx="53">
                  <c:v>0.1668</c:v>
                </c:pt>
                <c:pt idx="54">
                  <c:v>0.1466</c:v>
                </c:pt>
                <c:pt idx="55">
                  <c:v>0.1295</c:v>
                </c:pt>
                <c:pt idx="56">
                  <c:v>0.1149</c:v>
                </c:pt>
                <c:pt idx="57">
                  <c:v>0.1024</c:v>
                </c:pt>
                <c:pt idx="58">
                  <c:v>0.0915</c:v>
                </c:pt>
                <c:pt idx="59">
                  <c:v>0.0822</c:v>
                </c:pt>
                <c:pt idx="60">
                  <c:v>0.074</c:v>
                </c:pt>
                <c:pt idx="61">
                  <c:v>0.0669</c:v>
                </c:pt>
                <c:pt idx="62">
                  <c:v>0.0607</c:v>
                </c:pt>
                <c:pt idx="63">
                  <c:v>0.0552</c:v>
                </c:pt>
                <c:pt idx="64">
                  <c:v>0.0503</c:v>
                </c:pt>
                <c:pt idx="65">
                  <c:v>0.0461</c:v>
                </c:pt>
                <c:pt idx="66">
                  <c:v>0.0422</c:v>
                </c:pt>
              </c:numCache>
            </c:numRef>
          </c:yVal>
          <c:smooth val="1"/>
        </c:ser>
        <c:ser>
          <c:idx val="1"/>
          <c:order val="1"/>
          <c:tx>
            <c:strRef>
              <c:f>"6m"</c:f>
              <c:strCache>
                <c:ptCount val="1"/>
                <c:pt idx="0">
                  <c:v>6m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elete val="1"/>
          </c:dLbls>
          <c:xVal>
            <c:numRef>
              <c:f>[工作簿1]Sheet1!$K$84:$K$150</c:f>
              <c:numCache>
                <c:formatCode>General</c:formatCode>
                <c:ptCount val="67"/>
                <c:pt idx="0">
                  <c:v>-33</c:v>
                </c:pt>
                <c:pt idx="1">
                  <c:v>-32</c:v>
                </c:pt>
                <c:pt idx="2">
                  <c:v>-31</c:v>
                </c:pt>
                <c:pt idx="3">
                  <c:v>-30</c:v>
                </c:pt>
                <c:pt idx="4">
                  <c:v>-29</c:v>
                </c:pt>
                <c:pt idx="5">
                  <c:v>-28</c:v>
                </c:pt>
                <c:pt idx="6">
                  <c:v>-27</c:v>
                </c:pt>
                <c:pt idx="7">
                  <c:v>-26</c:v>
                </c:pt>
                <c:pt idx="8">
                  <c:v>-25</c:v>
                </c:pt>
                <c:pt idx="9">
                  <c:v>-24</c:v>
                </c:pt>
                <c:pt idx="10">
                  <c:v>-23</c:v>
                </c:pt>
                <c:pt idx="11">
                  <c:v>-22</c:v>
                </c:pt>
                <c:pt idx="12">
                  <c:v>-21</c:v>
                </c:pt>
                <c:pt idx="13">
                  <c:v>-20</c:v>
                </c:pt>
                <c:pt idx="14">
                  <c:v>-19</c:v>
                </c:pt>
                <c:pt idx="15">
                  <c:v>-18</c:v>
                </c:pt>
                <c:pt idx="16">
                  <c:v>-17</c:v>
                </c:pt>
                <c:pt idx="17">
                  <c:v>-16</c:v>
                </c:pt>
                <c:pt idx="18">
                  <c:v>-15</c:v>
                </c:pt>
                <c:pt idx="19">
                  <c:v>-14</c:v>
                </c:pt>
                <c:pt idx="20">
                  <c:v>-13</c:v>
                </c:pt>
                <c:pt idx="21">
                  <c:v>-12</c:v>
                </c:pt>
                <c:pt idx="22">
                  <c:v>-11</c:v>
                </c:pt>
                <c:pt idx="23">
                  <c:v>-10</c:v>
                </c:pt>
                <c:pt idx="24">
                  <c:v>-9</c:v>
                </c:pt>
                <c:pt idx="25">
                  <c:v>-8</c:v>
                </c:pt>
                <c:pt idx="26">
                  <c:v>-7</c:v>
                </c:pt>
                <c:pt idx="27">
                  <c:v>-6</c:v>
                </c:pt>
                <c:pt idx="28">
                  <c:v>-5</c:v>
                </c:pt>
                <c:pt idx="29">
                  <c:v>-4</c:v>
                </c:pt>
                <c:pt idx="30">
                  <c:v>-3</c:v>
                </c:pt>
                <c:pt idx="31">
                  <c:v>-2</c:v>
                </c:pt>
                <c:pt idx="32">
                  <c:v>-1</c:v>
                </c:pt>
                <c:pt idx="33">
                  <c:v>0</c:v>
                </c:pt>
                <c:pt idx="34">
                  <c:v>1</c:v>
                </c:pt>
                <c:pt idx="35">
                  <c:v>2</c:v>
                </c:pt>
                <c:pt idx="36">
                  <c:v>3</c:v>
                </c:pt>
                <c:pt idx="37">
                  <c:v>4</c:v>
                </c:pt>
                <c:pt idx="38">
                  <c:v>5</c:v>
                </c:pt>
                <c:pt idx="39">
                  <c:v>6</c:v>
                </c:pt>
                <c:pt idx="40">
                  <c:v>7</c:v>
                </c:pt>
                <c:pt idx="41">
                  <c:v>8</c:v>
                </c:pt>
                <c:pt idx="42">
                  <c:v>9</c:v>
                </c:pt>
                <c:pt idx="43">
                  <c:v>10</c:v>
                </c:pt>
                <c:pt idx="44">
                  <c:v>11</c:v>
                </c:pt>
                <c:pt idx="45">
                  <c:v>12</c:v>
                </c:pt>
                <c:pt idx="46">
                  <c:v>13</c:v>
                </c:pt>
                <c:pt idx="47">
                  <c:v>14</c:v>
                </c:pt>
                <c:pt idx="48">
                  <c:v>15</c:v>
                </c:pt>
                <c:pt idx="49">
                  <c:v>16</c:v>
                </c:pt>
                <c:pt idx="50">
                  <c:v>17</c:v>
                </c:pt>
                <c:pt idx="51">
                  <c:v>18</c:v>
                </c:pt>
                <c:pt idx="52">
                  <c:v>19</c:v>
                </c:pt>
                <c:pt idx="53">
                  <c:v>20</c:v>
                </c:pt>
                <c:pt idx="54">
                  <c:v>21</c:v>
                </c:pt>
                <c:pt idx="55">
                  <c:v>22</c:v>
                </c:pt>
                <c:pt idx="56">
                  <c:v>23</c:v>
                </c:pt>
                <c:pt idx="57">
                  <c:v>24</c:v>
                </c:pt>
                <c:pt idx="58">
                  <c:v>25</c:v>
                </c:pt>
                <c:pt idx="59">
                  <c:v>26</c:v>
                </c:pt>
                <c:pt idx="60">
                  <c:v>27</c:v>
                </c:pt>
                <c:pt idx="61">
                  <c:v>28</c:v>
                </c:pt>
                <c:pt idx="62">
                  <c:v>29</c:v>
                </c:pt>
                <c:pt idx="63">
                  <c:v>30</c:v>
                </c:pt>
                <c:pt idx="64">
                  <c:v>31</c:v>
                </c:pt>
                <c:pt idx="65">
                  <c:v>32</c:v>
                </c:pt>
                <c:pt idx="66">
                  <c:v>33</c:v>
                </c:pt>
              </c:numCache>
            </c:numRef>
          </c:xVal>
          <c:yVal>
            <c:numRef>
              <c:f>[工作簿1]Sheet1!$M$84:$M$150</c:f>
              <c:numCache>
                <c:formatCode>General</c:formatCode>
                <c:ptCount val="67"/>
                <c:pt idx="0">
                  <c:v>0.0372</c:v>
                </c:pt>
                <c:pt idx="1">
                  <c:v>0.0406</c:v>
                </c:pt>
                <c:pt idx="2">
                  <c:v>0.0445</c:v>
                </c:pt>
                <c:pt idx="3">
                  <c:v>0.0488</c:v>
                </c:pt>
                <c:pt idx="4">
                  <c:v>0.0538</c:v>
                </c:pt>
                <c:pt idx="5">
                  <c:v>0.0594</c:v>
                </c:pt>
                <c:pt idx="6">
                  <c:v>0.0659</c:v>
                </c:pt>
                <c:pt idx="7">
                  <c:v>0.0733</c:v>
                </c:pt>
                <c:pt idx="8">
                  <c:v>0.0819</c:v>
                </c:pt>
                <c:pt idx="9">
                  <c:v>0.0919</c:v>
                </c:pt>
                <c:pt idx="10">
                  <c:v>0.1035</c:v>
                </c:pt>
                <c:pt idx="11">
                  <c:v>0.1172</c:v>
                </c:pt>
                <c:pt idx="12">
                  <c:v>0.1333</c:v>
                </c:pt>
                <c:pt idx="13">
                  <c:v>0.1525</c:v>
                </c:pt>
                <c:pt idx="14">
                  <c:v>0.1753</c:v>
                </c:pt>
                <c:pt idx="15">
                  <c:v>0.2029</c:v>
                </c:pt>
                <c:pt idx="16">
                  <c:v>0.2362</c:v>
                </c:pt>
                <c:pt idx="17">
                  <c:v>0.2768</c:v>
                </c:pt>
                <c:pt idx="18">
                  <c:v>0.3267</c:v>
                </c:pt>
                <c:pt idx="19">
                  <c:v>0.3883</c:v>
                </c:pt>
                <c:pt idx="20">
                  <c:v>0.4649</c:v>
                </c:pt>
                <c:pt idx="21">
                  <c:v>0.5603</c:v>
                </c:pt>
                <c:pt idx="22">
                  <c:v>0.6793</c:v>
                </c:pt>
                <c:pt idx="23">
                  <c:v>0.8273</c:v>
                </c:pt>
                <c:pt idx="24">
                  <c:v>1.0088</c:v>
                </c:pt>
                <c:pt idx="25">
                  <c:v>1.2256</c:v>
                </c:pt>
                <c:pt idx="26">
                  <c:v>1.4708</c:v>
                </c:pt>
                <c:pt idx="27">
                  <c:v>1.7206</c:v>
                </c:pt>
                <c:pt idx="28">
                  <c:v>1.924</c:v>
                </c:pt>
                <c:pt idx="29">
                  <c:v>2.0085</c:v>
                </c:pt>
                <c:pt idx="30">
                  <c:v>1.9218</c:v>
                </c:pt>
                <c:pt idx="31">
                  <c:v>1.6995</c:v>
                </c:pt>
                <c:pt idx="32">
                  <c:v>1.4748</c:v>
                </c:pt>
                <c:pt idx="33">
                  <c:v>1.3835</c:v>
                </c:pt>
                <c:pt idx="34">
                  <c:v>1.4748</c:v>
                </c:pt>
                <c:pt idx="35">
                  <c:v>1.6995</c:v>
                </c:pt>
                <c:pt idx="36">
                  <c:v>1.9218</c:v>
                </c:pt>
                <c:pt idx="37">
                  <c:v>2.0085</c:v>
                </c:pt>
                <c:pt idx="38">
                  <c:v>1.924</c:v>
                </c:pt>
                <c:pt idx="39">
                  <c:v>1.7206</c:v>
                </c:pt>
                <c:pt idx="40">
                  <c:v>1.4708</c:v>
                </c:pt>
                <c:pt idx="41">
                  <c:v>1.2256</c:v>
                </c:pt>
                <c:pt idx="42">
                  <c:v>1.0088</c:v>
                </c:pt>
                <c:pt idx="43">
                  <c:v>0.8273</c:v>
                </c:pt>
                <c:pt idx="44">
                  <c:v>0.6793</c:v>
                </c:pt>
                <c:pt idx="45">
                  <c:v>0.5603</c:v>
                </c:pt>
                <c:pt idx="46">
                  <c:v>0.4649</c:v>
                </c:pt>
                <c:pt idx="47">
                  <c:v>0.3883</c:v>
                </c:pt>
                <c:pt idx="48">
                  <c:v>0.3267</c:v>
                </c:pt>
                <c:pt idx="49">
                  <c:v>0.2768</c:v>
                </c:pt>
                <c:pt idx="50">
                  <c:v>0.2362</c:v>
                </c:pt>
                <c:pt idx="51">
                  <c:v>0.2029</c:v>
                </c:pt>
                <c:pt idx="52">
                  <c:v>0.1753</c:v>
                </c:pt>
                <c:pt idx="53">
                  <c:v>0.1525</c:v>
                </c:pt>
                <c:pt idx="54">
                  <c:v>0.1333</c:v>
                </c:pt>
                <c:pt idx="55">
                  <c:v>0.1172</c:v>
                </c:pt>
                <c:pt idx="56">
                  <c:v>0.1035</c:v>
                </c:pt>
                <c:pt idx="57">
                  <c:v>0.0919</c:v>
                </c:pt>
                <c:pt idx="58">
                  <c:v>0.0819</c:v>
                </c:pt>
                <c:pt idx="59">
                  <c:v>0.0733</c:v>
                </c:pt>
                <c:pt idx="60">
                  <c:v>0.0659</c:v>
                </c:pt>
                <c:pt idx="61">
                  <c:v>0.0594</c:v>
                </c:pt>
                <c:pt idx="62">
                  <c:v>0.0538</c:v>
                </c:pt>
                <c:pt idx="63">
                  <c:v>0.0488</c:v>
                </c:pt>
                <c:pt idx="64">
                  <c:v>0.0445</c:v>
                </c:pt>
                <c:pt idx="65">
                  <c:v>0.0406</c:v>
                </c:pt>
                <c:pt idx="66">
                  <c:v>0.0372</c:v>
                </c:pt>
              </c:numCache>
            </c:numRef>
          </c:yVal>
          <c:smooth val="1"/>
        </c:ser>
        <c:dLbls>
          <c:showLegendKey val="0"/>
          <c:showVal val="0"/>
          <c:showCatName val="0"/>
          <c:showSerName val="0"/>
          <c:showPercent val="0"/>
          <c:showBubbleSize val="0"/>
        </c:dLbls>
        <c:axId val="431159283"/>
        <c:axId val="663116450"/>
      </c:scatterChart>
      <c:valAx>
        <c:axId val="431159283"/>
        <c:scaling>
          <c:orientation val="minMax"/>
          <c:max val="33"/>
          <c:min val="-33"/>
        </c:scaling>
        <c:delete val="0"/>
        <c:axPos val="b"/>
        <c:majorGridlines>
          <c:spPr>
            <a:ln w="9525" cap="flat" cmpd="sng" algn="ctr">
              <a:solidFill>
                <a:schemeClr val="lt1">
                  <a:lumMod val="902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距线路走廊中心距离（m）</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3116450"/>
        <c:crosses val="autoZero"/>
        <c:crossBetween val="midCat"/>
        <c:majorUnit val="2"/>
      </c:valAx>
      <c:valAx>
        <c:axId val="663116450"/>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工频电场强度（kV/m）</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1159283"/>
        <c:crossesAt val="-33"/>
        <c:crossBetween val="midCat"/>
      </c:valAx>
      <c:spPr>
        <a:noFill/>
        <a:ln w="9525" cap="flat" cmpd="sng" algn="ctr">
          <a:solidFill>
            <a:schemeClr val="tx1">
              <a:lumMod val="15000"/>
              <a:lumOff val="85000"/>
            </a:schemeClr>
          </a:solidFill>
          <a:round/>
        </a:ln>
        <a:effectLst/>
      </c:spPr>
    </c:plotArea>
    <c:legend>
      <c:legendPos val="b"/>
      <c:layout>
        <c:manualLayout>
          <c:xMode val="edge"/>
          <c:yMode val="edge"/>
          <c:x val="0.414435048155978"/>
          <c:y val="0.105208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dc2830b-26bf-402d-aa60-21005fa471e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工频电场磁感应强度</a:t>
            </a:r>
          </a:p>
        </c:rich>
      </c:tx>
      <c:layout/>
      <c:overlay val="0"/>
      <c:spPr>
        <a:noFill/>
        <a:ln>
          <a:noFill/>
        </a:ln>
        <a:effectLst/>
      </c:spPr>
    </c:title>
    <c:autoTitleDeleted val="0"/>
    <c:plotArea>
      <c:layout>
        <c:manualLayout>
          <c:layoutTarget val="inner"/>
          <c:xMode val="edge"/>
          <c:yMode val="edge"/>
          <c:x val="0.0888947368421053"/>
          <c:y val="0.251388888888889"/>
          <c:w val="0.887421052631579"/>
          <c:h val="0.597314814814815"/>
        </c:manualLayout>
      </c:layout>
      <c:scatterChart>
        <c:scatterStyle val="smoothMarker"/>
        <c:varyColors val="0"/>
        <c:ser>
          <c:idx val="0"/>
          <c:order val="0"/>
          <c:tx>
            <c:strRef>
              <c:f>"7m"</c:f>
              <c:strCache>
                <c:ptCount val="1"/>
                <c:pt idx="0">
                  <c:v>7m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elete val="1"/>
          </c:dLbls>
          <c:xVal>
            <c:numRef>
              <c:f>[工作簿1]Sheet1!$K$84:$K$150</c:f>
              <c:numCache>
                <c:formatCode>General</c:formatCode>
                <c:ptCount val="67"/>
                <c:pt idx="0">
                  <c:v>-33</c:v>
                </c:pt>
                <c:pt idx="1">
                  <c:v>-32</c:v>
                </c:pt>
                <c:pt idx="2">
                  <c:v>-31</c:v>
                </c:pt>
                <c:pt idx="3">
                  <c:v>-30</c:v>
                </c:pt>
                <c:pt idx="4">
                  <c:v>-29</c:v>
                </c:pt>
                <c:pt idx="5">
                  <c:v>-28</c:v>
                </c:pt>
                <c:pt idx="6">
                  <c:v>-27</c:v>
                </c:pt>
                <c:pt idx="7">
                  <c:v>-26</c:v>
                </c:pt>
                <c:pt idx="8">
                  <c:v>-25</c:v>
                </c:pt>
                <c:pt idx="9">
                  <c:v>-24</c:v>
                </c:pt>
                <c:pt idx="10">
                  <c:v>-23</c:v>
                </c:pt>
                <c:pt idx="11">
                  <c:v>-22</c:v>
                </c:pt>
                <c:pt idx="12">
                  <c:v>-21</c:v>
                </c:pt>
                <c:pt idx="13">
                  <c:v>-20</c:v>
                </c:pt>
                <c:pt idx="14">
                  <c:v>-19</c:v>
                </c:pt>
                <c:pt idx="15">
                  <c:v>-18</c:v>
                </c:pt>
                <c:pt idx="16">
                  <c:v>-17</c:v>
                </c:pt>
                <c:pt idx="17">
                  <c:v>-16</c:v>
                </c:pt>
                <c:pt idx="18">
                  <c:v>-15</c:v>
                </c:pt>
                <c:pt idx="19">
                  <c:v>-14</c:v>
                </c:pt>
                <c:pt idx="20">
                  <c:v>-13</c:v>
                </c:pt>
                <c:pt idx="21">
                  <c:v>-12</c:v>
                </c:pt>
                <c:pt idx="22">
                  <c:v>-11</c:v>
                </c:pt>
                <c:pt idx="23">
                  <c:v>-10</c:v>
                </c:pt>
                <c:pt idx="24">
                  <c:v>-9</c:v>
                </c:pt>
                <c:pt idx="25">
                  <c:v>-8</c:v>
                </c:pt>
                <c:pt idx="26">
                  <c:v>-7</c:v>
                </c:pt>
                <c:pt idx="27">
                  <c:v>-6</c:v>
                </c:pt>
                <c:pt idx="28">
                  <c:v>-5</c:v>
                </c:pt>
                <c:pt idx="29">
                  <c:v>-4</c:v>
                </c:pt>
                <c:pt idx="30">
                  <c:v>-3</c:v>
                </c:pt>
                <c:pt idx="31">
                  <c:v>-2</c:v>
                </c:pt>
                <c:pt idx="32">
                  <c:v>-1</c:v>
                </c:pt>
                <c:pt idx="33">
                  <c:v>0</c:v>
                </c:pt>
                <c:pt idx="34">
                  <c:v>1</c:v>
                </c:pt>
                <c:pt idx="35">
                  <c:v>2</c:v>
                </c:pt>
                <c:pt idx="36">
                  <c:v>3</c:v>
                </c:pt>
                <c:pt idx="37">
                  <c:v>4</c:v>
                </c:pt>
                <c:pt idx="38">
                  <c:v>5</c:v>
                </c:pt>
                <c:pt idx="39">
                  <c:v>6</c:v>
                </c:pt>
                <c:pt idx="40">
                  <c:v>7</c:v>
                </c:pt>
                <c:pt idx="41">
                  <c:v>8</c:v>
                </c:pt>
                <c:pt idx="42">
                  <c:v>9</c:v>
                </c:pt>
                <c:pt idx="43">
                  <c:v>10</c:v>
                </c:pt>
                <c:pt idx="44">
                  <c:v>11</c:v>
                </c:pt>
                <c:pt idx="45">
                  <c:v>12</c:v>
                </c:pt>
                <c:pt idx="46">
                  <c:v>13</c:v>
                </c:pt>
                <c:pt idx="47">
                  <c:v>14</c:v>
                </c:pt>
                <c:pt idx="48">
                  <c:v>15</c:v>
                </c:pt>
                <c:pt idx="49">
                  <c:v>16</c:v>
                </c:pt>
                <c:pt idx="50">
                  <c:v>17</c:v>
                </c:pt>
                <c:pt idx="51">
                  <c:v>18</c:v>
                </c:pt>
                <c:pt idx="52">
                  <c:v>19</c:v>
                </c:pt>
                <c:pt idx="53">
                  <c:v>20</c:v>
                </c:pt>
                <c:pt idx="54">
                  <c:v>21</c:v>
                </c:pt>
                <c:pt idx="55">
                  <c:v>22</c:v>
                </c:pt>
                <c:pt idx="56">
                  <c:v>23</c:v>
                </c:pt>
                <c:pt idx="57">
                  <c:v>24</c:v>
                </c:pt>
                <c:pt idx="58">
                  <c:v>25</c:v>
                </c:pt>
                <c:pt idx="59">
                  <c:v>26</c:v>
                </c:pt>
                <c:pt idx="60">
                  <c:v>27</c:v>
                </c:pt>
                <c:pt idx="61">
                  <c:v>28</c:v>
                </c:pt>
                <c:pt idx="62">
                  <c:v>29</c:v>
                </c:pt>
                <c:pt idx="63">
                  <c:v>30</c:v>
                </c:pt>
                <c:pt idx="64">
                  <c:v>31</c:v>
                </c:pt>
                <c:pt idx="65">
                  <c:v>32</c:v>
                </c:pt>
                <c:pt idx="66">
                  <c:v>33</c:v>
                </c:pt>
              </c:numCache>
            </c:numRef>
          </c:xVal>
          <c:yVal>
            <c:numRef>
              <c:f>[工作簿1]Sheet1!$N$84:$N$150</c:f>
              <c:numCache>
                <c:formatCode>General</c:formatCode>
                <c:ptCount val="67"/>
                <c:pt idx="0">
                  <c:v>3.1273</c:v>
                </c:pt>
                <c:pt idx="1">
                  <c:v>3.2238</c:v>
                </c:pt>
                <c:pt idx="2">
                  <c:v>3.3264</c:v>
                </c:pt>
                <c:pt idx="3">
                  <c:v>3.4357</c:v>
                </c:pt>
                <c:pt idx="4">
                  <c:v>3.5523</c:v>
                </c:pt>
                <c:pt idx="5">
                  <c:v>3.677</c:v>
                </c:pt>
                <c:pt idx="6">
                  <c:v>3.8107</c:v>
                </c:pt>
                <c:pt idx="7">
                  <c:v>3.9543</c:v>
                </c:pt>
                <c:pt idx="8">
                  <c:v>4.109</c:v>
                </c:pt>
                <c:pt idx="9">
                  <c:v>4.276</c:v>
                </c:pt>
                <c:pt idx="10">
                  <c:v>4.4569</c:v>
                </c:pt>
                <c:pt idx="11">
                  <c:v>4.6534</c:v>
                </c:pt>
                <c:pt idx="12">
                  <c:v>4.8676</c:v>
                </c:pt>
                <c:pt idx="13">
                  <c:v>5.1017</c:v>
                </c:pt>
                <c:pt idx="14">
                  <c:v>5.3586</c:v>
                </c:pt>
                <c:pt idx="15">
                  <c:v>5.6415</c:v>
                </c:pt>
                <c:pt idx="16">
                  <c:v>5.9544</c:v>
                </c:pt>
                <c:pt idx="17">
                  <c:v>6.3016</c:v>
                </c:pt>
                <c:pt idx="18">
                  <c:v>6.6886</c:v>
                </c:pt>
                <c:pt idx="19">
                  <c:v>7.1214</c:v>
                </c:pt>
                <c:pt idx="20">
                  <c:v>7.6069</c:v>
                </c:pt>
                <c:pt idx="21">
                  <c:v>8.1526</c:v>
                </c:pt>
                <c:pt idx="22">
                  <c:v>8.766</c:v>
                </c:pt>
                <c:pt idx="23">
                  <c:v>9.4531</c:v>
                </c:pt>
                <c:pt idx="24">
                  <c:v>10.2151</c:v>
                </c:pt>
                <c:pt idx="25">
                  <c:v>11.0437</c:v>
                </c:pt>
                <c:pt idx="26">
                  <c:v>11.9118</c:v>
                </c:pt>
                <c:pt idx="27">
                  <c:v>12.7634</c:v>
                </c:pt>
                <c:pt idx="28">
                  <c:v>13.5094</c:v>
                </c:pt>
                <c:pt idx="29">
                  <c:v>14.0462</c:v>
                </c:pt>
                <c:pt idx="30">
                  <c:v>14.3089</c:v>
                </c:pt>
                <c:pt idx="31">
                  <c:v>14.3309</c:v>
                </c:pt>
                <c:pt idx="32">
                  <c:v>14.2432</c:v>
                </c:pt>
                <c:pt idx="33">
                  <c:v>14.1929</c:v>
                </c:pt>
                <c:pt idx="34">
                  <c:v>14.2432</c:v>
                </c:pt>
                <c:pt idx="35">
                  <c:v>14.3309</c:v>
                </c:pt>
                <c:pt idx="36">
                  <c:v>14.3089</c:v>
                </c:pt>
                <c:pt idx="37">
                  <c:v>14.0462</c:v>
                </c:pt>
                <c:pt idx="38">
                  <c:v>13.5094</c:v>
                </c:pt>
                <c:pt idx="39">
                  <c:v>12.7634</c:v>
                </c:pt>
                <c:pt idx="40">
                  <c:v>11.9118</c:v>
                </c:pt>
                <c:pt idx="41">
                  <c:v>11.0437</c:v>
                </c:pt>
                <c:pt idx="42">
                  <c:v>10.2151</c:v>
                </c:pt>
                <c:pt idx="43">
                  <c:v>9.4531</c:v>
                </c:pt>
                <c:pt idx="44">
                  <c:v>8.766</c:v>
                </c:pt>
                <c:pt idx="45">
                  <c:v>8.1526</c:v>
                </c:pt>
                <c:pt idx="46">
                  <c:v>7.6069</c:v>
                </c:pt>
                <c:pt idx="47">
                  <c:v>7.1214</c:v>
                </c:pt>
                <c:pt idx="48">
                  <c:v>6.6886</c:v>
                </c:pt>
                <c:pt idx="49">
                  <c:v>6.3016</c:v>
                </c:pt>
                <c:pt idx="50">
                  <c:v>5.9544</c:v>
                </c:pt>
                <c:pt idx="51">
                  <c:v>5.6415</c:v>
                </c:pt>
                <c:pt idx="52">
                  <c:v>5.3586</c:v>
                </c:pt>
                <c:pt idx="53">
                  <c:v>5.1017</c:v>
                </c:pt>
                <c:pt idx="54">
                  <c:v>4.8676</c:v>
                </c:pt>
                <c:pt idx="55">
                  <c:v>4.6534</c:v>
                </c:pt>
                <c:pt idx="56">
                  <c:v>4.4569</c:v>
                </c:pt>
                <c:pt idx="57">
                  <c:v>4.276</c:v>
                </c:pt>
                <c:pt idx="58">
                  <c:v>4.109</c:v>
                </c:pt>
                <c:pt idx="59">
                  <c:v>3.9543</c:v>
                </c:pt>
                <c:pt idx="60">
                  <c:v>3.8107</c:v>
                </c:pt>
                <c:pt idx="61">
                  <c:v>3.677</c:v>
                </c:pt>
                <c:pt idx="62">
                  <c:v>3.5523</c:v>
                </c:pt>
                <c:pt idx="63">
                  <c:v>3.4357</c:v>
                </c:pt>
                <c:pt idx="64">
                  <c:v>3.3264</c:v>
                </c:pt>
                <c:pt idx="65">
                  <c:v>3.2238</c:v>
                </c:pt>
                <c:pt idx="66">
                  <c:v>3.1273</c:v>
                </c:pt>
              </c:numCache>
            </c:numRef>
          </c:yVal>
          <c:smooth val="1"/>
        </c:ser>
        <c:ser>
          <c:idx val="1"/>
          <c:order val="1"/>
          <c:tx>
            <c:strRef>
              <c:f>"6m"</c:f>
              <c:strCache>
                <c:ptCount val="1"/>
                <c:pt idx="0">
                  <c:v>6m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elete val="1"/>
          </c:dLbls>
          <c:xVal>
            <c:numRef>
              <c:f>[工作簿1]Sheet1!$K$84:$K$150</c:f>
              <c:numCache>
                <c:formatCode>General</c:formatCode>
                <c:ptCount val="67"/>
                <c:pt idx="0">
                  <c:v>-33</c:v>
                </c:pt>
                <c:pt idx="1">
                  <c:v>-32</c:v>
                </c:pt>
                <c:pt idx="2">
                  <c:v>-31</c:v>
                </c:pt>
                <c:pt idx="3">
                  <c:v>-30</c:v>
                </c:pt>
                <c:pt idx="4">
                  <c:v>-29</c:v>
                </c:pt>
                <c:pt idx="5">
                  <c:v>-28</c:v>
                </c:pt>
                <c:pt idx="6">
                  <c:v>-27</c:v>
                </c:pt>
                <c:pt idx="7">
                  <c:v>-26</c:v>
                </c:pt>
                <c:pt idx="8">
                  <c:v>-25</c:v>
                </c:pt>
                <c:pt idx="9">
                  <c:v>-24</c:v>
                </c:pt>
                <c:pt idx="10">
                  <c:v>-23</c:v>
                </c:pt>
                <c:pt idx="11">
                  <c:v>-22</c:v>
                </c:pt>
                <c:pt idx="12">
                  <c:v>-21</c:v>
                </c:pt>
                <c:pt idx="13">
                  <c:v>-20</c:v>
                </c:pt>
                <c:pt idx="14">
                  <c:v>-19</c:v>
                </c:pt>
                <c:pt idx="15">
                  <c:v>-18</c:v>
                </c:pt>
                <c:pt idx="16">
                  <c:v>-17</c:v>
                </c:pt>
                <c:pt idx="17">
                  <c:v>-16</c:v>
                </c:pt>
                <c:pt idx="18">
                  <c:v>-15</c:v>
                </c:pt>
                <c:pt idx="19">
                  <c:v>-14</c:v>
                </c:pt>
                <c:pt idx="20">
                  <c:v>-13</c:v>
                </c:pt>
                <c:pt idx="21">
                  <c:v>-12</c:v>
                </c:pt>
                <c:pt idx="22">
                  <c:v>-11</c:v>
                </c:pt>
                <c:pt idx="23">
                  <c:v>-10</c:v>
                </c:pt>
                <c:pt idx="24">
                  <c:v>-9</c:v>
                </c:pt>
                <c:pt idx="25">
                  <c:v>-8</c:v>
                </c:pt>
                <c:pt idx="26">
                  <c:v>-7</c:v>
                </c:pt>
                <c:pt idx="27">
                  <c:v>-6</c:v>
                </c:pt>
                <c:pt idx="28">
                  <c:v>-5</c:v>
                </c:pt>
                <c:pt idx="29">
                  <c:v>-4</c:v>
                </c:pt>
                <c:pt idx="30">
                  <c:v>-3</c:v>
                </c:pt>
                <c:pt idx="31">
                  <c:v>-2</c:v>
                </c:pt>
                <c:pt idx="32">
                  <c:v>-1</c:v>
                </c:pt>
                <c:pt idx="33">
                  <c:v>0</c:v>
                </c:pt>
                <c:pt idx="34">
                  <c:v>1</c:v>
                </c:pt>
                <c:pt idx="35">
                  <c:v>2</c:v>
                </c:pt>
                <c:pt idx="36">
                  <c:v>3</c:v>
                </c:pt>
                <c:pt idx="37">
                  <c:v>4</c:v>
                </c:pt>
                <c:pt idx="38">
                  <c:v>5</c:v>
                </c:pt>
                <c:pt idx="39">
                  <c:v>6</c:v>
                </c:pt>
                <c:pt idx="40">
                  <c:v>7</c:v>
                </c:pt>
                <c:pt idx="41">
                  <c:v>8</c:v>
                </c:pt>
                <c:pt idx="42">
                  <c:v>9</c:v>
                </c:pt>
                <c:pt idx="43">
                  <c:v>10</c:v>
                </c:pt>
                <c:pt idx="44">
                  <c:v>11</c:v>
                </c:pt>
                <c:pt idx="45">
                  <c:v>12</c:v>
                </c:pt>
                <c:pt idx="46">
                  <c:v>13</c:v>
                </c:pt>
                <c:pt idx="47">
                  <c:v>14</c:v>
                </c:pt>
                <c:pt idx="48">
                  <c:v>15</c:v>
                </c:pt>
                <c:pt idx="49">
                  <c:v>16</c:v>
                </c:pt>
                <c:pt idx="50">
                  <c:v>17</c:v>
                </c:pt>
                <c:pt idx="51">
                  <c:v>18</c:v>
                </c:pt>
                <c:pt idx="52">
                  <c:v>19</c:v>
                </c:pt>
                <c:pt idx="53">
                  <c:v>20</c:v>
                </c:pt>
                <c:pt idx="54">
                  <c:v>21</c:v>
                </c:pt>
                <c:pt idx="55">
                  <c:v>22</c:v>
                </c:pt>
                <c:pt idx="56">
                  <c:v>23</c:v>
                </c:pt>
                <c:pt idx="57">
                  <c:v>24</c:v>
                </c:pt>
                <c:pt idx="58">
                  <c:v>25</c:v>
                </c:pt>
                <c:pt idx="59">
                  <c:v>26</c:v>
                </c:pt>
                <c:pt idx="60">
                  <c:v>27</c:v>
                </c:pt>
                <c:pt idx="61">
                  <c:v>28</c:v>
                </c:pt>
                <c:pt idx="62">
                  <c:v>29</c:v>
                </c:pt>
                <c:pt idx="63">
                  <c:v>30</c:v>
                </c:pt>
                <c:pt idx="64">
                  <c:v>31</c:v>
                </c:pt>
                <c:pt idx="65">
                  <c:v>32</c:v>
                </c:pt>
                <c:pt idx="66">
                  <c:v>33</c:v>
                </c:pt>
              </c:numCache>
            </c:numRef>
          </c:xVal>
          <c:yVal>
            <c:numRef>
              <c:f>[工作簿1]Sheet1!$O$84:$O$150</c:f>
              <c:numCache>
                <c:formatCode>General</c:formatCode>
                <c:ptCount val="67"/>
                <c:pt idx="0">
                  <c:v>3.1432</c:v>
                </c:pt>
                <c:pt idx="1">
                  <c:v>3.2412</c:v>
                </c:pt>
                <c:pt idx="2">
                  <c:v>3.3454</c:v>
                </c:pt>
                <c:pt idx="3">
                  <c:v>3.4566</c:v>
                </c:pt>
                <c:pt idx="4">
                  <c:v>3.5755</c:v>
                </c:pt>
                <c:pt idx="5">
                  <c:v>3.7027</c:v>
                </c:pt>
                <c:pt idx="6">
                  <c:v>3.8393</c:v>
                </c:pt>
                <c:pt idx="7">
                  <c:v>3.9863</c:v>
                </c:pt>
                <c:pt idx="8">
                  <c:v>4.145</c:v>
                </c:pt>
                <c:pt idx="9">
                  <c:v>4.3167</c:v>
                </c:pt>
                <c:pt idx="10">
                  <c:v>4.5031</c:v>
                </c:pt>
                <c:pt idx="11">
                  <c:v>4.7062</c:v>
                </c:pt>
                <c:pt idx="12">
                  <c:v>4.9282</c:v>
                </c:pt>
                <c:pt idx="13">
                  <c:v>5.1719</c:v>
                </c:pt>
                <c:pt idx="14">
                  <c:v>5.4406</c:v>
                </c:pt>
                <c:pt idx="15">
                  <c:v>5.738</c:v>
                </c:pt>
                <c:pt idx="16">
                  <c:v>6.069</c:v>
                </c:pt>
                <c:pt idx="17">
                  <c:v>6.4392</c:v>
                </c:pt>
                <c:pt idx="18">
                  <c:v>6.8555</c:v>
                </c:pt>
                <c:pt idx="19">
                  <c:v>7.3264</c:v>
                </c:pt>
                <c:pt idx="20">
                  <c:v>7.8621</c:v>
                </c:pt>
                <c:pt idx="21">
                  <c:v>8.4747</c:v>
                </c:pt>
                <c:pt idx="22">
                  <c:v>9.1782</c:v>
                </c:pt>
                <c:pt idx="23">
                  <c:v>9.9879</c:v>
                </c:pt>
                <c:pt idx="24">
                  <c:v>10.9171</c:v>
                </c:pt>
                <c:pt idx="25">
                  <c:v>11.9706</c:v>
                </c:pt>
                <c:pt idx="26">
                  <c:v>13.1296</c:v>
                </c:pt>
                <c:pt idx="27">
                  <c:v>14.3248</c:v>
                </c:pt>
                <c:pt idx="28">
                  <c:v>15.4047</c:v>
                </c:pt>
                <c:pt idx="29">
                  <c:v>16.1411</c:v>
                </c:pt>
                <c:pt idx="30">
                  <c:v>16.3474</c:v>
                </c:pt>
                <c:pt idx="31">
                  <c:v>16.0764</c:v>
                </c:pt>
                <c:pt idx="32">
                  <c:v>15.6568</c:v>
                </c:pt>
                <c:pt idx="33">
                  <c:v>15.4641</c:v>
                </c:pt>
                <c:pt idx="34">
                  <c:v>15.6568</c:v>
                </c:pt>
                <c:pt idx="35">
                  <c:v>16.0764</c:v>
                </c:pt>
                <c:pt idx="36">
                  <c:v>16.3474</c:v>
                </c:pt>
                <c:pt idx="37">
                  <c:v>16.1411</c:v>
                </c:pt>
                <c:pt idx="38">
                  <c:v>15.4047</c:v>
                </c:pt>
                <c:pt idx="39">
                  <c:v>14.3248</c:v>
                </c:pt>
                <c:pt idx="40">
                  <c:v>13.1296</c:v>
                </c:pt>
                <c:pt idx="41">
                  <c:v>11.9706</c:v>
                </c:pt>
                <c:pt idx="42">
                  <c:v>10.9171</c:v>
                </c:pt>
                <c:pt idx="43">
                  <c:v>9.9879</c:v>
                </c:pt>
                <c:pt idx="44">
                  <c:v>9.1782</c:v>
                </c:pt>
                <c:pt idx="45">
                  <c:v>8.4747</c:v>
                </c:pt>
                <c:pt idx="46">
                  <c:v>7.8621</c:v>
                </c:pt>
                <c:pt idx="47">
                  <c:v>7.3264</c:v>
                </c:pt>
                <c:pt idx="48">
                  <c:v>6.8555</c:v>
                </c:pt>
                <c:pt idx="49">
                  <c:v>6.4392</c:v>
                </c:pt>
                <c:pt idx="50">
                  <c:v>6.069</c:v>
                </c:pt>
                <c:pt idx="51">
                  <c:v>5.738</c:v>
                </c:pt>
                <c:pt idx="52">
                  <c:v>5.4406</c:v>
                </c:pt>
                <c:pt idx="53">
                  <c:v>5.1719</c:v>
                </c:pt>
                <c:pt idx="54">
                  <c:v>4.9282</c:v>
                </c:pt>
                <c:pt idx="55">
                  <c:v>4.7062</c:v>
                </c:pt>
                <c:pt idx="56">
                  <c:v>4.5031</c:v>
                </c:pt>
                <c:pt idx="57">
                  <c:v>4.3167</c:v>
                </c:pt>
                <c:pt idx="58">
                  <c:v>4.145</c:v>
                </c:pt>
                <c:pt idx="59">
                  <c:v>3.9863</c:v>
                </c:pt>
                <c:pt idx="60">
                  <c:v>3.8393</c:v>
                </c:pt>
                <c:pt idx="61">
                  <c:v>3.7027</c:v>
                </c:pt>
                <c:pt idx="62">
                  <c:v>3.5755</c:v>
                </c:pt>
                <c:pt idx="63">
                  <c:v>3.4566</c:v>
                </c:pt>
                <c:pt idx="64">
                  <c:v>3.3454</c:v>
                </c:pt>
                <c:pt idx="65">
                  <c:v>3.2412</c:v>
                </c:pt>
                <c:pt idx="66">
                  <c:v>3.1432</c:v>
                </c:pt>
              </c:numCache>
            </c:numRef>
          </c:yVal>
          <c:smooth val="1"/>
        </c:ser>
        <c:dLbls>
          <c:showLegendKey val="0"/>
          <c:showVal val="0"/>
          <c:showCatName val="0"/>
          <c:showSerName val="0"/>
          <c:showPercent val="0"/>
          <c:showBubbleSize val="0"/>
        </c:dLbls>
        <c:axId val="618195720"/>
        <c:axId val="898280171"/>
      </c:scatterChart>
      <c:valAx>
        <c:axId val="618195720"/>
        <c:scaling>
          <c:orientation val="minMax"/>
          <c:max val="33"/>
          <c:min val="-33"/>
        </c:scaling>
        <c:delete val="0"/>
        <c:axPos val="b"/>
        <c:majorGridlines>
          <c:spPr>
            <a:ln w="9525" cap="flat" cmpd="sng" algn="ctr">
              <a:solidFill>
                <a:schemeClr val="lt1">
                  <a:lumMod val="902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距线路走廊中心距离（m）</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8280171"/>
        <c:crosses val="autoZero"/>
        <c:crossBetween val="midCat"/>
        <c:majorUnit val="2"/>
      </c:valAx>
      <c:valAx>
        <c:axId val="898280171"/>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工频电场磁感应强度（μT）</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8195720"/>
        <c:crossesAt val="-33"/>
        <c:crossBetween val="midCat"/>
      </c:valAx>
      <c:spPr>
        <a:noFill/>
        <a:ln w="9525" cap="flat" cmpd="sng" algn="ctr">
          <a:solidFill>
            <a:schemeClr val="tx1">
              <a:lumMod val="15000"/>
              <a:lumOff val="85000"/>
            </a:schemeClr>
          </a:solidFill>
          <a:round/>
        </a:ln>
        <a:effectLst/>
      </c:spPr>
    </c:plotArea>
    <c:legend>
      <c:legendPos val="b"/>
      <c:layout>
        <c:manualLayout>
          <c:xMode val="edge"/>
          <c:yMode val="edge"/>
          <c:x val="0.404504048582996"/>
          <c:y val="0.12294823232323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1d73ad3-1de2-421a-8d41-a56e914fa2c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8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solidFill>
          <a:schemeClr val="phClr"/>
        </a:solid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spPr>
      <a:ln w="9525" cap="flat" cmpd="sng" algn="ctr">
        <a:solidFill>
          <a:schemeClr val="tx1">
            <a:lumMod val="15000"/>
            <a:lumOff val="85000"/>
          </a:schemeClr>
        </a:solidFill>
        <a:round/>
      </a:ln>
    </cs:spPr>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18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solidFill>
          <a:schemeClr val="phClr"/>
        </a:solid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spPr>
      <a:ln w="9525" cap="flat" cmpd="sng" algn="ctr">
        <a:solidFill>
          <a:schemeClr val="tx1">
            <a:lumMod val="15000"/>
            <a:lumOff val="85000"/>
          </a:schemeClr>
        </a:solidFill>
        <a:round/>
      </a:ln>
    </cs:spPr>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736a4e3a-9558-4051-8739-3282f8667f14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5BE083FE</paraID>
      <start>0</start>
      <end>2</end>
      <status>unmodified</status>
      <modifiedWord/>
      <trackRevisions>false</trackRevisions>
    </reviewItem>
    <reviewItem>
      <errorID>404c0721-220a-432c-9f54-a25cd2b02c7f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2DB716C9</paraID>
      <start>0</start>
      <end>2</end>
      <status>unmodified</status>
      <modifiedWord/>
      <trackRevisions>false</trackRevisions>
    </reviewItem>
    <reviewItem>
      <errorID>ac7af379-5932-4356-98b4-818c54380f10</errorID>
      <errorWord>）</errorWord>
      <group>L1_Word</group>
      <groupName>字词问题</groupName>
      <ability>L2_Typo</ability>
      <abilityName>字词错误</abilityName>
      <candidateList>
        <item>）和</item>
      </candidateList>
      <explain/>
      <paraID>3A3582D0</paraID>
      <start>45</start>
      <end>47</end>
      <status>modified</status>
      <modifiedWord>）和</modifiedWord>
      <trackRevisions>false</trackRevisions>
    </reviewItem>
    <reviewItem>
      <errorID>551c62a6-da46-4dc8-a946-3b742013d710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48D2114B</paraID>
      <start>0</start>
      <end>2</end>
      <status>unmodified</status>
      <modifiedWord/>
      <trackRevisions>false</trackRevisions>
    </reviewItem>
    <reviewItem>
      <errorID>951f40b9-acb9-4a38-a438-1dd9ea4a7b49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2DCBD5CB</paraID>
      <start>0</start>
      <end>2</end>
      <status>unmodified</status>
      <modifiedWord/>
      <trackRevisions>false</trackRevisions>
    </reviewItem>
    <reviewItem>
      <errorID>62017258-4cc4-412e-8100-8d50d7c29319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7DCC915F</paraID>
      <start>0</start>
      <end>2</end>
      <status>unmodified</status>
      <modifiedWord/>
      <trackRevisions>false</trackRevisions>
    </reviewItem>
    <reviewItem>
      <errorID>f5cabb1b-1e0c-4e2f-a752-acb3dd03a567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7BEA8B5B</paraID>
      <start>0</start>
      <end>2</end>
      <status>unmodified</status>
      <modifiedWord/>
      <trackRevisions>false</trackRevisions>
    </reviewItem>
    <reviewItem>
      <errorID>ac21bb5f-ced8-4e05-a0d0-7ba8180ac88b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665B70AF</paraID>
      <start>0</start>
      <end>2</end>
      <status>unmodified</status>
      <modifiedWord/>
      <trackRevisions>false</trackRevisions>
    </reviewItem>
    <reviewItem>
      <errorID>cef075e2-a53b-46b6-a279-c92d0ab09d60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3570419C</paraID>
      <start>0</start>
      <end>2</end>
      <status>unmodified</status>
      <modifiedWord/>
      <trackRevisions>false</trackRevisions>
    </reviewItem>
    <reviewItem>
      <errorID>4a6c7183-d8c5-44c8-ad84-49f69e70ffda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2C3F0BAD</paraID>
      <start>0</start>
      <end>2</end>
      <status>unmodified</status>
      <modifiedWord/>
      <trackRevisions>false</trackRevisions>
    </reviewItem>
    <reviewItem>
      <errorID>09aec61a-ece3-4c43-874b-3ec9783478d1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7F075917</paraID>
      <start>0</start>
      <end>2</end>
      <status>unmodified</status>
      <modifiedWord/>
      <trackRevisions>false</trackRevisions>
    </reviewItem>
    <reviewItem>
      <errorID>593fd5f2-74ef-4f7f-a7f3-e9b77623db0f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18971258</paraID>
      <start>0</start>
      <end>2</end>
      <status>unmodified</status>
      <modifiedWord/>
      <trackRevisions>false</trackRevisions>
    </reviewItem>
    <reviewItem>
      <errorID>bc2dbe4e-a5b2-44a6-b30c-4f079ab104ad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2FCBC7B6</paraID>
      <start>0</start>
      <end>2</end>
      <status>unmodified</status>
      <modifiedWord/>
      <trackRevisions>false</trackRevisions>
    </reviewItem>
    <reviewItem>
      <errorID>5ecb6c1b-655b-4c95-9f13-97b79cc84d8a</errorID>
      <errorWord>~</errorWord>
      <group>L1_Format</group>
      <groupName>格式问题</groupName>
      <ability>L2_HalfPunc_CN</ability>
      <abilityName>全半角问题</abilityName>
      <candidateList>
        <item>～</item>
      </candidateList>
      <explain>文本全半角错误。</explain>
      <paraID>4F4C4A8B</paraID>
      <start>6</start>
      <end>7</end>
      <status>unmodified</status>
      <modifiedWord/>
      <trackRevisions>false</trackRevisions>
    </reviewItem>
    <reviewItem>
      <errorID>7bba393f-3bec-4ada-9d84-ebf2599a01ea</errorID>
      <errorWord>~</errorWord>
      <group>L1_Format</group>
      <groupName>格式问题</groupName>
      <ability>L2_HalfPunc_CN</ability>
      <abilityName>全半角问题</abilityName>
      <candidateList>
        <item>～</item>
      </candidateList>
      <explain>文本全半角错误。</explain>
      <paraID>56AF1185</paraID>
      <start>6</start>
      <end>7</end>
      <status>unmodified</status>
      <modifiedWord/>
      <trackRevisions>false</trackRevisions>
    </reviewItem>
    <reviewItem>
      <errorID>f46352e8-9f61-4277-bd8e-bc0d8fc0ccd0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5289BC8F</paraID>
      <start>0</start>
      <end>2</end>
      <status>unmodified</status>
      <modifiedWord/>
      <trackRevisions>false</trackRevisions>
    </reviewItem>
    <reviewItem>
      <errorID>710ff1b7-839b-42cf-89b1-c5073f77abb0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6940257D</paraID>
      <start>0</start>
      <end>2</end>
      <status>unmodified</status>
      <modifiedWord/>
      <trackRevisions>false</trackRevisions>
    </reviewItem>
    <reviewItem>
      <errorID>cf56e6d1-9a24-4c69-becd-c9ea2b14c719</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13467281</paraID>
      <start>0</start>
      <end>3</end>
      <status>unmodified</status>
      <modifiedWord/>
      <trackRevisions>false</trackRevisions>
    </reviewItem>
    <reviewItem>
      <errorID>d6447d25-9794-47fb-9f31-8c4128315014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447B5557</paraID>
      <start>0</start>
      <end>2</end>
      <status>unmodified</status>
      <modifiedWord/>
      <trackRevisions>false</trackRevisions>
    </reviewItem>
    <reviewItem>
      <errorID>e5551712-3de5-41c8-bbd1-c7876546eaba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26AAD62F</paraID>
      <start>0</start>
      <end>2</end>
      <status>unmodified</status>
      <modifiedWord/>
      <trackRevisions>false</trackRevisions>
    </reviewItem>
    <reviewItem>
      <errorID>7626ae33-e1b3-4542-b94f-7d23c522ce61</errorID>
      <errorWord>（</errorWord>
      <group>L1_Format</group>
      <groupName>格式问题</groupName>
      <ability>L2_HalfPunc_CN</ability>
      <abilityName>全半角问题</abilityName>
      <candidateList>
        <item>(</item>
      </candidateList>
      <explain>文本全半角错误。</explain>
      <paraID>1C5FC0E7</paraID>
      <start>0</start>
      <end>1</end>
      <status>unmodified</status>
      <modifiedWord/>
      <trackRevisions>false</trackRevisions>
    </reviewItem>
    <reviewItem>
      <errorID>4ede3e71-079f-4c6a-ba37-e4143a8a54d4</errorID>
      <errorWord>）</errorWord>
      <group>L1_Format</group>
      <groupName>格式问题</groupName>
      <ability>L2_HalfPunc_CN</ability>
      <abilityName>全半角问题</abilityName>
      <candidateList>
        <item>)</item>
      </candidateList>
      <explain>文本全半角错误。</explain>
      <paraID>1C5FC0E7</paraID>
      <start>6</start>
      <end>7</end>
      <status>unmodified</status>
      <modifiedWord/>
      <trackRevisions>false</trackRevisions>
    </reviewItem>
    <reviewItem>
      <errorID>3fec9bef-9b2a-41c0-8128-9c47fdf3395b</errorID>
      <errorWord>（</errorWord>
      <group>L1_Format</group>
      <groupName>格式问题</groupName>
      <ability>L2_HalfPunc_CN</ability>
      <abilityName>全半角问题</abilityName>
      <candidateList>
        <item>(</item>
      </candidateList>
      <explain>文本全半角错误。</explain>
      <paraID>3A9911D8</paraID>
      <start>0</start>
      <end>1</end>
      <status>unmodified</status>
      <modifiedWord/>
      <trackRevisions>false</trackRevisions>
    </reviewItem>
    <reviewItem>
      <errorID>985ab820-2508-4c19-a5a2-60919a05f8ec</errorID>
      <errorWord>）</errorWord>
      <group>L1_Format</group>
      <groupName>格式问题</groupName>
      <ability>L2_HalfPunc_CN</ability>
      <abilityName>全半角问题</abilityName>
      <candidateList>
        <item>)</item>
      </candidateList>
      <explain>文本全半角错误。</explain>
      <paraID>3A9911D8</paraID>
      <start>6</start>
      <end>7</end>
      <status>unmodified</status>
      <modifiedWord/>
      <trackRevisions>false</trackRevisions>
    </reviewItem>
    <reviewItem>
      <errorID>1083db58-b0ad-4310-9437-88271da3b489</errorID>
      <errorWord>IV类</errorWord>
      <group>L1_Knowledge</group>
      <groupName>知识性问题</groupName>
      <ability>L2_Knowledge</ability>
      <abilityName>其他知识</abilityName>
      <candidateList>
        <item>Ⅳ类</item>
      </candidateList>
      <explain>中文环境下罗马数字格式错误。</explain>
      <paraID>6B121C80</paraID>
      <start>65</start>
      <end>68</end>
      <status>unmodified</status>
      <modifiedWord/>
      <trackRevisions>false</trackRevisions>
    </reviewItem>
    <reviewItem>
      <errorID>ec56b129-13eb-426a-b700-258089b99672</errorID>
      <errorWord>IV类</errorWord>
      <group>L1_Knowledge</group>
      <groupName>知识性问题</groupName>
      <ability>L2_Knowledge</ability>
      <abilityName>其他知识</abilityName>
      <candidateList>
        <item>Ⅳ类</item>
      </candidateList>
      <explain>中文环境下罗马数字格式错误。</explain>
      <paraID> DD8DC70</paraID>
      <start>117</start>
      <end>120</end>
      <status>unmodified</status>
      <modifiedWord/>
      <trackRevisions>false</trackRevisions>
    </reviewItem>
    <reviewItem>
      <errorID>e94f41ba-ca35-4fbf-949e-a3f3fd732977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5B5A37C6</paraID>
      <start>18</start>
      <end>19</end>
      <status>unmodified</status>
      <modifiedWord/>
      <trackRevisions>false</trackRevisions>
    </reviewItem>
    <reviewItem>
      <errorID>8beb0120-e950-41b3-a799-f9a0a2312e01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630BA395</paraID>
      <start>0</start>
      <end>2</end>
      <status>unmodified</status>
      <modifiedWord/>
      <trackRevisions>false</trackRevisions>
    </reviewItem>
    <reviewItem>
      <errorID>2fe51fbb-abca-41ea-8b2b-a665a08992d3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438BFBC3</paraID>
      <start>0</start>
      <end>2</end>
      <status>unmodified</status>
      <modifiedWord/>
      <trackRevisions>false</trackRevisions>
    </reviewItem>
    <reviewItem>
      <errorID>26f1f452-bb8a-4f87-8726-38a88840a487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2D1EBE41</paraID>
      <start>0</start>
      <end>2</end>
      <status>unmodified</status>
      <modifiedWord/>
      <trackRevisions>false</trackRevisions>
    </reviewItem>
    <reviewItem>
      <errorID>fdfd0d9b-d4ee-4bd6-852a-a7a52bd0959e</errorID>
      <errorWord>起动</errorWord>
      <group>L1_Word</group>
      <groupName>字词问题</groupName>
      <ability>L2_Typo</ability>
      <abilityName>字词错误</abilityName>
      <candidateList>
        <item>启动</item>
      </candidateList>
      <explain>存在发音相同字词的误用。</explain>
      <paraID>389904BE</paraID>
      <start>99</start>
      <end>101</end>
      <status>modified</status>
      <modifiedWord>启动</modifiedWord>
      <trackRevisions>false</trackRevisions>
    </reviewItem>
    <reviewItem>
      <errorID>95b71a67-9112-46d0-b5b1-0bc9643d7929</errorID>
      <errorWord>期</errorWord>
      <group>L1_Word</group>
      <groupName>字词问题</groupName>
      <ability>L2_Typo</ability>
      <abilityName>字词错误</abilityName>
      <candidateList>
        <item>期间</item>
      </candidateList>
      <explain/>
      <paraID> 14DAFCB</paraID>
      <start>281</start>
      <end>282</end>
      <status>unmodified</status>
      <modifiedWord/>
      <trackRevisions>false</trackRevisions>
    </reviewItem>
    <reviewItem>
      <errorID>798ec629-2f36-45f4-8650-ca898eb2dac2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6D5E93CF</paraID>
      <start>0</start>
      <end>2</end>
      <status>unmodified</status>
      <modifiedWord/>
      <trackRevisions>false</trackRevisions>
    </reviewItem>
    <reviewItem>
      <errorID>b9d3d638-96ba-4215-a892-ccb1a6228132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5C5214AC</paraID>
      <start>0</start>
      <end>2</end>
      <status>unmodified</status>
      <modifiedWord/>
      <trackRevisions>false</trackRevisions>
    </reviewItem>
    <reviewItem>
      <errorID>4d2a7cf5-38c6-4722-945a-5738f1ec0963</errorID>
      <errorWord>)</errorWord>
      <group>L1_Format</group>
      <groupName>格式问题</groupName>
      <ability>L2_HalfPunc_CN</ability>
      <abilityName>全半角问题</abilityName>
      <candidateList>
        <item>）</item>
      </candidateList>
      <explain>文本全半角错误。</explain>
      <paraID>1E4D369F</paraID>
      <start>89</start>
      <end>90</end>
      <status>unmodified</status>
      <modifiedWord/>
      <trackRevisions>false</trackRevisions>
    </reviewItem>
    <reviewItem>
      <errorID>802293c3-f353-4ded-8f29-b5902077df3f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6C77FE1E</paraID>
      <start>0</start>
      <end>2</end>
      <status>unmodified</status>
      <modifiedWord/>
      <trackRevisions>false</trackRevisions>
    </reviewItem>
    <reviewItem>
      <errorID>1301d05f-0118-4132-8737-a3628597d067</errorID>
      <errorWord>单另</errorWord>
      <group>L1_Word</group>
      <groupName>字词问题</groupName>
      <ability>L2_Typo</ability>
      <abilityName>字词错误</abilityName>
      <candidateList>
        <item>单独</item>
      </candidateList>
      <explain/>
      <paraID>34BB4370</paraID>
      <start>85</start>
      <end>87</end>
      <status>modified</status>
      <modifiedWord>单独</modifiedWord>
      <trackRevisions>false</trackRevisions>
    </reviewItem>
    <reviewItem>
      <errorID>d887748e-dc55-4158-97ee-51d8561ae090</errorID>
      <errorWord>~</errorWord>
      <group>L1_Format</group>
      <groupName>格式问题</groupName>
      <ability>L2_HalfPunc_CN</ability>
      <abilityName>全半角问题</abilityName>
      <candidateList>
        <item>～</item>
      </candidateList>
      <explain>文本全半角错误。</explain>
      <paraID>5307A685</paraID>
      <start>146</start>
      <end>147</end>
      <status>unmodified</status>
      <modifiedWord/>
      <trackRevisions>false</trackRevisions>
    </reviewItem>
    <reviewItem>
      <errorID>90bbaded-7a29-4af5-bb1f-3468840a6037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6AE5EB3F</paraID>
      <start>0</start>
      <end>2</end>
      <status>unmodified</status>
      <modifiedWord/>
      <trackRevisions>false</trackRevisions>
    </reviewItem>
    <reviewItem>
      <errorID>6d2f170e-292c-40ba-92ae-82369c29bd64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7F747FD3</paraID>
      <start>0</start>
      <end>2</end>
      <status>unmodified</status>
      <modifiedWord/>
      <trackRevisions>false</trackRevisions>
    </reviewItem>
    <reviewItem>
      <errorID>814d25a7-5b35-4baa-ae93-be99329c8457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7092360C</paraID>
      <start>0</start>
      <end>2</end>
      <status>unmodified</status>
      <modifiedWord/>
      <trackRevisions>false</trackRevisions>
    </reviewItem>
    <reviewItem>
      <errorID>7f9a077b-da3b-4c82-b831-1b84ca479216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6D24CB32</paraID>
      <start>0</start>
      <end>2</end>
      <status>unmodified</status>
      <modifiedWord/>
      <trackRevisions>false</trackRevisions>
    </reviewItem>
    <reviewItem>
      <errorID>f927e7d1-ce26-4691-bdde-22c1ac9f5c54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24864892</paraID>
      <start>0</start>
      <end>2</end>
      <status>unmodified</status>
      <modifiedWord/>
      <trackRevisions>false</trackRevisions>
    </reviewItem>
    <reviewItem>
      <errorID>9b680a5f-c045-4c63-92ae-65a04f1db941</errorID>
      <errorWord>（</errorWord>
      <group>L1_Format</group>
      <groupName>格式问题</groupName>
      <ability>L2_HalfPunc_CN</ability>
      <abilityName>全半角问题</abilityName>
      <candidateList>
        <item>(</item>
      </candidateList>
      <explain>文本全半角错误。</explain>
      <paraID>36214888</paraID>
      <start>4</start>
      <end>5</end>
      <status>unmodified</status>
      <modifiedWord/>
      <trackRevisions>false</trackRevisions>
    </reviewItem>
    <reviewItem>
      <errorID>b5ea32df-8c86-4bb0-9742-621e30638ce3</errorID>
      <errorWord>）</errorWord>
      <group>L1_Format</group>
      <groupName>格式问题</groupName>
      <ability>L2_HalfPunc_CN</ability>
      <abilityName>全半角问题</abilityName>
      <candidateList>
        <item>)</item>
      </candidateList>
      <explain>文本全半角错误。</explain>
      <paraID>36214888</paraID>
      <start>8</start>
      <end>9</end>
      <status>unmodified</status>
      <modifiedWord/>
      <trackRevisions>false</trackRevisions>
    </reviewItem>
    <reviewItem>
      <errorID>6c5ba771-58cb-4ad3-9979-d459864b92c4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2FA5875A</paraID>
      <start>0</start>
      <end>2</end>
      <status>unmodified</status>
      <modifiedWord/>
      <trackRevisions>false</trackRevisions>
    </reviewItem>
    <reviewItem>
      <errorID>afbee6bc-2072-4c68-a9ec-0445692768ba</errorID>
      <errorWord>(</errorWord>
      <group>L1_Format</group>
      <groupName>格式问题</groupName>
      <ability>L2_HalfPunc_CN</ability>
      <abilityName>全半角问题</abilityName>
      <candidateList>
        <item>（</item>
      </candidateList>
      <explain>文本全半角错误。</explain>
      <paraID>1F2F35F0</paraID>
      <start>52</start>
      <end>53</end>
      <status>unmodified</status>
      <modifiedWord/>
      <trackRevisions>false</trackRevisions>
    </reviewItem>
    <reviewItem>
      <errorID>a7129edc-a52b-46bc-bf14-bf53000e3da8</errorID>
      <errorWord>)</errorWord>
      <group>L1_Format</group>
      <groupName>格式问题</groupName>
      <ability>L2_HalfPunc_CN</ability>
      <abilityName>全半角问题</abilityName>
      <candidateList>
        <item>）</item>
      </candidateList>
      <explain>文本全半角错误。</explain>
      <paraID>1F2F35F0</paraID>
      <start>71</start>
      <end>72</end>
      <status>unmodified</status>
      <modifiedWord/>
      <trackRevisions>false</trackRevisions>
    </reviewItem>
    <reviewItem>
      <errorID>1ab6e25a-2b78-4c97-9857-1f47b5b5006b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1F2F35F0</paraID>
      <start>89</start>
      <end>90</end>
      <status>unmodified</status>
      <modifiedWord/>
      <trackRevisions>false</trackRevisions>
    </reviewItem>
    <reviewItem>
      <errorID>82ab1d1b-7153-4548-bfbc-d990720a2db8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1741500B</paraID>
      <start>2</start>
      <end>3</end>
      <status>unmodified</status>
      <modifiedWord/>
      <trackRevisions>false</trackRevisions>
    </reviewItem>
    <reviewItem>
      <errorID>a511e005-e39f-4faa-96b5-a9a42c419aa4</errorID>
      <errorWord>-</errorWord>
      <group>L1_Format</group>
      <groupName>格式问题</groupName>
      <ability>L2_HalfPunc_CN</ability>
      <abilityName>全半角问题</abilityName>
      <candidateList>
        <item>－</item>
      </candidateList>
      <explain>文本全半角错误。</explain>
      <paraID>4D74B398</paraID>
      <start>3</start>
      <end>4</end>
      <status>unmodified</status>
      <modifiedWord/>
      <trackRevisions>false</trackRevisions>
    </reviewItem>
    <reviewItem>
      <errorID>87c32da0-036e-4432-88d3-39beac40c64c</errorID>
      <errorWord>-</errorWord>
      <group>L1_Format</group>
      <groupName>格式问题</groupName>
      <ability>L2_HalfPunc_CN</ability>
      <abilityName>全半角问题</abilityName>
      <candidateList>
        <item>－</item>
      </candidateList>
      <explain>文本全半角错误。</explain>
      <paraID>67BF4A11</paraID>
      <start>3</start>
      <end>4</end>
      <status>unmodified</status>
      <modifiedWord/>
      <trackRevisions>false</trackRevisions>
    </reviewItem>
    <reviewItem>
      <errorID>bdaa8b37-9fa3-4c28-b87c-982b02d9ff97</errorID>
      <errorWord>,</errorWord>
      <group>L1_Format</group>
      <groupName>格式问题</groupName>
      <ability>L2_HalfPunc_CN</ability>
      <abilityName>全半角问题</abilityName>
      <candidateList>
        <item>，</item>
      </candidateList>
      <explain>文本全半角错误。</explain>
      <paraID>5F884A1F</paraID>
      <start>48</start>
      <end>49</end>
      <status>unmodified</status>
      <modifiedWord/>
      <trackRevisions>false</trackRevisions>
    </reviewItem>
    <reviewItem>
      <errorID>d6aa1589-5843-4be3-854f-0f95be704a56</errorID>
      <errorWord>)</errorWord>
      <group>L1_Format</group>
      <groupName>格式问题</groupName>
      <ability>L2_HalfPunc_CN</ability>
      <abilityName>全半角问题</abilityName>
      <candidateList>
        <item>）</item>
      </candidateList>
      <explain>文本全半角错误。</explain>
      <paraID>5F884A1F</paraID>
      <start>73</start>
      <end>74</end>
      <status>unmodified</status>
      <modifiedWord/>
      <trackRevisions>false</trackRevisions>
    </reviewItem>
    <reviewItem>
      <errorID>85917b1e-138a-4058-8b96-f63464f6d5bf</errorID>
      <errorWord>(</errorWord>
      <group>L1_Format</group>
      <groupName>格式问题</groupName>
      <ability>L2_HalfPunc_CN</ability>
      <abilityName>全半角问题</abilityName>
      <candidateList>
        <item>（</item>
      </candidateList>
      <explain>文本全半角错误。</explain>
      <paraID>5F884A1F</paraID>
      <start>93</start>
      <end>94</end>
      <status>unmodified</status>
      <modifiedWord/>
      <trackRevisions>false</trackRevisions>
    </reviewItem>
    <reviewItem>
      <errorID>53f832d1-c640-41fb-90cd-201f21bbc0ba</errorID>
      <errorWord>)</errorWord>
      <group>L1_Format</group>
      <groupName>格式问题</groupName>
      <ability>L2_HalfPunc_CN</ability>
      <abilityName>全半角问题</abilityName>
      <candidateList>
        <item>）</item>
      </candidateList>
      <explain>文本全半角错误。</explain>
      <paraID>5F884A1F</paraID>
      <start>107</start>
      <end>108</end>
      <status>unmodified</status>
      <modifiedWord/>
      <trackRevisions>false</trackRevisions>
    </reviewItem>
    <reviewItem>
      <errorID>db2eb2ef-d4e6-4841-9256-d74c74acebe5</errorID>
      <errorWord>,</errorWord>
      <group>L1_Format</group>
      <groupName>格式问题</groupName>
      <ability>L2_HalfPunc_CN</ability>
      <abilityName>全半角问题</abilityName>
      <candidateList>
        <item>，</item>
      </candidateList>
      <explain>文本全半角错误。</explain>
      <paraID>5F884A1F</paraID>
      <start>126</start>
      <end>127</end>
      <status>unmodified</status>
      <modifiedWord/>
      <trackRevisions>false</trackRevisions>
    </reviewItem>
    <reviewItem>
      <errorID>e8dd3e21-0509-4eb2-b2b4-de83711898e9</errorID>
      <errorWord>)</errorWord>
      <group>L1_Format</group>
      <groupName>格式问题</groupName>
      <ability>L2_HalfPunc_CN</ability>
      <abilityName>全半角问题</abilityName>
      <candidateList>
        <item>）</item>
      </candidateList>
      <explain>文本全半角错误。</explain>
      <paraID>5F884A1F</paraID>
      <start>138</start>
      <end>139</end>
      <status>unmodified</status>
      <modifiedWord/>
      <trackRevisions>false</trackRevisions>
    </reviewItem>
    <reviewItem>
      <errorID>a2d574c5-a303-4e60-9454-73df7010c738</errorID>
      <errorWord>,</errorWord>
      <group>L1_Format</group>
      <groupName>格式问题</groupName>
      <ability>L2_HalfPunc_CN</ability>
      <abilityName>全半角问题</abilityName>
      <candidateList>
        <item>，</item>
      </candidateList>
      <explain>文本全半角错误。</explain>
      <paraID>3FC909EA</paraID>
      <start>33</start>
      <end>34</end>
      <status>unmodified</status>
      <modifiedWord/>
      <trackRevisions>false</trackRevisions>
    </reviewItem>
    <reviewItem>
      <errorID>70220e40-d69b-4220-a464-0acb66770e3c</errorID>
      <errorWord>;</errorWord>
      <group>L1_Format</group>
      <groupName>格式问题</groupName>
      <ability>L2_HalfPunc_CN</ability>
      <abilityName>全半角问题</abilityName>
      <candidateList>
        <item>；</item>
      </candidateList>
      <explain>文本全半角错误。</explain>
      <paraID>3FC909EA</paraID>
      <start>57</start>
      <end>58</end>
      <status>unmodified</status>
      <modifiedWord/>
      <trackRevisions>false</trackRevisions>
    </reviewItem>
    <reviewItem>
      <errorID>68470477-b31f-44a1-b4af-fa5fc9ab4908</errorID>
      <errorWord>,</errorWord>
      <group>L1_Format</group>
      <groupName>格式问题</groupName>
      <ability>L2_HalfPunc_CN</ability>
      <abilityName>全半角问题</abilityName>
      <candidateList>
        <item>，</item>
      </candidateList>
      <explain>文本全半角错误。</explain>
      <paraID>3FC909EA</paraID>
      <start>97</start>
      <end>98</end>
      <status>unmodified</status>
      <modifiedWord/>
      <trackRevisions>false</trackRevisions>
    </reviewItem>
    <reviewItem>
      <errorID>ef08cae0-f133-4a40-be79-a40e757dbaf5</errorID>
      <errorWord>;</errorWord>
      <group>L1_Format</group>
      <groupName>格式问题</groupName>
      <ability>L2_HalfPunc_CN</ability>
      <abilityName>全半角问题</abilityName>
      <candidateList>
        <item>；</item>
      </candidateList>
      <explain>文本全半角错误。</explain>
      <paraID>3FC909EA</paraID>
      <start>113</start>
      <end>114</end>
      <status>unmodified</status>
      <modifiedWord/>
      <trackRevisions>false</trackRevisions>
    </reviewItem>
    <reviewItem>
      <errorID>1ae10703-983c-4f36-b8c0-8662eba81e97</errorID>
      <errorWord>,</errorWord>
      <group>L1_Format</group>
      <groupName>格式问题</groupName>
      <ability>L2_HalfPunc_CN</ability>
      <abilityName>全半角问题</abilityName>
      <candidateList>
        <item>，</item>
      </candidateList>
      <explain>文本全半角错误。</explain>
      <paraID>3FC909EA</paraID>
      <start>153</start>
      <end>154</end>
      <status>unmodified</status>
      <modifiedWord/>
      <trackRevisions>false</trackRevisions>
    </reviewItem>
    <reviewItem>
      <errorID>b7357f47-e946-4f9b-a583-270b718f9d5c</errorID>
      <errorWord>,</errorWord>
      <group>L1_Format</group>
      <groupName>格式问题</groupName>
      <ability>L2_HalfPunc_CN</ability>
      <abilityName>全半角问题</abilityName>
      <candidateList>
        <item>，</item>
      </candidateList>
      <explain>文本全半角错误。</explain>
      <paraID>3FC909EA</paraID>
      <start>201</start>
      <end>202</end>
      <status>unmodified</status>
      <modifiedWord/>
      <trackRevisions>false</trackRevisions>
    </reviewItem>
    <reviewItem>
      <errorID>bc0c93e3-cc0e-49cd-a468-ae1ef4f5e1d6</errorID>
      <errorWord>;</errorWord>
      <group>L1_Format</group>
      <groupName>格式问题</groupName>
      <ability>L2_HalfPunc_CN</ability>
      <abilityName>全半角问题</abilityName>
      <candidateList>
        <item>；</item>
      </candidateList>
      <explain>文本全半角错误。</explain>
      <paraID>3FC909EA</paraID>
      <start>217</start>
      <end>218</end>
      <status>unmodified</status>
      <modifiedWord/>
      <trackRevisions>false</trackRevisions>
    </reviewItem>
    <reviewItem>
      <errorID>35cc5c4b-43a4-4fbc-ba40-7a0ff1201e60</errorID>
      <errorWord>(</errorWord>
      <group>L1_Format</group>
      <groupName>格式问题</groupName>
      <ability>L2_HalfPunc_CN</ability>
      <abilityName>全半角问题</abilityName>
      <candidateList>
        <item>（</item>
      </candidateList>
      <explain>文本全半角错误。</explain>
      <paraID>3FC909EA</paraID>
      <start>229</start>
      <end>230</end>
      <status>unmodified</status>
      <modifiedWord/>
      <trackRevisions>false</trackRevisions>
    </reviewItem>
    <reviewItem>
      <errorID>e90a050b-1322-4a96-a127-169be2eb4c4f</errorID>
      <errorWord>)</errorWord>
      <group>L1_Format</group>
      <groupName>格式问题</groupName>
      <ability>L2_HalfPunc_CN</ability>
      <abilityName>全半角问题</abilityName>
      <candidateList>
        <item>）</item>
      </candidateList>
      <explain>文本全半角错误。</explain>
      <paraID>3FC909EA</paraID>
      <start>241</start>
      <end>242</end>
      <status>unmodified</status>
      <modifiedWord/>
      <trackRevisions>false</trackRevisions>
    </reviewItem>
    <reviewItem>
      <errorID>6f93cf0f-08a0-4d9e-97fa-363e3ce5fb61</errorID>
      <errorWord>(</errorWord>
      <group>L1_Format</group>
      <groupName>格式问题</groupName>
      <ability>L2_HalfPunc_CN</ability>
      <abilityName>全半角问题</abilityName>
      <candidateList>
        <item>（</item>
      </candidateList>
      <explain>文本全半角错误。</explain>
      <paraID>3FC909EA</paraID>
      <start>249</start>
      <end>250</end>
      <status>unmodified</status>
      <modifiedWord/>
      <trackRevisions>false</trackRevisions>
    </reviewItem>
    <reviewItem>
      <errorID>f882c304-266a-4704-b54e-36abf6005310</errorID>
      <errorWord>,</errorWord>
      <group>L1_Format</group>
      <groupName>格式问题</groupName>
      <ability>L2_HalfPunc_CN</ability>
      <abilityName>全半角问题</abilityName>
      <candidateList>
        <item>，</item>
      </candidateList>
      <explain>文本全半角错误。</explain>
      <paraID>3FC909EA</paraID>
      <start>262</start>
      <end>263</end>
      <status>unmodified</status>
      <modifiedWord/>
      <trackRevisions>false</trackRevisions>
    </reviewItem>
    <reviewItem>
      <errorID>a4273e72-6d8b-4d30-9bab-6e3533c03250</errorID>
      <errorWord>(</errorWord>
      <group>L1_Format</group>
      <groupName>格式问题</groupName>
      <ability>L2_HalfPunc_CN</ability>
      <abilityName>全半角问题</abilityName>
      <candidateList>
        <item>（</item>
      </candidateList>
      <explain>文本全半角错误。</explain>
      <paraID>3FC909EA</paraID>
      <start>283</start>
      <end>284</end>
      <status>unmodified</status>
      <modifiedWord/>
      <trackRevisions>false</trackRevisions>
    </reviewItem>
    <reviewItem>
      <errorID>2741adab-8b85-4015-b52e-bc18a519a96b</errorID>
      <errorWord>,</errorWord>
      <group>L1_Format</group>
      <groupName>格式问题</groupName>
      <ability>L2_HalfPunc_CN</ability>
      <abilityName>全半角问题</abilityName>
      <candidateList>
        <item>，</item>
      </candidateList>
      <explain>文本全半角错误。</explain>
      <paraID>3FC909EA</paraID>
      <start>296</start>
      <end>297</end>
      <status>unmodified</status>
      <modifiedWord/>
      <trackRevisions>false</trackRevisions>
    </reviewItem>
    <reviewItem>
      <errorID>0e401167-e241-4546-bc26-84cc20bb3f7b</errorID>
      <errorWord>(</errorWord>
      <group>L1_Format</group>
      <groupName>格式问题</groupName>
      <ability>L2_HalfPunc_CN</ability>
      <abilityName>全半角问题</abilityName>
      <candidateList>
        <item>（</item>
      </candidateList>
      <explain>文本全半角错误。</explain>
      <paraID>3FC909EA</paraID>
      <start>320</start>
      <end>321</end>
      <status>unmodified</status>
      <modifiedWord/>
      <trackRevisions>false</trackRevisions>
    </reviewItem>
    <reviewItem>
      <errorID>65e3cd4e-4e96-4ac2-b95d-657ab147dc97</errorID>
      <errorWord>,</errorWord>
      <group>L1_Format</group>
      <groupName>格式问题</groupName>
      <ability>L2_HalfPunc_CN</ability>
      <abilityName>全半角问题</abilityName>
      <candidateList>
        <item>，</item>
      </candidateList>
      <explain>文本全半角错误。</explain>
      <paraID>3FC909EA</paraID>
      <start>333</start>
      <end>334</end>
      <status>unmodified</status>
      <modifiedWord/>
      <trackRevisions>false</trackRevisions>
    </reviewItem>
    <reviewItem>
      <errorID>8749eb27-2348-439e-8fad-67cacad7f17a</errorID>
      <errorWord>)</errorWord>
      <group>L1_Format</group>
      <groupName>格式问题</groupName>
      <ability>L2_HalfPunc_CN</ability>
      <abilityName>全半角问题</abilityName>
      <candidateList>
        <item>）</item>
      </candidateList>
      <explain>文本全半角错误。</explain>
      <paraID>3FC909EA</paraID>
      <start>346</start>
      <end>347</end>
      <status>unmodified</status>
      <modifiedWord/>
      <trackRevisions>false</trackRevisions>
    </reviewItem>
    <reviewItem>
      <errorID>52a7b238-feb6-43fe-aa68-fbd22b7432e4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55EAFA2B</paraID>
      <start>0</start>
      <end>3</end>
      <status>unmodified</status>
      <modifiedWord/>
      <trackRevisions>false</trackRevisions>
    </reviewItem>
    <reviewItem>
      <errorID>21431b01-f94f-4892-864d-0d6187aedc42</errorID>
      <errorWord>,</errorWord>
      <group>L1_Format</group>
      <groupName>格式问题</groupName>
      <ability>L2_HalfPunc_CN</ability>
      <abilityName>全半角问题</abilityName>
      <candidateList>
        <item>，</item>
      </candidateList>
      <explain>文本全半角错误。</explain>
      <paraID>55EAFA2B</paraID>
      <start>41</start>
      <end>42</end>
      <status>unmodified</status>
      <modifiedWord/>
      <trackRevisions>false</trackRevisions>
    </reviewItem>
    <reviewItem>
      <errorID>75c84294-02a3-4c80-a49f-f5544526546e</errorID>
      <errorWord>;</errorWord>
      <group>L1_Format</group>
      <groupName>格式问题</groupName>
      <ability>L2_HalfPunc_CN</ability>
      <abilityName>全半角问题</abilityName>
      <candidateList>
        <item>；</item>
      </candidateList>
      <explain>文本全半角错误。</explain>
      <paraID>55EAFA2B</paraID>
      <start>57</start>
      <end>58</end>
      <status>unmodified</status>
      <modifiedWord/>
      <trackRevisions>false</trackRevisions>
    </reviewItem>
    <reviewItem>
      <errorID>5d40c5eb-b31d-45fb-a239-1961eaa6a17f</errorID>
      <errorWord>(</errorWord>
      <group>L1_Format</group>
      <groupName>格式问题</groupName>
      <ability>L2_HalfPunc_CN</ability>
      <abilityName>全半角问题</abilityName>
      <candidateList>
        <item>（</item>
      </candidateList>
      <explain>文本全半角错误。</explain>
      <paraID>55EAFA2B</paraID>
      <start>76</start>
      <end>77</end>
      <status>unmodified</status>
      <modifiedWord/>
      <trackRevisions>false</trackRevisions>
    </reviewItem>
    <reviewItem>
      <errorID>177d1514-c842-4eea-8ae5-532517a73ad2</errorID>
      <errorWord>,</errorWord>
      <group>L1_Format</group>
      <groupName>格式问题</groupName>
      <ability>L2_HalfPunc_CN</ability>
      <abilityName>全半角问题</abilityName>
      <candidateList>
        <item>，</item>
      </candidateList>
      <explain>文本全半角错误。</explain>
      <paraID>55EAFA2B</paraID>
      <start>109</start>
      <end>110</end>
      <status>unmodified</status>
      <modifiedWord/>
      <trackRevisions>false</trackRevisions>
    </reviewItem>
    <reviewItem>
      <errorID>a175f9a6-8a57-40f7-972d-55053c74befc</errorID>
      <errorWord>)</errorWord>
      <group>L1_Format</group>
      <groupName>格式问题</groupName>
      <ability>L2_HalfPunc_CN</ability>
      <abilityName>全半角问题</abilityName>
      <candidateList>
        <item>）</item>
      </candidateList>
      <explain>文本全半角错误。</explain>
      <paraID>55EAFA2B</paraID>
      <start>121</start>
      <end>122</end>
      <status>unmodified</status>
      <modifiedWord/>
      <trackRevisions>false</trackRevisions>
    </reviewItem>
    <reviewItem>
      <errorID>3b499b8c-8868-4b7a-93ae-346a27a55139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50921604</paraID>
      <start>0</start>
      <end>2</end>
      <status>unmodified</status>
      <modifiedWord/>
      <trackRevisions>false</trackRevisions>
    </reviewItem>
    <reviewItem>
      <errorID>a1d6191a-23d2-4b3d-9c65-f5c25eacd4a0</errorID>
      <errorWord>仅目</errorWord>
      <group>L1_Word</group>
      <groupName>字词问题</groupName>
      <ability>L2_Typo</ability>
      <abilityName>字词错误</abilityName>
      <candidateList>
        <item>仅</item>
      </candidateList>
      <explain/>
      <paraID>1D18B5F9</paraID>
      <start>92</start>
      <end>94</end>
      <status>unmodified</status>
      <modifiedWord/>
      <trackRevisions>false</trackRevisions>
    </reviewItem>
    <reviewItem>
      <errorID>a2123336-5707-4f95-b63b-b95bd2f11fe3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70B54D71</paraID>
      <start>0</start>
      <end>2</end>
      <status>unmodified</status>
      <modifiedWord/>
      <trackRevisions>false</trackRevisions>
    </reviewItem>
    <reviewItem>
      <errorID>d1ad7cd6-66ae-44e7-9f8f-bfeb21f45088</errorID>
      <errorWord>计</errorWord>
      <group>L1_Word</group>
      <groupName>字词问题</groupName>
      <ability>L2_Typo</ability>
      <abilityName>字词错误</abilityName>
      <candidateList>
        <item>计算</item>
      </candidateList>
      <explain/>
      <paraID>266115F1</paraID>
      <start>24</start>
      <end>26</end>
      <status>modified</status>
      <modifiedWord>计算</modifiedWord>
      <trackRevisions>false</trackRevisions>
    </reviewItem>
    <reviewItem>
      <errorID>ff4bf7e2-0d36-45c3-abd3-977d9ad21442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24A83CCB</paraID>
      <start>34</start>
      <end>35</end>
      <status>unmodified</status>
      <modifiedWord/>
      <trackRevisions>false</trackRevisions>
    </reviewItem>
    <reviewItem>
      <errorID>62c6d0c1-bece-407d-8f76-2b08b7224a71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12239781</paraID>
      <start>0</start>
      <end>2</end>
      <status>unmodified</status>
      <modifiedWord/>
      <trackRevisions>false</trackRevisions>
    </reviewItem>
    <reviewItem>
      <errorID>ac0931bf-11d1-4ae3-ad1e-b6174be685bd</errorID>
      <errorWord>期</errorWord>
      <group>L1_Word</group>
      <groupName>字词问题</groupName>
      <ability>L2_Typo</ability>
      <abilityName>字词错误</abilityName>
      <candidateList>
        <item>期间</item>
      </candidateList>
      <explain/>
      <paraID>7793D0AD</paraID>
      <start>5</start>
      <end>6</end>
      <status>unmodified</status>
      <modifiedWord/>
      <trackRevisions>false</trackRevisions>
    </reviewItem>
    <reviewItem>
      <errorID>a012689f-7d5c-4830-bed1-f6256e2a038d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5DAF4D18</paraID>
      <start>190</start>
      <end>191</end>
      <status>unmodified</status>
      <modifiedWord/>
      <trackRevisions>false</trackRevisions>
    </reviewItem>
    <reviewItem>
      <errorID>d3d26c2c-a8f6-42c7-9914-c545b8204e42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5DAF4D18</paraID>
      <start>233</start>
      <end>234</end>
      <status>unmodified</status>
      <modifiedWord/>
      <trackRevisions>false</trackRevisions>
    </reviewItem>
    <reviewItem>
      <errorID>a4553105-5b89-48ad-a3a8-07b260ec7c02</errorID>
      <errorWord>(</errorWord>
      <group>L1_Format</group>
      <groupName>格式问题</groupName>
      <ability>L2_HalfPunc_CN</ability>
      <abilityName>全半角问题</abilityName>
      <candidateList>
        <item>（</item>
      </candidateList>
      <explain>文本全半角错误。</explain>
      <paraID>7D82BAB6</paraID>
      <start>55</start>
      <end>56</end>
      <status>unmodified</status>
      <modifiedWord/>
      <trackRevisions>false</trackRevisions>
    </reviewItem>
    <reviewItem>
      <errorID>96b6a07a-eaf5-4da4-9edf-f720ebbd4a09</errorID>
      <errorWord>)</errorWord>
      <group>L1_Format</group>
      <groupName>格式问题</groupName>
      <ability>L2_HalfPunc_CN</ability>
      <abilityName>全半角问题</abilityName>
      <candidateList>
        <item>）</item>
      </candidateList>
      <explain>文本全半角错误。</explain>
      <paraID>7D82BAB6</paraID>
      <start>67</start>
      <end>68</end>
      <status>unmodified</status>
      <modifiedWord/>
      <trackRevisions>false</trackRevisions>
    </reviewItem>
    <reviewItem>
      <errorID>0df29784-d07f-4ccf-9537-036bafb087e0</errorID>
      <errorWord>(</errorWord>
      <group>L1_Format</group>
      <groupName>格式问题</groupName>
      <ability>L2_HalfPunc_CN</ability>
      <abilityName>全半角问题</abilityName>
      <candidateList>
        <item>（</item>
      </candidateList>
      <explain>文本全半角错误。</explain>
      <paraID>7D82BAB6</paraID>
      <start>75</start>
      <end>76</end>
      <status>unmodified</status>
      <modifiedWord/>
      <trackRevisions>false</trackRevisions>
    </reviewItem>
    <reviewItem>
      <errorID>602e4c9c-863f-483d-8edf-34fa30758454</errorID>
      <errorWord>)</errorWord>
      <group>L1_Format</group>
      <groupName>格式问题</groupName>
      <ability>L2_HalfPunc_CN</ability>
      <abilityName>全半角问题</abilityName>
      <candidateList>
        <item>）</item>
      </candidateList>
      <explain>文本全半角错误。</explain>
      <paraID>7D82BAB6</paraID>
      <start>93</start>
      <end>94</end>
      <status>unmodified</status>
      <modifiedWord/>
      <trackRevisions>false</trackRevisions>
    </reviewItem>
    <reviewItem>
      <errorID>620627de-c6db-42fd-9d8b-cc3e1f2ea3a2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2DA664E8</paraID>
      <start>0</start>
      <end>2</end>
      <status>unmodified</status>
      <modifiedWord/>
      <trackRevisions>false</trackRevisions>
    </reviewItem>
    <reviewItem>
      <errorID>e9158d07-3f56-424e-9015-951257d1a511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4C6154E4</paraID>
      <start>0</start>
      <end>2</end>
      <status>unmodified</status>
      <modifiedWord/>
      <trackRevisions>false</trackRevisions>
    </reviewItem>
    <reviewItem>
      <errorID>2cd43c1c-c38d-4da2-bd2a-71846c9f0e88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77C53415</paraID>
      <start>0</start>
      <end>2</end>
      <status>unmodified</status>
      <modifiedWord/>
      <trackRevisions>false</trackRevisions>
    </reviewItem>
    <reviewItem>
      <errorID>4c55e6d7-41af-477c-b9fa-8081c7041c80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4545F357</paraID>
      <start>0</start>
      <end>2</end>
      <status>unmodified</status>
      <modifiedWord/>
      <trackRevisions>false</trackRevisions>
    </reviewItem>
    <reviewItem>
      <errorID>48886416-e562-409c-982f-5eefc4672bb1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52F063EE</paraID>
      <start>0</start>
      <end>2</end>
      <status>unmodified</status>
      <modifiedWord/>
      <trackRevisions>false</trackRevisions>
    </reviewItem>
    <reviewItem>
      <errorID>ea8acf85-cc6b-4199-abe6-b430da2068b0</errorID>
      <errorWord>提高</errorWord>
      <group>L1_Grammar</group>
      <groupName>语法问题</groupName>
      <ability>L2_Grammar</ability>
      <abilityName>语法错误</abilityName>
      <candidateList>
        <item>增强</item>
      </candidateList>
      <explain>“提高～意识”搭配不当，建议修改为“增强～意识”。</explain>
      <paraID>2347B49B</paraID>
      <start>19</start>
      <end>21</end>
      <status>unmodified</status>
      <modifiedWord/>
      <trackRevisions>false</trackRevisions>
    </reviewItem>
    <reviewItem>
      <errorID>966b29ff-30d8-449f-be68-abaf04c64897</errorID>
      <errorWord>挡护</errorWord>
      <group>L1_Word</group>
      <groupName>字词问题</groupName>
      <ability>L2_Typo</ability>
      <abilityName>字词错误</abilityName>
      <candidateList>
        <item>防护</item>
      </candidateList>
      <explain/>
      <paraID>1BA914BF</paraID>
      <start>53</start>
      <end>55</end>
      <status>unmodified</status>
      <modifiedWord/>
      <trackRevisions>false</trackRevisions>
    </reviewItem>
    <reviewItem>
      <errorID>8facfa0e-e1be-4b63-be58-2b89836d3299</errorID>
      <errorWord>提高</errorWord>
      <group>L1_Grammar</group>
      <groupName>语法问题</groupName>
      <ability>L2_Grammar</ability>
      <abilityName>语法错误</abilityName>
      <candidateList>
        <item>增强</item>
      </candidateList>
      <explain>“提高～意识”搭配不当，建议修改为“增强～意识”。</explain>
      <paraID>2DED917C</paraID>
      <start>35</start>
      <end>37</end>
      <status>unmodified</status>
      <modifiedWord/>
      <trackRevisions>false</trackRevisions>
    </reviewItem>
    <reviewItem>
      <errorID>e66daa44-f4d9-4176-8007-a3ed06c805d5</errorID>
      <errorWord>期</errorWord>
      <group>L1_Word</group>
      <groupName>字词问题</groupName>
      <ability>L2_Typo</ability>
      <abilityName>字词错误</abilityName>
      <candidateList>
        <item>期间</item>
      </candidateList>
      <explain/>
      <paraID>41BE2DEE</paraID>
      <start>5</start>
      <end>6</end>
      <status>unmodified</status>
      <modifiedWord/>
      <trackRevisions>false</trackRevisions>
    </reviewItem>
    <reviewItem>
      <errorID>52ee036e-59c3-4e39-aa3c-53b38b9a3eb5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237202FF</paraID>
      <start>0</start>
      <end>2</end>
      <status>unmodified</status>
      <modifiedWord/>
      <trackRevisions>false</trackRevisions>
    </reviewItem>
    <reviewItem>
      <errorID>d0bb2b7b-737c-47ff-9ca8-2b675a20d232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E62DA80</paraID>
      <start>0</start>
      <end>2</end>
      <status>unmodified</status>
      <modifiedWord/>
      <trackRevisions>false</trackRevisions>
    </reviewItem>
    <reviewItem>
      <errorID>75eb35ba-9587-43f6-a84d-b1cf1dde2e13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36B0A38E</paraID>
      <start>0</start>
      <end>2</end>
      <status>unmodified</status>
      <modifiedWord/>
      <trackRevisions>false</trackRevisions>
    </reviewItem>
    <reviewItem>
      <errorID>a820be27-dda4-4ad2-9d81-c0c155a4e918</errorID>
      <errorWord>，</errorWord>
      <group>L1_Word</group>
      <groupName>字词问题</groupName>
      <ability>L2_Typo</ability>
      <abilityName>字词错误</abilityName>
      <candidateList>
        <item>，在</item>
      </candidateList>
      <explain/>
      <paraID>7DF17972</paraID>
      <start>38</start>
      <end>40</end>
      <status>modified</status>
      <modifiedWord>，在</modifiedWord>
      <trackRevisions>false</trackRevisions>
    </reviewItem>
    <reviewItem>
      <errorID>79d67704-70a3-477a-b34a-d615518993f4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33CD1089</paraID>
      <start>0</start>
      <end>2</end>
      <status>unmodified</status>
      <modifiedWord/>
      <trackRevisions>false</trackRevisions>
    </reviewItem>
    <reviewItem>
      <errorID>0edd783e-f754-490b-bc41-a79800ecf98a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3A09AD95</paraID>
      <start>0</start>
      <end>2</end>
      <status>unmodified</status>
      <modifiedWord/>
      <trackRevisions>false</trackRevisions>
    </reviewItem>
    <reviewItem>
      <errorID>1541bf50-c789-4d34-a7f8-68834611b743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5AC87BE2</paraID>
      <start>0</start>
      <end>2</end>
      <status>unmodified</status>
      <modifiedWord/>
      <trackRevisions>false</trackRevisions>
    </reviewItem>
    <reviewItem>
      <errorID>c6ac6bc6-a45c-4a49-888f-0e1cd983a012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776E801E</paraID>
      <start>124</start>
      <end>125</end>
      <status>unmodified</status>
      <modifiedWord/>
      <trackRevisions>false</trackRevisions>
    </reviewItem>
    <reviewItem>
      <errorID>acc15b3d-e7b6-4576-86fb-ab4108d0bd2c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776E801E</paraID>
      <start>163</start>
      <end>164</end>
      <status>unmodified</status>
      <modifiedWord/>
      <trackRevisions>false</trackRevisions>
    </reviewItem>
    <reviewItem>
      <errorID>d11d4008-ce5a-4efd-96c5-6b484a0830c8</errorID>
      <errorWord>交通部</errorWord>
      <group>L1_Knowledge</group>
      <groupName>知识性问题</groupName>
      <ability>L2_Knowledge</ability>
      <abilityName>其他知识</abilityName>
      <candidateList>
        <item>交通运输部</item>
      </candidateList>
      <explain/>
      <paraID>36DEB10A</paraID>
      <start>26</start>
      <end>29</end>
      <status>unmodified</status>
      <modifiedWord/>
      <trackRevisions>false</trackRevisions>
    </reviewItem>
    <reviewItem>
      <errorID>1440fcfd-91e1-42b9-b61e-bfc8601badd2</errorID>
      <errorWord>接受</errorWord>
      <group>L1_Word</group>
      <groupName>字词问题</groupName>
      <ability>L2_Typo</ability>
      <abilityName>字词错误</abilityName>
      <candidateList>
        <item>接收</item>
      </candidateList>
      <explain>存在发音相同字词的误用。</explain>
      <paraID>740849AD</paraID>
      <start>8</start>
      <end>10</end>
      <status>unmodified</status>
      <modifiedWord/>
      <trackRevisions>false</trackRevisions>
    </reviewItem>
    <reviewItem>
      <errorID>84dff37e-ce92-4b25-ab3f-5b3ebfe82128</errorID>
      <errorWord>接受</errorWord>
      <group>L1_Word</group>
      <groupName>字词问题</groupName>
      <ability>L2_Typo</ability>
      <abilityName>字词错误</abilityName>
      <candidateList>
        <item>接收</item>
      </candidateList>
      <explain>存在发音相同字词的误用。</explain>
      <paraID>455AC469</paraID>
      <start>13</start>
      <end>15</end>
      <status>unmodified</status>
      <modifiedWord/>
      <trackRevisions>false</trackRevisions>
    </reviewItem>
    <reviewItem>
      <errorID>62f27857-b4b6-4c37-b08b-8c503c721401</errorID>
      <errorWord>接受</errorWord>
      <group>L1_Word</group>
      <groupName>字词问题</groupName>
      <ability>L2_Typo</ability>
      <abilityName>字词错误</abilityName>
      <candidateList>
        <item>接收</item>
      </candidateList>
      <explain>存在发音相同字词的误用。</explain>
      <paraID>455AC469</paraID>
      <start>34</start>
      <end>36</end>
      <status>unmodified</status>
      <modifiedWord/>
      <trackRevisions>false</trackRevisions>
    </reviewItem>
    <reviewItem>
      <errorID>dc995fd4-3a22-44dc-946f-2b8d61ad3d71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274403CB</paraID>
      <start>0</start>
      <end>2</end>
      <status>unmodified</status>
      <modifiedWord/>
      <trackRevisions>false</trackRevisions>
    </reviewItem>
    <reviewItem>
      <errorID>6c244f7c-9f04-43c0-bacf-37168e7ef33e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283077CB</paraID>
      <start>0</start>
      <end>2</end>
      <status>unmodified</status>
      <modifiedWord/>
      <trackRevisions>false</trackRevisions>
    </reviewItem>
    <reviewItem>
      <errorID>47de5087-262a-4460-9f18-8dd1ac746684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616655A3</paraID>
      <start>0</start>
      <end>2</end>
      <status>unmodified</status>
      <modifiedWord/>
      <trackRevisions>false</trackRevisions>
    </reviewItem>
    <reviewItem>
      <errorID>4ca067fb-437c-43b9-9fc8-dae6caf39256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54F2F9DC</paraID>
      <start>96</start>
      <end>97</end>
      <status>unmodified</status>
      <modifiedWord/>
      <trackRevisions>false</trackRevisions>
    </reviewItem>
    <reviewItem>
      <errorID>ff1b8b9b-8bc6-4e6e-bd34-6852a844a198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54F2F9DC</paraID>
      <start>139</start>
      <end>140</end>
      <status>unmodified</status>
      <modifiedWord/>
      <trackRevisions>false</trackRevisions>
    </reviewItem>
    <reviewItem>
      <errorID>5425a21b-84c2-4dec-9244-bc79460ee08a</errorID>
      <errorWord>(</errorWord>
      <group>L1_Format</group>
      <groupName>格式问题</groupName>
      <ability>L2_HalfPunc_CN</ability>
      <abilityName>全半角问题</abilityName>
      <candidateList>
        <item>（</item>
      </candidateList>
      <explain>文本全半角错误。</explain>
      <paraID>520E8E25</paraID>
      <start>55</start>
      <end>56</end>
      <status>unmodified</status>
      <modifiedWord/>
      <trackRevisions>false</trackRevisions>
    </reviewItem>
    <reviewItem>
      <errorID>9a1e22eb-0939-416b-bfb6-c4577f626c7f</errorID>
      <errorWord>)</errorWord>
      <group>L1_Format</group>
      <groupName>格式问题</groupName>
      <ability>L2_HalfPunc_CN</ability>
      <abilityName>全半角问题</abilityName>
      <candidateList>
        <item>）</item>
      </candidateList>
      <explain>文本全半角错误。</explain>
      <paraID>520E8E25</paraID>
      <start>67</start>
      <end>68</end>
      <status>unmodified</status>
      <modifiedWord/>
      <trackRevisions>false</trackRevisions>
    </reviewItem>
    <reviewItem>
      <errorID>e7507602-29a4-4b1b-a303-f3ad03e10f3b</errorID>
      <errorWord>(</errorWord>
      <group>L1_Format</group>
      <groupName>格式问题</groupName>
      <ability>L2_HalfPunc_CN</ability>
      <abilityName>全半角问题</abilityName>
      <candidateList>
        <item>（</item>
      </candidateList>
      <explain>文本全半角错误。</explain>
      <paraID>520E8E25</paraID>
      <start>75</start>
      <end>76</end>
      <status>unmodified</status>
      <modifiedWord/>
      <trackRevisions>false</trackRevisions>
    </reviewItem>
    <reviewItem>
      <errorID>a819c261-aeda-4df5-bf6e-d397d3dff2e1</errorID>
      <errorWord>)</errorWord>
      <group>L1_Format</group>
      <groupName>格式问题</groupName>
      <ability>L2_HalfPunc_CN</ability>
      <abilityName>全半角问题</abilityName>
      <candidateList>
        <item>）</item>
      </candidateList>
      <explain>文本全半角错误。</explain>
      <paraID>520E8E25</paraID>
      <start>93</start>
      <end>94</end>
      <status>unmodified</status>
      <modifiedWord/>
      <trackRevisions>false</trackRevisions>
    </reviewItem>
    <reviewItem>
      <errorID>c832912a-d480-4c7a-b0ef-218aca97d09d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464DC1A6</paraID>
      <start>0</start>
      <end>2</end>
      <status>unmodified</status>
      <modifiedWord/>
      <trackRevisions>false</trackRevisions>
    </reviewItem>
    <reviewItem>
      <errorID>ed8d9a99-591f-43c3-aead-d37986882e6a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65A438B6</paraID>
      <start>0</start>
      <end>2</end>
      <status>unmodified</status>
      <modifiedWord/>
      <trackRevisions>false</trackRevisions>
    </reviewItem>
    <reviewItem>
      <errorID>0930b00a-4b04-46fb-a04d-28568114da7c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165880A0</paraID>
      <start>0</start>
      <end>2</end>
      <status>unmodified</status>
      <modifiedWord/>
      <trackRevisions>false</trackRevisions>
    </reviewItem>
    <reviewItem>
      <errorID>78f3b935-76fe-4592-bb6e-1e20f1e5d11f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7CFAC526</paraID>
      <start>0</start>
      <end>2</end>
      <status>unmodified</status>
      <modifiedWord/>
      <trackRevisions>false</trackRevisions>
    </reviewItem>
    <reviewItem>
      <errorID>9964e85b-3a6a-4e99-9a06-ddc58c98b372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1D36DE44</paraID>
      <start>0</start>
      <end>2</end>
      <status>unmodified</status>
      <modifiedWord/>
      <trackRevisions>false</trackRevisions>
    </reviewItem>
    <reviewItem>
      <errorID>faeff59a-066d-4553-95d8-dc4dfafd2a80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33228F5</paraID>
      <start>0</start>
      <end>2</end>
      <status>unmodified</status>
      <modifiedWord/>
      <trackRevisions>false</trackRevisions>
    </reviewItem>
    <reviewItem>
      <errorID>ddb69411-c025-4362-8485-7b6428d1948b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29ECFFAF</paraID>
      <start>0</start>
      <end>2</end>
      <status>unmodified</status>
      <modifiedWord/>
      <trackRevisions>false</trackRevisions>
    </reviewItem>
    <reviewItem>
      <errorID>b0dd7608-d1b1-4298-8916-8556bc40b7ab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58C2FD40</paraID>
      <start>0</start>
      <end>2</end>
      <status>unmodified</status>
      <modifiedWord/>
      <trackRevisions>false</trackRevisions>
    </reviewItem>
    <reviewItem>
      <errorID>0b8f79db-f767-4ea9-bdfd-1b6ffdd8ea46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71949A1A</paraID>
      <start>0</start>
      <end>2</end>
      <status>unmodified</status>
      <modifiedWord/>
      <trackRevisions>false</trackRevisions>
    </reviewItem>
    <reviewItem>
      <errorID>bb978dae-41ed-4706-970a-150189a5c004</errorID>
      <errorWord>，</errorWord>
      <group>L1_Word</group>
      <groupName>字词问题</groupName>
      <ability>L2_Typo</ability>
      <abilityName>字词错误</abilityName>
      <candidateList>
        <item>，在</item>
      </candidateList>
      <explain/>
      <paraID>26F78957</paraID>
      <start>66</start>
      <end>67</end>
      <status>unmodified</status>
      <modifiedWord/>
      <trackRevisions>false</trackRevisions>
    </reviewItem>
    <reviewItem>
      <errorID>130cd30d-d1fa-4116-96fb-072c0aaae541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54579D0A</paraID>
      <start>15</start>
      <end>18</end>
      <status>unmodified</status>
      <modifiedWord/>
      <trackRevisions>false</trackRevisions>
    </reviewItem>
    <reviewItem>
      <errorID>3c0cd298-5575-401c-a17c-0b263be7a65e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54579D0A</paraID>
      <start>32</start>
      <end>35</end>
      <status>unmodified</status>
      <modifiedWord/>
      <trackRevisions>false</trackRevisions>
    </reviewItem>
    <reviewItem>
      <errorID>1ea70df4-6a15-4607-9708-784f2d3832ca</errorID>
      <errorWord>法律、法规及相关</errorWord>
      <group>L1_Word</group>
      <groupName>字词问题</groupName>
      <ability>L2_Typo</ability>
      <abilityName>字词错误</abilityName>
      <candidateList>
        <item>法律法规及相关</item>
      </candidateList>
      <explain/>
      <paraID>1F381FDA</paraID>
      <start>5</start>
      <end>13</end>
      <status>unmodified</status>
      <modifiedWord/>
      <trackRevisions>false</trackRevisions>
    </reviewItem>
    <reviewItem>
      <errorID>044a8b8c-bb31-401a-9341-751cb9b72b08</errorID>
      <errorWord>（2017）第682号</errorWord>
      <group>L1_Knowledge</group>
      <groupName>知识性问题</groupName>
      <ability>L2_Knowledge</ability>
      <abilityName>其他知识</abilityName>
      <candidateList>
        <item>〔2017〕682号</item>
      </candidateList>
      <explain>发文字号格式错误。</explain>
      <paraID> D7D331C</paraID>
      <start>22</start>
      <end>33</end>
      <status>unmodified</status>
      <modifiedWord/>
      <trackRevisions>false</trackRevisions>
    </reviewItem>
    <reviewItem>
      <errorID>72940628-8939-4f6f-95ec-70e872f1528f</errorID>
      <errorWord>〔2020〕第16号</errorWord>
      <group>L1_Knowledge</group>
      <groupName>知识性问题</groupName>
      <ability>L2_Knowledge</ability>
      <abilityName>其他知识</abilityName>
      <candidateList>
        <item>〔2020〕16号</item>
      </candidateList>
      <explain>发文字号格式错误。</explain>
      <paraID>171E7FE8</paraID>
      <start>28</start>
      <end>38</end>
      <status>unmodified</status>
      <modifiedWord/>
      <trackRevisions>false</trackRevisions>
    </reviewItem>
    <reviewItem>
      <errorID>5610386c-38a1-41ca-93df-d22434975d9f</errorID>
      <errorWord>月1日实施</errorWord>
      <group>L1_Word</group>
      <groupName>字词问题</groupName>
      <ability>L2_Typo</ability>
      <abilityName>字词错误</abilityName>
      <candidateList>
        <item>月1日起实施</item>
      </candidateList>
      <explain/>
      <paraID>5D1A0220</paraID>
      <start>36</start>
      <end>42</end>
      <status>modified</status>
      <modifiedWord>月1日起实施</modifiedWord>
      <trackRevisions>false</trackRevisions>
    </reviewItem>
    <reviewItem>
      <errorID>2033ccf3-d950-456b-add1-140fabc9c039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280BE80F</paraID>
      <start>0</start>
      <end>2</end>
      <status>unmodified</status>
      <modifiedWord/>
      <trackRevisions>false</trackRevisions>
    </reviewItem>
    <reviewItem>
      <errorID>163bd24b-9008-4e55-aa4c-e47cd6affd0e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2D32624D</paraID>
      <start>0</start>
      <end>2</end>
      <status>unmodified</status>
      <modifiedWord/>
      <trackRevisions>false</trackRevisions>
    </reviewItem>
    <reviewItem>
      <errorID>cf607f4b-3208-41ad-a220-a365210a7cb2</errorID>
      <errorWord>～</errorWord>
      <group>L1_Format</group>
      <groupName>格式问题</groupName>
      <ability>L2_HalfPunc_CN</ability>
      <abilityName>全半角问题</abilityName>
      <candidateList>
        <item>~</item>
      </candidateList>
      <explain>文本全半角错误。</explain>
      <paraID>2C1D6781</paraID>
      <start>8</start>
      <end>9</end>
      <status>unmodified</status>
      <modifiedWord/>
      <trackRevisions>false</trackRevisions>
    </reviewItem>
    <reviewItem>
      <errorID>91ee2c35-8b2c-4525-a34c-bd13d19ebaa6</errorID>
      <errorWord>（</errorWord>
      <group>L1_Format</group>
      <groupName>格式问题</groupName>
      <ability>L2_HalfPunc_CN</ability>
      <abilityName>全半角问题</abilityName>
      <candidateList>
        <item>(</item>
      </candidateList>
      <explain>文本全半角错误。</explain>
      <paraID>2D59C332</paraID>
      <start>7</start>
      <end>8</end>
      <status>unmodified</status>
      <modifiedWord/>
      <trackRevisions>false</trackRevisions>
    </reviewItem>
    <reviewItem>
      <errorID>04b13a19-f7b5-422c-b5b9-f94464de60b4</errorID>
      <errorWord>）</errorWord>
      <group>L1_Format</group>
      <groupName>格式问题</groupName>
      <ability>L2_HalfPunc_CN</ability>
      <abilityName>全半角问题</abilityName>
      <candidateList>
        <item>)</item>
      </candidateList>
      <explain>文本全半角错误。</explain>
      <paraID>2D59C332</paraID>
      <start>12</start>
      <end>13</end>
      <status>unmodified</status>
      <modifiedWord/>
      <trackRevisions>false</trackRevisions>
    </reviewItem>
    <reviewItem>
      <errorID>f2734d9f-5bd9-48e0-8508-77f34d3b80d3</errorID>
      <errorWord>（</errorWord>
      <group>L1_Format</group>
      <groupName>格式问题</groupName>
      <ability>L2_HalfPunc_CN</ability>
      <abilityName>全半角问题</abilityName>
      <candidateList>
        <item>(</item>
      </candidateList>
      <explain>文本全半角错误。</explain>
      <paraID>4D1E8E02</paraID>
      <start>0</start>
      <end>1</end>
      <status>unmodified</status>
      <modifiedWord/>
      <trackRevisions>false</trackRevisions>
    </reviewItem>
    <reviewItem>
      <errorID>570700e0-ea33-43ed-b9a1-55238cb5f400</errorID>
      <errorWord>）</errorWord>
      <group>L1_Format</group>
      <groupName>格式问题</groupName>
      <ability>L2_HalfPunc_CN</ability>
      <abilityName>全半角问题</abilityName>
      <candidateList>
        <item>)</item>
      </candidateList>
      <explain>文本全半角错误。</explain>
      <paraID>4D1E8E02</paraID>
      <start>4</start>
      <end>5</end>
      <status>unmodified</status>
      <modifiedWord/>
      <trackRevisions>false</trackRevisions>
    </reviewItem>
    <reviewItem>
      <errorID>3788c2fa-0859-4ad5-9ee7-d6efc320fa99</errorID>
      <errorWord>（</errorWord>
      <group>L1_Format</group>
      <groupName>格式问题</groupName>
      <ability>L2_HalfPunc_CN</ability>
      <abilityName>全半角问题</abilityName>
      <candidateList>
        <item>(</item>
      </candidateList>
      <explain>文本全半角错误。</explain>
      <paraID>73CAB108</paraID>
      <start>0</start>
      <end>1</end>
      <status>unmodified</status>
      <modifiedWord/>
      <trackRevisions>false</trackRevisions>
    </reviewItem>
    <reviewItem>
      <errorID>070fe394-ac19-46e1-ad63-8c42cdc268f9</errorID>
      <errorWord>）</errorWord>
      <group>L1_Format</group>
      <groupName>格式问题</groupName>
      <ability>L2_HalfPunc_CN</ability>
      <abilityName>全半角问题</abilityName>
      <candidateList>
        <item>)</item>
      </candidateList>
      <explain>文本全半角错误。</explain>
      <paraID>73CAB108</paraID>
      <start>3</start>
      <end>4</end>
      <status>unmodified</status>
      <modifiedWord/>
      <trackRevisions>false</trackRevisions>
    </reviewItem>
    <reviewItem>
      <errorID>e7760933-450d-496e-a5c4-7d760c3d01e0</errorID>
      <errorWord>～</errorWord>
      <group>L1_Format</group>
      <groupName>格式问题</groupName>
      <ability>L2_HalfPunc_CN</ability>
      <abilityName>全半角问题</abilityName>
      <candidateList>
        <item>~</item>
      </candidateList>
      <explain>文本全半角错误。</explain>
      <paraID>42C8C720</paraID>
      <start>5</start>
      <end>6</end>
      <status>unmodified</status>
      <modifiedWord/>
      <trackRevisions>false</trackRevisions>
    </reviewItem>
    <reviewItem>
      <errorID>b5aad1ae-52c4-4598-91cb-0fb089b7bab1</errorID>
      <errorWord>18～22%</errorWord>
      <group>L1_Knowledge</group>
      <groupName>知识性问题</groupName>
      <ability>L2_Knowledge</ability>
      <abilityName>其他知识</abilityName>
      <candidateList>
        <item>18%～22%</item>
      </candidateList>
      <explain>1. “18～22%”中的单位“%”仅出现在后一个数字上，容易引起歧义；根据《现代汉语标点符号数字用法规范手册》，数字表示范围两边需要使用统一的格式。2. 根据标点国标 4.13 中的规则，数字、时间或地域连接符应使用（视觉上更长的）“—”或“～”。</explain>
      <paraID>382E77A5</paraID>
      <start>13</start>
      <end>19</end>
      <status>unmodified</status>
      <modifiedWord/>
      <trackRevisions>false</trackRevisions>
    </reviewItem>
    <reviewItem>
      <errorID>5f150d50-a63b-4ca4-88b8-e20e114f7e0e</errorID>
      <errorWord>，…</errorWord>
      <group>L1_Punc</group>
      <groupName>标点问题</groupName>
      <ability>L2_Punc_CN</ability>
      <abilityName>标点符号问题</abilityName>
      <candidateList>
        <item>，</item>
      </candidateList>
      <explain/>
      <paraID>28B9B49F</paraID>
      <start>52</start>
      <end>54</end>
      <status>unmodified</status>
      <modifiedWord/>
      <trackRevisions>false</trackRevisions>
    </reviewItem>
    <reviewItem>
      <errorID>830ea83c-d1d3-4158-8535-4de26730ee39</errorID>
      <errorWord>，…</errorWord>
      <group>L1_Punc</group>
      <groupName>标点问题</groupName>
      <ability>L2_Punc_CN</ability>
      <abilityName>标点符号问题</abilityName>
      <candidateList>
        <item>，</item>
      </candidateList>
      <explain/>
      <paraID>28B9B49F</paraID>
      <start>73</start>
      <end>75</end>
      <status>unmodified</status>
      <modifiedWord/>
      <trackRevisions>false</trackRevisions>
    </reviewItem>
    <reviewItem>
      <errorID>6371cff0-f5d3-4c87-94f7-b56e692509d1</errorID>
      <errorWord>、...</errorWord>
      <group>L1_Punc</group>
      <groupName>标点问题</groupName>
      <ability>L2_Punc_CN</ability>
      <abilityName>标点符号问题</abilityName>
      <candidateList>
        <item>、</item>
      </candidateList>
      <explain/>
      <paraID>2D4266F6</paraID>
      <start>22</start>
      <end>26</end>
      <status>unmodified</status>
      <modifiedWord/>
      <trackRevisions>false</trackRevisions>
    </reviewItem>
    <reviewItem>
      <errorID>c351160d-371f-43e2-abdf-d4a5fdeb86ea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338897AC</paraID>
      <start>10</start>
      <end>11</end>
      <status>unmodified</status>
      <modifiedWord/>
      <trackRevisions>false</trackRevisions>
    </reviewItem>
    <reviewItem>
      <errorID>b5b25f58-909c-4985-a68c-2507acfb0da8</errorID>
      <errorWord>曝露</errorWord>
      <group>L1_Word</group>
      <groupName>字词问题</groupName>
      <ability>L2_Typo</ability>
      <abilityName>字词错误</abilityName>
      <candidateList>
        <item>暴露</item>
      </candidateList>
      <explain/>
      <paraID> 4B499A6</paraID>
      <start>39</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4738c7-2587-4a14-8937-23b236c4f23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72</Pages>
  <Words>5234</Words>
  <Characters>5452</Characters>
  <Lines>7850</Lines>
  <Paragraphs>3657</Paragraphs>
  <TotalTime>16</TotalTime>
  <ScaleCrop>false</ScaleCrop>
  <LinksUpToDate>false</LinksUpToDate>
  <CharactersWithSpaces>5550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WPS_1484207631</cp:lastModifiedBy>
  <cp:lastPrinted>2020-12-24T01:50:00Z</cp:lastPrinted>
  <dcterms:modified xsi:type="dcterms:W3CDTF">2026-08-13T10:26:15Z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C359FE1A884245D3BDB56B87E7E62EA9_13</vt:lpwstr>
  </property>
  <property fmtid="{D5CDD505-2E9C-101B-9397-08002B2CF9AE}" pid="4" name="KSOTemplateDocerSaveRecord">
    <vt:lpwstr>eyJoZGlkIjoiN2FkMjBhN2I1N2NhZThiYWZiMmRhMGQ1ZjM1NDJlZDYiLCJ1c2VySWQiOiIyNjA4NzA3NjUifQ==</vt:lpwstr>
  </property>
</Properties>
</file>