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8DEF9">
      <w:pPr>
        <w:pStyle w:val="29"/>
        <w:jc w:val="center"/>
        <w:outlineLvl w:val="0"/>
        <w:rPr>
          <w:rFonts w:hint="eastAsia" w:ascii="黑体" w:hAnsi="黑体" w:eastAsia="黑体" w:cs="黑体"/>
          <w:snapToGrid w:val="0"/>
          <w:color w:val="auto"/>
          <w:sz w:val="30"/>
          <w:szCs w:val="30"/>
        </w:rPr>
      </w:pPr>
      <w:r>
        <w:rPr>
          <w:rFonts w:hint="eastAsia" w:ascii="黑体" w:hAnsi="黑体" w:eastAsia="黑体" w:cs="黑体"/>
          <w:snapToGrid w:val="0"/>
          <w:color w:val="auto"/>
          <w:sz w:val="30"/>
          <w:szCs w:val="30"/>
        </w:rPr>
        <w:t>一、建设项目基本情况</w:t>
      </w:r>
    </w:p>
    <w:tbl>
      <w:tblPr>
        <w:tblStyle w:val="32"/>
        <w:tblW w:w="903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110"/>
        <w:gridCol w:w="2303"/>
        <w:gridCol w:w="2074"/>
        <w:gridCol w:w="2552"/>
      </w:tblGrid>
      <w:tr w14:paraId="3E8CF5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23" w:hRule="atLeast"/>
          <w:jc w:val="center"/>
        </w:trPr>
        <w:tc>
          <w:tcPr>
            <w:tcW w:w="2110" w:type="dxa"/>
            <w:noWrap w:val="0"/>
            <w:tcMar>
              <w:top w:w="16" w:type="dxa"/>
              <w:left w:w="16" w:type="dxa"/>
              <w:right w:w="16" w:type="dxa"/>
            </w:tcMar>
            <w:vAlign w:val="center"/>
          </w:tcPr>
          <w:p w14:paraId="471484BA">
            <w:pPr>
              <w:keepNext w:val="0"/>
              <w:keepLines w:val="0"/>
              <w:pageBreakBefore w:val="0"/>
              <w:widowControl w:val="0"/>
              <w:kinsoku/>
              <w:wordWrap/>
              <w:overflowPunct/>
              <w:topLinePunct w:val="0"/>
              <w:bidi w:val="0"/>
              <w:adjustRightInd w:val="0"/>
              <w:snapToGrid w:val="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建设项目名称</w:t>
            </w:r>
          </w:p>
        </w:tc>
        <w:tc>
          <w:tcPr>
            <w:tcW w:w="6929" w:type="dxa"/>
            <w:gridSpan w:val="3"/>
            <w:noWrap w:val="0"/>
            <w:vAlign w:val="center"/>
          </w:tcPr>
          <w:p w14:paraId="30CC3062">
            <w:pPr>
              <w:keepNext w:val="0"/>
              <w:keepLines w:val="0"/>
              <w:pageBreakBefore w:val="0"/>
              <w:widowControl w:val="0"/>
              <w:kinsoku/>
              <w:wordWrap/>
              <w:overflowPunct/>
              <w:topLinePunct w:val="0"/>
              <w:bidi w:val="0"/>
              <w:adjustRightInd w:val="0"/>
              <w:snapToGrid w:val="0"/>
              <w:jc w:val="center"/>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eastAsia="zh-CN"/>
              </w:rPr>
              <w:t>新疆吐鲁番市葡萄沟建筑用砂2号矿</w:t>
            </w:r>
          </w:p>
        </w:tc>
      </w:tr>
      <w:tr w14:paraId="196CE3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110" w:type="dxa"/>
            <w:noWrap w:val="0"/>
            <w:tcMar>
              <w:top w:w="16" w:type="dxa"/>
              <w:left w:w="16" w:type="dxa"/>
              <w:right w:w="16" w:type="dxa"/>
            </w:tcMar>
            <w:vAlign w:val="center"/>
          </w:tcPr>
          <w:p w14:paraId="6A4FAC1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建设项目</w:t>
            </w:r>
          </w:p>
          <w:p w14:paraId="7A7F351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rPr>
              <w:t>行业类别</w:t>
            </w:r>
          </w:p>
        </w:tc>
        <w:tc>
          <w:tcPr>
            <w:tcW w:w="2303" w:type="dxa"/>
            <w:noWrap w:val="0"/>
            <w:vAlign w:val="center"/>
          </w:tcPr>
          <w:p w14:paraId="0052016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lang w:val="en-US" w:eastAsia="zh-CN"/>
              </w:rPr>
              <w:t>八、非金属矿采选业10 11.土砂石开采101（不含河道采砂项目）</w:t>
            </w:r>
          </w:p>
        </w:tc>
        <w:tc>
          <w:tcPr>
            <w:tcW w:w="2074" w:type="dxa"/>
            <w:noWrap w:val="0"/>
            <w:vAlign w:val="center"/>
          </w:tcPr>
          <w:p w14:paraId="6490B30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用地（用海）面积（m</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）/长度（km）</w:t>
            </w:r>
          </w:p>
        </w:tc>
        <w:tc>
          <w:tcPr>
            <w:tcW w:w="2552" w:type="dxa"/>
            <w:noWrap w:val="0"/>
            <w:vAlign w:val="center"/>
          </w:tcPr>
          <w:p w14:paraId="3300FA7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4"/>
                <w:szCs w:val="24"/>
                <w:highlight w:val="none"/>
                <w:vertAlign w:val="superscript"/>
                <w:lang w:val="en-US" w:eastAsia="zh-CN"/>
              </w:rPr>
            </w:pPr>
            <w:r>
              <w:rPr>
                <w:rFonts w:hint="eastAsia" w:cs="Times New Roman"/>
                <w:color w:val="auto"/>
                <w:sz w:val="24"/>
                <w:szCs w:val="24"/>
                <w:highlight w:val="none"/>
                <w:lang w:val="en-US" w:eastAsia="zh-CN"/>
              </w:rPr>
              <w:t>永久占地30300</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2</w:t>
            </w:r>
          </w:p>
          <w:p w14:paraId="43FDFA20">
            <w:pPr>
              <w:pStyle w:val="2"/>
              <w:jc w:val="center"/>
              <w:rPr>
                <w:rFonts w:hint="default"/>
                <w:color w:val="auto"/>
                <w:highlight w:val="none"/>
                <w:lang w:val="en-US" w:eastAsia="zh-CN"/>
              </w:rPr>
            </w:pPr>
            <w:r>
              <w:rPr>
                <w:rFonts w:hint="eastAsia" w:ascii="Times New Roman" w:hAnsi="Times New Roman" w:eastAsia="宋体" w:cs="Times New Roman"/>
                <w:b w:val="0"/>
                <w:bCs w:val="0"/>
                <w:color w:val="auto"/>
                <w:kern w:val="2"/>
                <w:sz w:val="24"/>
                <w:szCs w:val="24"/>
                <w:highlight w:val="none"/>
                <w:lang w:val="en-US" w:eastAsia="zh-CN" w:bidi="ar-SA"/>
              </w:rPr>
              <w:t>临时占地9318</w:t>
            </w:r>
            <w:r>
              <w:rPr>
                <w:rFonts w:hint="default" w:ascii="Times New Roman" w:hAnsi="Times New Roman" w:eastAsia="宋体" w:cs="Times New Roman"/>
                <w:b w:val="0"/>
                <w:bCs w:val="0"/>
                <w:color w:val="auto"/>
                <w:sz w:val="24"/>
                <w:szCs w:val="24"/>
                <w:highlight w:val="none"/>
                <w:lang w:val="en-US" w:eastAsia="zh-CN"/>
              </w:rPr>
              <w:t>m</w:t>
            </w:r>
            <w:r>
              <w:rPr>
                <w:rFonts w:hint="default" w:ascii="Times New Roman" w:hAnsi="Times New Roman" w:eastAsia="宋体" w:cs="Times New Roman"/>
                <w:b w:val="0"/>
                <w:bCs w:val="0"/>
                <w:color w:val="auto"/>
                <w:sz w:val="24"/>
                <w:szCs w:val="24"/>
                <w:highlight w:val="none"/>
                <w:vertAlign w:val="superscript"/>
                <w:lang w:val="en-US" w:eastAsia="zh-CN"/>
              </w:rPr>
              <w:t>2</w:t>
            </w:r>
          </w:p>
        </w:tc>
      </w:tr>
      <w:tr w14:paraId="6D5B19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110" w:type="dxa"/>
            <w:noWrap w:val="0"/>
            <w:tcMar>
              <w:top w:w="16" w:type="dxa"/>
              <w:left w:w="16" w:type="dxa"/>
              <w:right w:w="16" w:type="dxa"/>
            </w:tcMar>
            <w:vAlign w:val="center"/>
          </w:tcPr>
          <w:p w14:paraId="38ED1B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建设性质</w:t>
            </w:r>
          </w:p>
        </w:tc>
        <w:tc>
          <w:tcPr>
            <w:tcW w:w="2303" w:type="dxa"/>
            <w:noWrap w:val="0"/>
            <w:vAlign w:val="center"/>
          </w:tcPr>
          <w:p w14:paraId="131A1A0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新建（迁建）</w:t>
            </w:r>
          </w:p>
          <w:p w14:paraId="62AEB76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改建</w:t>
            </w:r>
          </w:p>
          <w:p w14:paraId="01CB01A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扩建</w:t>
            </w:r>
          </w:p>
          <w:p w14:paraId="223F386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技术改造</w:t>
            </w:r>
          </w:p>
        </w:tc>
        <w:tc>
          <w:tcPr>
            <w:tcW w:w="2074" w:type="dxa"/>
            <w:noWrap w:val="0"/>
            <w:vAlign w:val="center"/>
          </w:tcPr>
          <w:p w14:paraId="528B2F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建设项目</w:t>
            </w:r>
          </w:p>
          <w:p w14:paraId="574FC0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申报情形</w:t>
            </w:r>
          </w:p>
        </w:tc>
        <w:tc>
          <w:tcPr>
            <w:tcW w:w="2552" w:type="dxa"/>
            <w:noWrap w:val="0"/>
            <w:vAlign w:val="center"/>
          </w:tcPr>
          <w:p w14:paraId="79CF3D2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首次申报项目</w:t>
            </w:r>
          </w:p>
          <w:p w14:paraId="47F4BA3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不予批准后再次申报项目</w:t>
            </w:r>
          </w:p>
          <w:p w14:paraId="6A17283F">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超五年重新审核项目</w:t>
            </w:r>
          </w:p>
          <w:p w14:paraId="77AF2E6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重大变动重新报批项目</w:t>
            </w:r>
          </w:p>
        </w:tc>
      </w:tr>
      <w:tr w14:paraId="777CE0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38" w:hRule="atLeast"/>
          <w:jc w:val="center"/>
        </w:trPr>
        <w:tc>
          <w:tcPr>
            <w:tcW w:w="2110" w:type="dxa"/>
            <w:noWrap w:val="0"/>
            <w:tcMar>
              <w:top w:w="16" w:type="dxa"/>
              <w:left w:w="16" w:type="dxa"/>
              <w:right w:w="16" w:type="dxa"/>
            </w:tcMar>
            <w:vAlign w:val="center"/>
          </w:tcPr>
          <w:p w14:paraId="4BFCAAC9">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专项评价设置情况</w:t>
            </w:r>
          </w:p>
        </w:tc>
        <w:tc>
          <w:tcPr>
            <w:tcW w:w="6929" w:type="dxa"/>
            <w:gridSpan w:val="3"/>
            <w:noWrap w:val="0"/>
            <w:tcMar>
              <w:top w:w="16" w:type="dxa"/>
              <w:left w:w="16" w:type="dxa"/>
              <w:right w:w="16" w:type="dxa"/>
            </w:tcMar>
            <w:vAlign w:val="center"/>
          </w:tcPr>
          <w:p w14:paraId="019120D3">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lang w:eastAsia="zh-CN"/>
              </w:rPr>
              <w:t>无</w:t>
            </w:r>
          </w:p>
        </w:tc>
      </w:tr>
    </w:tbl>
    <w:p w14:paraId="36324A6D">
      <w:pPr>
        <w:spacing w:line="360" w:lineRule="auto"/>
        <w:outlineLvl w:val="0"/>
        <w:rPr>
          <w:rFonts w:hint="default" w:ascii="Times New Roman" w:hAnsi="Times New Roman" w:eastAsia="宋体" w:cs="Times New Roman"/>
          <w:color w:val="auto"/>
          <w:sz w:val="30"/>
        </w:rPr>
        <w:sectPr>
          <w:footerReference r:id="rId3"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243AD394">
      <w:pPr>
        <w:pStyle w:val="29"/>
        <w:jc w:val="center"/>
        <w:outlineLvl w:val="0"/>
        <w:rPr>
          <w:rFonts w:hint="eastAsia" w:ascii="黑体" w:hAnsi="黑体" w:eastAsia="黑体" w:cs="黑体"/>
          <w:snapToGrid w:val="0"/>
          <w:color w:val="auto"/>
          <w:sz w:val="30"/>
          <w:szCs w:val="30"/>
        </w:rPr>
      </w:pPr>
      <w:r>
        <w:rPr>
          <w:rFonts w:hint="eastAsia" w:ascii="黑体" w:hAnsi="黑体" w:eastAsia="黑体" w:cs="黑体"/>
          <w:snapToGrid w:val="0"/>
          <w:color w:val="auto"/>
          <w:sz w:val="30"/>
          <w:szCs w:val="30"/>
        </w:rPr>
        <w:t>二、建设内容</w:t>
      </w:r>
    </w:p>
    <w:tbl>
      <w:tblPr>
        <w:tblStyle w:val="3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0"/>
        <w:gridCol w:w="7782"/>
      </w:tblGrid>
      <w:tr w14:paraId="63DB05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497" w:hRule="atLeast"/>
          <w:jc w:val="center"/>
        </w:trPr>
        <w:tc>
          <w:tcPr>
            <w:tcW w:w="740" w:type="dxa"/>
            <w:noWrap w:val="0"/>
            <w:vAlign w:val="center"/>
          </w:tcPr>
          <w:p w14:paraId="309BD38B">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 w:val="24"/>
                <w:szCs w:val="24"/>
              </w:rPr>
              <w:t>地理位置</w:t>
            </w:r>
          </w:p>
        </w:tc>
        <w:tc>
          <w:tcPr>
            <w:tcW w:w="7782" w:type="dxa"/>
            <w:noWrap w:val="0"/>
            <w:vAlign w:val="center"/>
          </w:tcPr>
          <w:p w14:paraId="582C77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Cs w:val="21"/>
                <w:lang w:eastAsia="zh-CN"/>
              </w:rPr>
            </w:pPr>
            <w:r>
              <w:rPr>
                <w:rFonts w:hint="eastAsia" w:cs="Times New Roman"/>
                <w:color w:val="auto"/>
                <w:kern w:val="0"/>
                <w:sz w:val="24"/>
                <w:szCs w:val="24"/>
                <w:lang w:val="en-US" w:eastAsia="zh-CN" w:bidi="ar"/>
              </w:rPr>
              <w:t>新疆吐鲁番市葡萄沟建筑用砂2号矿项目位于吐鲁番</w:t>
            </w:r>
            <w:r>
              <w:rPr>
                <w:rFonts w:hint="eastAsia" w:ascii="Times New Roman" w:hAnsi="Times New Roman" w:eastAsia="宋体" w:cs="Times New Roman"/>
                <w:color w:val="auto"/>
                <w:kern w:val="0"/>
                <w:sz w:val="24"/>
                <w:szCs w:val="24"/>
                <w:lang w:val="en-US" w:eastAsia="zh-CN" w:bidi="ar"/>
              </w:rPr>
              <w:t>市</w:t>
            </w:r>
            <w:r>
              <w:rPr>
                <w:rFonts w:hint="eastAsia" w:cs="Times New Roman"/>
                <w:color w:val="auto"/>
                <w:kern w:val="0"/>
                <w:sz w:val="24"/>
                <w:szCs w:val="24"/>
                <w:lang w:val="en-US" w:eastAsia="zh-CN" w:bidi="ar"/>
              </w:rPr>
              <w:t>高昌区。</w:t>
            </w:r>
          </w:p>
        </w:tc>
      </w:tr>
      <w:tr w14:paraId="5963CA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3" w:hRule="atLeast"/>
          <w:jc w:val="center"/>
        </w:trPr>
        <w:tc>
          <w:tcPr>
            <w:tcW w:w="740" w:type="dxa"/>
            <w:noWrap w:val="0"/>
            <w:vAlign w:val="center"/>
          </w:tcPr>
          <w:p w14:paraId="74E612A2">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 w:val="24"/>
                <w:szCs w:val="24"/>
              </w:rPr>
              <w:t>项目组成及规模</w:t>
            </w:r>
          </w:p>
        </w:tc>
        <w:tc>
          <w:tcPr>
            <w:tcW w:w="7782" w:type="dxa"/>
            <w:noWrap w:val="0"/>
            <w:vAlign w:val="center"/>
          </w:tcPr>
          <w:p w14:paraId="2F70640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kern w:val="0"/>
                <w:sz w:val="24"/>
                <w:szCs w:val="24"/>
                <w:lang w:val="en-US" w:eastAsia="zh-CN"/>
              </w:rPr>
            </w:pPr>
            <w:r>
              <w:rPr>
                <w:rFonts w:hint="eastAsia" w:ascii="Times New Roman" w:hAnsi="Times New Roman" w:eastAsia="宋体" w:cs="Times New Roman"/>
                <w:b/>
                <w:bCs/>
                <w:color w:val="auto"/>
                <w:kern w:val="0"/>
                <w:sz w:val="24"/>
                <w:szCs w:val="24"/>
                <w:lang w:val="en-US" w:eastAsia="zh-CN"/>
              </w:rPr>
              <w:t>1.</w:t>
            </w:r>
            <w:r>
              <w:rPr>
                <w:rFonts w:hint="default" w:ascii="Times New Roman" w:hAnsi="Times New Roman" w:eastAsia="宋体" w:cs="Times New Roman"/>
                <w:b/>
                <w:bCs/>
                <w:color w:val="auto"/>
                <w:kern w:val="0"/>
                <w:sz w:val="24"/>
                <w:szCs w:val="24"/>
                <w:lang w:val="en-US" w:eastAsia="zh-CN"/>
              </w:rPr>
              <w:t>建设内容</w:t>
            </w:r>
            <w:r>
              <w:rPr>
                <w:rFonts w:hint="eastAsia" w:ascii="Times New Roman" w:hAnsi="Times New Roman" w:eastAsia="宋体" w:cs="Times New Roman"/>
                <w:b/>
                <w:bCs/>
                <w:color w:val="auto"/>
                <w:kern w:val="0"/>
                <w:sz w:val="24"/>
                <w:szCs w:val="24"/>
                <w:lang w:val="en-US" w:eastAsia="zh-CN"/>
              </w:rPr>
              <w:t>及规模</w:t>
            </w:r>
          </w:p>
          <w:p w14:paraId="0C95EA62">
            <w:pPr>
              <w:adjustRightInd w:val="0"/>
              <w:snapToGrid w:val="0"/>
              <w:spacing w:line="360" w:lineRule="auto"/>
              <w:ind w:firstLine="480" w:firstLineChars="200"/>
              <w:jc w:val="both"/>
              <w:rPr>
                <w:rFonts w:hint="default" w:ascii="Times New Roman" w:hAnsi="Times New Roman" w:eastAsia="宋体" w:cs="Times New Roman"/>
                <w:color w:val="auto"/>
                <w:sz w:val="24"/>
                <w:highlight w:val="none"/>
                <w:lang w:val="en-GB"/>
              </w:rPr>
            </w:pPr>
            <w:r>
              <w:rPr>
                <w:rFonts w:hint="default" w:ascii="Times New Roman" w:hAnsi="Times New Roman" w:cs="Times New Roman"/>
                <w:color w:val="auto"/>
                <w:sz w:val="24"/>
                <w:szCs w:val="24"/>
              </w:rPr>
              <w:t>矿山设计年开采建筑用砂</w:t>
            </w:r>
            <w:r>
              <w:rPr>
                <w:rFonts w:hint="eastAsia" w:cs="Times New Roman"/>
                <w:color w:val="auto"/>
                <w:sz w:val="24"/>
                <w:szCs w:val="24"/>
                <w:lang w:val="en-US" w:eastAsia="zh-CN"/>
              </w:rPr>
              <w:t>6</w:t>
            </w:r>
            <w:r>
              <w:rPr>
                <w:rFonts w:hint="default" w:ascii="Times New Roman" w:hAnsi="Times New Roman" w:cs="Times New Roman"/>
                <w:color w:val="auto"/>
                <w:sz w:val="24"/>
                <w:szCs w:val="24"/>
              </w:rPr>
              <w:t>万m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（原矿）。</w:t>
            </w:r>
            <w:r>
              <w:rPr>
                <w:rFonts w:hint="default" w:ascii="Times New Roman" w:hAnsi="Times New Roman" w:eastAsia="宋体" w:cs="Times New Roman"/>
                <w:color w:val="auto"/>
                <w:sz w:val="24"/>
                <w:highlight w:val="none"/>
                <w:lang w:val="en-GB"/>
              </w:rPr>
              <w:t>矿山开采境界内利用矿石量18.93万立方米，采矿回采率97</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GB"/>
              </w:rPr>
              <w:t>。</w:t>
            </w:r>
          </w:p>
          <w:p w14:paraId="1567842F">
            <w:pPr>
              <w:adjustRightInd w:val="0"/>
              <w:snapToGrid w:val="0"/>
              <w:spacing w:line="360" w:lineRule="auto"/>
              <w:ind w:firstLine="480" w:firstLineChars="200"/>
              <w:jc w:val="both"/>
              <w:rPr>
                <w:rFonts w:hint="eastAsia" w:cs="Times New Roman"/>
                <w:color w:val="0000FF"/>
                <w:sz w:val="24"/>
                <w:szCs w:val="24"/>
                <w:u w:val="single"/>
                <w:lang w:val="en-US" w:eastAsia="zh-CN"/>
              </w:rPr>
            </w:pPr>
            <w:r>
              <w:rPr>
                <w:rFonts w:hint="default" w:ascii="Times New Roman" w:hAnsi="Times New Roman" w:cs="Times New Roman"/>
                <w:color w:val="auto"/>
                <w:sz w:val="24"/>
                <w:szCs w:val="24"/>
              </w:rPr>
              <w:t>本次建设1处砂石料矿，开采建筑用砂。砂矿设采砂区、筛选区、成品堆放区和临时堆场，配套建设生活办公、给排水、供电等公辅工程</w:t>
            </w:r>
            <w:r>
              <w:rPr>
                <w:rFonts w:hint="eastAsia" w:cs="Times New Roman"/>
                <w:color w:val="auto"/>
                <w:sz w:val="24"/>
                <w:szCs w:val="24"/>
                <w:u w:val="none"/>
                <w:lang w:val="en-US" w:eastAsia="zh-CN"/>
              </w:rPr>
              <w:t>。</w:t>
            </w:r>
          </w:p>
          <w:p w14:paraId="46045DAC">
            <w:pPr>
              <w:adjustRightInd w:val="0"/>
              <w:snapToGrid w:val="0"/>
              <w:spacing w:line="360" w:lineRule="auto"/>
              <w:ind w:firstLine="480"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经现场核查，本项目主要工程内容见表2-</w:t>
            </w:r>
            <w:r>
              <w:rPr>
                <w:rFonts w:hint="eastAsia" w:cs="Times New Roman"/>
                <w:color w:val="auto"/>
                <w:sz w:val="24"/>
                <w:szCs w:val="24"/>
                <w:lang w:val="en-US" w:eastAsia="zh-CN"/>
              </w:rPr>
              <w:t>1</w:t>
            </w:r>
            <w:r>
              <w:rPr>
                <w:rFonts w:hint="default" w:ascii="Times New Roman" w:hAnsi="Times New Roman" w:cs="Times New Roman"/>
                <w:color w:val="auto"/>
                <w:sz w:val="24"/>
                <w:szCs w:val="24"/>
              </w:rPr>
              <w:t>。</w:t>
            </w:r>
          </w:p>
          <w:p w14:paraId="0952AAFC">
            <w:pPr>
              <w:keepNext w:val="0"/>
              <w:keepLines w:val="0"/>
              <w:pageBreakBefore w:val="0"/>
              <w:widowControl w:val="0"/>
              <w:kinsoku/>
              <w:wordWrap/>
              <w:overflowPunct w:val="0"/>
              <w:topLinePunct w:val="0"/>
              <w:autoSpaceDE/>
              <w:autoSpaceDN/>
              <w:bidi w:val="0"/>
              <w:adjustRightInd w:val="0"/>
              <w:snapToGrid w:val="0"/>
              <w:spacing w:line="240" w:lineRule="auto"/>
              <w:jc w:val="center"/>
              <w:textAlignment w:val="auto"/>
              <w:rPr>
                <w:rFonts w:hint="default" w:ascii="Times New Roman" w:hAnsi="Times New Roman" w:eastAsia="宋体" w:cs="Times New Roman"/>
                <w:b/>
                <w:snapToGrid w:val="0"/>
                <w:color w:val="auto"/>
                <w:kern w:val="0"/>
                <w:sz w:val="21"/>
                <w:szCs w:val="21"/>
              </w:rPr>
            </w:pPr>
            <w:r>
              <w:rPr>
                <w:rFonts w:hint="default" w:ascii="Times New Roman" w:hAnsi="Times New Roman" w:eastAsia="宋体" w:cs="Times New Roman"/>
                <w:b/>
                <w:snapToGrid w:val="0"/>
                <w:color w:val="auto"/>
                <w:kern w:val="0"/>
                <w:sz w:val="21"/>
                <w:szCs w:val="21"/>
              </w:rPr>
              <w:t>表2</w:t>
            </w:r>
            <w:r>
              <w:rPr>
                <w:rFonts w:hint="default" w:ascii="Times New Roman" w:hAnsi="Times New Roman" w:eastAsia="宋体" w:cs="Times New Roman"/>
                <w:b/>
                <w:snapToGrid w:val="0"/>
                <w:color w:val="auto"/>
                <w:kern w:val="0"/>
                <w:sz w:val="21"/>
                <w:szCs w:val="21"/>
                <w:lang w:val="en-US" w:eastAsia="zh-CN"/>
              </w:rPr>
              <w:t>-1</w:t>
            </w:r>
            <w:r>
              <w:rPr>
                <w:rFonts w:hint="default" w:ascii="Times New Roman" w:hAnsi="Times New Roman" w:eastAsia="宋体" w:cs="Times New Roman"/>
                <w:b/>
                <w:snapToGrid w:val="0"/>
                <w:color w:val="auto"/>
                <w:kern w:val="0"/>
                <w:sz w:val="21"/>
                <w:szCs w:val="21"/>
              </w:rPr>
              <w:t xml:space="preserve">  主要工程组成情况一览表</w:t>
            </w:r>
          </w:p>
          <w:tbl>
            <w:tblPr>
              <w:tblStyle w:val="32"/>
              <w:tblW w:w="6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1234"/>
              <w:gridCol w:w="4942"/>
            </w:tblGrid>
            <w:tr w14:paraId="2C9C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03" w:type="dxa"/>
                  <w:tcBorders>
                    <w:tl2br w:val="nil"/>
                    <w:tr2bl w:val="nil"/>
                  </w:tcBorders>
                  <w:noWrap w:val="0"/>
                  <w:vAlign w:val="center"/>
                </w:tcPr>
                <w:p w14:paraId="1E11AF73">
                  <w:pPr>
                    <w:keepNext w:val="0"/>
                    <w:keepLines w:val="0"/>
                    <w:pageBreakBefore w:val="0"/>
                    <w:kinsoku/>
                    <w:wordWrap/>
                    <w:overflowPunct w:val="0"/>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b/>
                      <w:bCs/>
                      <w:snapToGrid w:val="0"/>
                      <w:color w:val="auto"/>
                      <w:kern w:val="0"/>
                      <w:sz w:val="21"/>
                      <w:szCs w:val="21"/>
                    </w:rPr>
                  </w:pPr>
                  <w:r>
                    <w:rPr>
                      <w:rFonts w:hint="default" w:ascii="Times New Roman" w:hAnsi="Times New Roman" w:eastAsia="宋体" w:cs="Times New Roman"/>
                      <w:b/>
                      <w:bCs/>
                      <w:snapToGrid w:val="0"/>
                      <w:color w:val="auto"/>
                      <w:kern w:val="0"/>
                      <w:sz w:val="21"/>
                      <w:szCs w:val="21"/>
                    </w:rPr>
                    <w:t>项目</w:t>
                  </w:r>
                </w:p>
              </w:tc>
              <w:tc>
                <w:tcPr>
                  <w:tcW w:w="1234" w:type="dxa"/>
                  <w:tcBorders>
                    <w:tl2br w:val="nil"/>
                    <w:tr2bl w:val="nil"/>
                  </w:tcBorders>
                  <w:noWrap w:val="0"/>
                  <w:vAlign w:val="center"/>
                </w:tcPr>
                <w:p w14:paraId="19EC90BA">
                  <w:pPr>
                    <w:keepNext w:val="0"/>
                    <w:keepLines w:val="0"/>
                    <w:pageBreakBefore w:val="0"/>
                    <w:kinsoku/>
                    <w:wordWrap/>
                    <w:overflowPunct w:val="0"/>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b/>
                      <w:bCs/>
                      <w:snapToGrid w:val="0"/>
                      <w:color w:val="auto"/>
                      <w:kern w:val="0"/>
                      <w:sz w:val="21"/>
                      <w:szCs w:val="21"/>
                    </w:rPr>
                  </w:pPr>
                  <w:r>
                    <w:rPr>
                      <w:rFonts w:hint="default" w:ascii="Times New Roman" w:hAnsi="Times New Roman" w:eastAsia="宋体" w:cs="Times New Roman"/>
                      <w:b/>
                      <w:bCs/>
                      <w:snapToGrid w:val="0"/>
                      <w:color w:val="auto"/>
                      <w:kern w:val="0"/>
                      <w:sz w:val="21"/>
                      <w:szCs w:val="21"/>
                    </w:rPr>
                    <w:t>建（构）筑物名称</w:t>
                  </w:r>
                </w:p>
              </w:tc>
              <w:tc>
                <w:tcPr>
                  <w:tcW w:w="4942" w:type="dxa"/>
                  <w:tcBorders>
                    <w:tl2br w:val="nil"/>
                    <w:tr2bl w:val="nil"/>
                  </w:tcBorders>
                  <w:noWrap w:val="0"/>
                  <w:vAlign w:val="center"/>
                </w:tcPr>
                <w:p w14:paraId="265E9A8E">
                  <w:pPr>
                    <w:keepNext w:val="0"/>
                    <w:keepLines w:val="0"/>
                    <w:pageBreakBefore w:val="0"/>
                    <w:kinsoku/>
                    <w:wordWrap/>
                    <w:overflowPunct w:val="0"/>
                    <w:topLinePunct w:val="0"/>
                    <w:autoSpaceDE/>
                    <w:autoSpaceDN/>
                    <w:bidi w:val="0"/>
                    <w:adjustRightInd w:val="0"/>
                    <w:snapToGrid w:val="0"/>
                    <w:spacing w:line="240" w:lineRule="auto"/>
                    <w:ind w:left="-105" w:leftChars="-50" w:right="-105" w:rightChars="-50"/>
                    <w:jc w:val="center"/>
                    <w:textAlignment w:val="auto"/>
                    <w:rPr>
                      <w:rFonts w:hint="default" w:ascii="Times New Roman" w:hAnsi="Times New Roman" w:eastAsia="宋体" w:cs="Times New Roman"/>
                      <w:b/>
                      <w:bCs/>
                      <w:snapToGrid w:val="0"/>
                      <w:color w:val="auto"/>
                      <w:kern w:val="0"/>
                      <w:sz w:val="21"/>
                      <w:szCs w:val="21"/>
                    </w:rPr>
                  </w:pPr>
                  <w:r>
                    <w:rPr>
                      <w:rFonts w:hint="eastAsia" w:ascii="Times New Roman" w:hAnsi="Times New Roman" w:eastAsia="宋体" w:cs="Times New Roman"/>
                      <w:b/>
                      <w:bCs/>
                      <w:snapToGrid w:val="0"/>
                      <w:color w:val="auto"/>
                      <w:kern w:val="0"/>
                      <w:sz w:val="21"/>
                      <w:szCs w:val="21"/>
                      <w:lang w:val="en-US" w:eastAsia="zh-CN"/>
                    </w:rPr>
                    <w:t>主要建设内容及</w:t>
                  </w:r>
                  <w:r>
                    <w:rPr>
                      <w:rFonts w:hint="default" w:ascii="Times New Roman" w:hAnsi="Times New Roman" w:eastAsia="宋体" w:cs="Times New Roman"/>
                      <w:b/>
                      <w:bCs/>
                      <w:snapToGrid w:val="0"/>
                      <w:color w:val="auto"/>
                      <w:kern w:val="0"/>
                      <w:sz w:val="21"/>
                      <w:szCs w:val="21"/>
                    </w:rPr>
                    <w:t>规模</w:t>
                  </w:r>
                </w:p>
              </w:tc>
            </w:tr>
            <w:tr w14:paraId="378B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803" w:type="dxa"/>
                  <w:vMerge w:val="restart"/>
                  <w:tcBorders>
                    <w:tl2br w:val="nil"/>
                    <w:tr2bl w:val="nil"/>
                  </w:tcBorders>
                  <w:noWrap w:val="0"/>
                  <w:vAlign w:val="center"/>
                </w:tcPr>
                <w:p w14:paraId="29B0CE1C">
                  <w:pPr>
                    <w:overflowPunct w:val="0"/>
                    <w:adjustRightInd w:val="0"/>
                    <w:snapToGrid w:val="0"/>
                    <w:spacing w:line="240" w:lineRule="auto"/>
                    <w:jc w:val="center"/>
                    <w:rPr>
                      <w:rFonts w:hint="default" w:ascii="Times New Roman" w:hAnsi="Times New Roman" w:eastAsia="宋体" w:cs="Times New Roman"/>
                      <w:snapToGrid w:val="0"/>
                      <w:color w:val="auto"/>
                      <w:kern w:val="0"/>
                      <w:sz w:val="21"/>
                      <w:szCs w:val="21"/>
                    </w:rPr>
                  </w:pPr>
                  <w:r>
                    <w:rPr>
                      <w:rFonts w:hint="default" w:ascii="Times New Roman" w:hAnsi="Times New Roman" w:eastAsia="宋体" w:cs="Times New Roman"/>
                      <w:snapToGrid w:val="0"/>
                      <w:color w:val="auto"/>
                      <w:kern w:val="0"/>
                      <w:sz w:val="21"/>
                      <w:szCs w:val="21"/>
                    </w:rPr>
                    <w:t>主体</w:t>
                  </w:r>
                </w:p>
                <w:p w14:paraId="37F40E51">
                  <w:pPr>
                    <w:overflowPunct w:val="0"/>
                    <w:adjustRightInd w:val="0"/>
                    <w:snapToGrid w:val="0"/>
                    <w:spacing w:line="240" w:lineRule="auto"/>
                    <w:jc w:val="center"/>
                    <w:rPr>
                      <w:rFonts w:hint="default" w:ascii="Times New Roman" w:hAnsi="Times New Roman" w:eastAsia="宋体" w:cs="Times New Roman"/>
                      <w:snapToGrid w:val="0"/>
                      <w:color w:val="auto"/>
                      <w:kern w:val="0"/>
                      <w:sz w:val="21"/>
                      <w:szCs w:val="21"/>
                    </w:rPr>
                  </w:pPr>
                  <w:r>
                    <w:rPr>
                      <w:rFonts w:hint="default" w:ascii="Times New Roman" w:hAnsi="Times New Roman" w:eastAsia="宋体" w:cs="Times New Roman"/>
                      <w:snapToGrid w:val="0"/>
                      <w:color w:val="auto"/>
                      <w:kern w:val="0"/>
                      <w:sz w:val="21"/>
                      <w:szCs w:val="21"/>
                    </w:rPr>
                    <w:t>工程</w:t>
                  </w:r>
                </w:p>
              </w:tc>
              <w:tc>
                <w:tcPr>
                  <w:tcW w:w="1234" w:type="dxa"/>
                  <w:tcBorders>
                    <w:tl2br w:val="nil"/>
                    <w:tr2bl w:val="nil"/>
                  </w:tcBorders>
                  <w:noWrap w:val="0"/>
                  <w:vAlign w:val="center"/>
                </w:tcPr>
                <w:p w14:paraId="4E580685">
                  <w:pPr>
                    <w:overflowPunct w:val="0"/>
                    <w:adjustRightInd w:val="0"/>
                    <w:snapToGrid w:val="0"/>
                    <w:spacing w:line="240" w:lineRule="auto"/>
                    <w:jc w:val="center"/>
                    <w:rPr>
                      <w:rFonts w:hint="eastAsia" w:ascii="Times New Roman" w:hAnsi="Times New Roman" w:eastAsia="宋体" w:cs="Times New Roman"/>
                      <w:snapToGrid w:val="0"/>
                      <w:color w:val="auto"/>
                      <w:kern w:val="0"/>
                      <w:sz w:val="21"/>
                      <w:szCs w:val="21"/>
                      <w:lang w:eastAsia="zh-CN"/>
                    </w:rPr>
                  </w:pPr>
                  <w:r>
                    <w:rPr>
                      <w:rFonts w:hint="eastAsia" w:ascii="宋体" w:hAnsi="宋体" w:eastAsia="宋体"/>
                      <w:color w:val="auto"/>
                      <w:sz w:val="21"/>
                      <w:szCs w:val="21"/>
                      <w:lang w:val="en-US" w:eastAsia="zh-CN"/>
                    </w:rPr>
                    <w:t>露天采矿场</w:t>
                  </w:r>
                </w:p>
              </w:tc>
              <w:tc>
                <w:tcPr>
                  <w:tcW w:w="4942" w:type="dxa"/>
                  <w:tcBorders>
                    <w:tl2br w:val="nil"/>
                    <w:tr2bl w:val="nil"/>
                  </w:tcBorders>
                  <w:noWrap w:val="0"/>
                  <w:vAlign w:val="center"/>
                </w:tcPr>
                <w:p w14:paraId="5C8EB4E0">
                  <w:pPr>
                    <w:overflowPunct w:val="0"/>
                    <w:adjustRightInd w:val="0"/>
                    <w:snapToGrid w:val="0"/>
                    <w:spacing w:line="240" w:lineRule="auto"/>
                    <w:jc w:val="both"/>
                    <w:rPr>
                      <w:rFonts w:hint="default" w:ascii="Times New Roman" w:hAnsi="Times New Roman" w:eastAsia="宋体" w:cs="Times New Roman"/>
                      <w:snapToGrid w:val="0"/>
                      <w:color w:val="auto"/>
                      <w:kern w:val="0"/>
                      <w:sz w:val="21"/>
                      <w:szCs w:val="21"/>
                      <w:lang w:val="en-US"/>
                    </w:rPr>
                  </w:pPr>
                  <w:r>
                    <w:rPr>
                      <w:rFonts w:hint="default" w:ascii="Times New Roman" w:hAnsi="Times New Roman" w:eastAsia="宋体" w:cs="Times New Roman"/>
                      <w:color w:val="auto"/>
                      <w:sz w:val="21"/>
                      <w:szCs w:val="21"/>
                      <w:lang w:val="en-US" w:eastAsia="zh-CN"/>
                    </w:rPr>
                    <w:t>全矿设露天采矿场1处</w:t>
                  </w:r>
                  <w:r>
                    <w:rPr>
                      <w:rFonts w:hint="eastAsia"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采矿区面积</w:t>
                  </w:r>
                  <w:r>
                    <w:rPr>
                      <w:rFonts w:hint="eastAsia" w:cs="Times New Roman"/>
                      <w:color w:val="auto"/>
                      <w:sz w:val="21"/>
                      <w:szCs w:val="21"/>
                      <w:lang w:val="en-US" w:eastAsia="zh-CN"/>
                    </w:rPr>
                    <w:t>3.03hm</w:t>
                  </w:r>
                  <w:r>
                    <w:rPr>
                      <w:rFonts w:hint="eastAsia" w:cs="Times New Roman"/>
                      <w:color w:val="auto"/>
                      <w:sz w:val="21"/>
                      <w:szCs w:val="21"/>
                      <w:vertAlign w:val="superscript"/>
                      <w:lang w:val="en-US" w:eastAsia="zh-CN"/>
                    </w:rPr>
                    <w:t>2</w:t>
                  </w:r>
                  <w:r>
                    <w:rPr>
                      <w:rFonts w:hint="default" w:ascii="Times New Roman" w:hAnsi="Times New Roman" w:eastAsia="宋体" w:cs="Times New Roman"/>
                      <w:color w:val="auto"/>
                      <w:sz w:val="21"/>
                      <w:szCs w:val="21"/>
                      <w:lang w:val="en-US" w:eastAsia="zh-CN"/>
                    </w:rPr>
                    <w:t>，采取露天式开采，开采</w:t>
                  </w:r>
                  <w:r>
                    <w:rPr>
                      <w:rFonts w:hint="eastAsia" w:cs="Times New Roman"/>
                      <w:color w:val="auto"/>
                      <w:sz w:val="21"/>
                      <w:szCs w:val="21"/>
                      <w:lang w:val="en-US" w:eastAsia="zh-CN"/>
                    </w:rPr>
                    <w:t>标高为378～359m</w:t>
                  </w:r>
                  <w:r>
                    <w:rPr>
                      <w:rFonts w:hint="default" w:ascii="Times New Roman" w:hAnsi="Times New Roman" w:eastAsia="宋体" w:cs="Times New Roman"/>
                      <w:color w:val="auto"/>
                      <w:sz w:val="21"/>
                      <w:szCs w:val="21"/>
                      <w:lang w:val="en-US" w:eastAsia="zh-CN"/>
                    </w:rPr>
                    <w:t>米，年生产规模为</w:t>
                  </w:r>
                  <w:r>
                    <w:rPr>
                      <w:rFonts w:hint="eastAsia" w:cs="Times New Roman"/>
                      <w:color w:val="auto"/>
                      <w:sz w:val="21"/>
                      <w:szCs w:val="21"/>
                      <w:lang w:val="en-US" w:eastAsia="zh-CN"/>
                    </w:rPr>
                    <w:t>6</w:t>
                  </w:r>
                  <w:r>
                    <w:rPr>
                      <w:rFonts w:hint="default" w:ascii="Times New Roman" w:hAnsi="Times New Roman" w:eastAsia="宋体" w:cs="Times New Roman"/>
                      <w:color w:val="auto"/>
                      <w:sz w:val="21"/>
                      <w:szCs w:val="21"/>
                      <w:lang w:val="en-US" w:eastAsia="zh-CN"/>
                    </w:rPr>
                    <w:t>万</w:t>
                  </w:r>
                  <w:r>
                    <w:rPr>
                      <w:rFonts w:hint="eastAsia" w:cs="Times New Roman"/>
                      <w:color w:val="auto"/>
                      <w:sz w:val="21"/>
                      <w:szCs w:val="21"/>
                      <w:lang w:val="en-US" w:eastAsia="zh-CN"/>
                    </w:rPr>
                    <w:t>m</w:t>
                  </w:r>
                  <w:r>
                    <w:rPr>
                      <w:rFonts w:hint="eastAsia"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val="en-US" w:eastAsia="zh-CN"/>
                    </w:rPr>
                    <w:t>/</w:t>
                  </w:r>
                  <w:r>
                    <w:rPr>
                      <w:rFonts w:hint="eastAsia" w:cs="Times New Roman"/>
                      <w:color w:val="auto"/>
                      <w:sz w:val="21"/>
                      <w:szCs w:val="21"/>
                      <w:lang w:val="en-US" w:eastAsia="zh-CN"/>
                    </w:rPr>
                    <w:t>a。</w:t>
                  </w:r>
                </w:p>
              </w:tc>
            </w:tr>
            <w:tr w14:paraId="00E72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803" w:type="dxa"/>
                  <w:vMerge w:val="continue"/>
                  <w:tcBorders>
                    <w:tl2br w:val="nil"/>
                    <w:tr2bl w:val="nil"/>
                  </w:tcBorders>
                  <w:noWrap w:val="0"/>
                  <w:vAlign w:val="center"/>
                </w:tcPr>
                <w:p w14:paraId="6CBD7024">
                  <w:pPr>
                    <w:overflowPunct w:val="0"/>
                    <w:adjustRightInd w:val="0"/>
                    <w:snapToGrid w:val="0"/>
                    <w:spacing w:line="240" w:lineRule="auto"/>
                    <w:jc w:val="center"/>
                    <w:rPr>
                      <w:rFonts w:hint="default" w:ascii="Times New Roman" w:hAnsi="Times New Roman" w:eastAsia="宋体" w:cs="Times New Roman"/>
                      <w:snapToGrid w:val="0"/>
                      <w:color w:val="auto"/>
                      <w:kern w:val="0"/>
                      <w:sz w:val="21"/>
                      <w:szCs w:val="21"/>
                    </w:rPr>
                  </w:pPr>
                </w:p>
              </w:tc>
              <w:tc>
                <w:tcPr>
                  <w:tcW w:w="1234" w:type="dxa"/>
                  <w:tcBorders>
                    <w:tl2br w:val="nil"/>
                    <w:tr2bl w:val="nil"/>
                  </w:tcBorders>
                  <w:noWrap w:val="0"/>
                  <w:vAlign w:val="center"/>
                </w:tcPr>
                <w:p w14:paraId="21406D53">
                  <w:pPr>
                    <w:overflowPunct w:val="0"/>
                    <w:adjustRightInd w:val="0"/>
                    <w:snapToGrid w:val="0"/>
                    <w:spacing w:line="24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工业</w:t>
                  </w:r>
                </w:p>
                <w:p w14:paraId="2908395F">
                  <w:pPr>
                    <w:overflowPunct w:val="0"/>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广场</w:t>
                  </w:r>
                </w:p>
              </w:tc>
              <w:tc>
                <w:tcPr>
                  <w:tcW w:w="4942" w:type="dxa"/>
                  <w:tcBorders>
                    <w:tl2br w:val="nil"/>
                    <w:tr2bl w:val="nil"/>
                  </w:tcBorders>
                  <w:noWrap w:val="0"/>
                  <w:vAlign w:val="center"/>
                </w:tcPr>
                <w:p w14:paraId="38C38800">
                  <w:pPr>
                    <w:overflowPunct w:val="0"/>
                    <w:adjustRightInd w:val="0"/>
                    <w:snapToGrid w:val="0"/>
                    <w:spacing w:line="240" w:lineRule="auto"/>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布置在</w:t>
                  </w:r>
                  <w:r>
                    <w:rPr>
                      <w:rFonts w:hint="eastAsia" w:cs="Times New Roman"/>
                      <w:color w:val="auto"/>
                      <w:sz w:val="21"/>
                      <w:szCs w:val="21"/>
                      <w:lang w:val="en-US" w:eastAsia="zh-CN"/>
                    </w:rPr>
                    <w:t>采场西侧</w:t>
                  </w:r>
                  <w:r>
                    <w:rPr>
                      <w:rFonts w:hint="eastAsia" w:ascii="Times New Roman" w:hAnsi="Times New Roman" w:eastAsia="宋体" w:cs="Times New Roman"/>
                      <w:color w:val="auto"/>
                      <w:sz w:val="21"/>
                      <w:szCs w:val="21"/>
                      <w:lang w:val="en-US" w:eastAsia="zh-CN"/>
                    </w:rPr>
                    <w:t>，面积0</w:t>
                  </w:r>
                  <w:r>
                    <w:rPr>
                      <w:rFonts w:hint="eastAsia" w:cs="Times New Roman"/>
                      <w:color w:val="auto"/>
                      <w:sz w:val="21"/>
                      <w:szCs w:val="21"/>
                      <w:lang w:val="en-US" w:eastAsia="zh-CN"/>
                    </w:rPr>
                    <w:t>.9318hm</w:t>
                  </w:r>
                  <w:r>
                    <w:rPr>
                      <w:rFonts w:hint="eastAsia" w:cs="Times New Roman"/>
                      <w:color w:val="auto"/>
                      <w:sz w:val="21"/>
                      <w:szCs w:val="21"/>
                      <w:vertAlign w:val="superscript"/>
                      <w:lang w:val="en-US" w:eastAsia="zh-CN"/>
                    </w:rPr>
                    <w:t>2</w:t>
                  </w:r>
                  <w:r>
                    <w:rPr>
                      <w:rFonts w:hint="eastAsia" w:ascii="Times New Roman" w:hAnsi="Times New Roman" w:eastAsia="宋体" w:cs="Times New Roman"/>
                      <w:color w:val="auto"/>
                      <w:sz w:val="21"/>
                      <w:szCs w:val="21"/>
                      <w:lang w:val="en-US" w:eastAsia="zh-CN"/>
                    </w:rPr>
                    <w:t>，场地内包括堆料场、输送及选矿加工设备等。场地地形坡度约3°。</w:t>
                  </w:r>
                </w:p>
              </w:tc>
            </w:tr>
            <w:tr w14:paraId="5581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803" w:type="dxa"/>
                  <w:vMerge w:val="restart"/>
                  <w:tcBorders>
                    <w:tl2br w:val="nil"/>
                    <w:tr2bl w:val="nil"/>
                  </w:tcBorders>
                  <w:noWrap w:val="0"/>
                  <w:vAlign w:val="center"/>
                </w:tcPr>
                <w:p w14:paraId="73FD1295">
                  <w:pPr>
                    <w:overflowPunct w:val="0"/>
                    <w:adjustRightInd w:val="0"/>
                    <w:snapToGrid w:val="0"/>
                    <w:spacing w:line="240" w:lineRule="auto"/>
                    <w:jc w:val="center"/>
                    <w:rPr>
                      <w:rFonts w:hint="eastAsia" w:ascii="Times New Roman" w:hAnsi="Times New Roman" w:eastAsia="宋体" w:cs="Times New Roman"/>
                      <w:snapToGrid w:val="0"/>
                      <w:color w:val="auto"/>
                      <w:kern w:val="0"/>
                      <w:sz w:val="21"/>
                      <w:szCs w:val="21"/>
                      <w:lang w:val="en-US" w:eastAsia="zh-CN"/>
                    </w:rPr>
                  </w:pPr>
                  <w:r>
                    <w:rPr>
                      <w:rFonts w:hint="eastAsia" w:ascii="Times New Roman" w:hAnsi="Times New Roman" w:eastAsia="宋体" w:cs="Times New Roman"/>
                      <w:snapToGrid w:val="0"/>
                      <w:color w:val="auto"/>
                      <w:kern w:val="0"/>
                      <w:sz w:val="21"/>
                      <w:szCs w:val="21"/>
                      <w:lang w:val="en-US" w:eastAsia="zh-CN"/>
                    </w:rPr>
                    <w:t>储运工程</w:t>
                  </w:r>
                </w:p>
              </w:tc>
              <w:tc>
                <w:tcPr>
                  <w:tcW w:w="1234" w:type="dxa"/>
                  <w:tcBorders>
                    <w:tl2br w:val="nil"/>
                    <w:tr2bl w:val="nil"/>
                  </w:tcBorders>
                  <w:noWrap w:val="0"/>
                  <w:vAlign w:val="center"/>
                </w:tcPr>
                <w:p w14:paraId="559AD57F">
                  <w:pPr>
                    <w:jc w:val="center"/>
                    <w:rPr>
                      <w:rFonts w:hint="eastAsia" w:ascii="宋体" w:hAnsi="宋体" w:eastAsia="宋体"/>
                      <w:color w:val="auto"/>
                      <w:sz w:val="21"/>
                      <w:szCs w:val="21"/>
                      <w:lang w:val="en-US" w:eastAsia="zh-CN"/>
                    </w:rPr>
                  </w:pPr>
                  <w:r>
                    <w:rPr>
                      <w:rFonts w:hint="eastAsia"/>
                      <w:color w:val="auto"/>
                      <w:highlight w:val="none"/>
                      <w:lang w:val="en-US" w:eastAsia="zh-CN"/>
                    </w:rPr>
                    <w:t>临时产品堆场</w:t>
                  </w:r>
                </w:p>
              </w:tc>
              <w:tc>
                <w:tcPr>
                  <w:tcW w:w="4942" w:type="dxa"/>
                  <w:tcBorders>
                    <w:tl2br w:val="nil"/>
                    <w:tr2bl w:val="nil"/>
                  </w:tcBorders>
                  <w:noWrap w:val="0"/>
                  <w:vAlign w:val="center"/>
                </w:tcPr>
                <w:p w14:paraId="3A8A22F4">
                  <w:pPr>
                    <w:jc w:val="both"/>
                    <w:rPr>
                      <w:rFonts w:hint="default"/>
                      <w:color w:val="auto"/>
                      <w:lang w:val="en-US" w:eastAsia="zh-CN"/>
                    </w:rPr>
                  </w:pPr>
                  <w:r>
                    <w:rPr>
                      <w:rFonts w:hint="default" w:ascii="Times New Roman" w:hAnsi="Times New Roman" w:eastAsia="宋体" w:cs="Times New Roman"/>
                      <w:color w:val="auto"/>
                      <w:highlight w:val="none"/>
                      <w:lang w:val="en-US" w:eastAsia="zh-CN"/>
                    </w:rPr>
                    <w:t>占地面积</w:t>
                  </w:r>
                  <w:r>
                    <w:rPr>
                      <w:rFonts w:hint="eastAsia" w:ascii="Times New Roman" w:hAnsi="Times New Roman" w:eastAsia="宋体" w:cs="Times New Roman"/>
                      <w:color w:val="auto"/>
                      <w:highlight w:val="none"/>
                      <w:lang w:val="en-US" w:eastAsia="zh-CN"/>
                    </w:rPr>
                    <w:t>约</w:t>
                  </w:r>
                  <w:r>
                    <w:rPr>
                      <w:rFonts w:hint="eastAsia" w:cs="Times New Roman"/>
                      <w:color w:val="auto"/>
                      <w:highlight w:val="none"/>
                      <w:lang w:val="en-US" w:eastAsia="zh-CN"/>
                    </w:rPr>
                    <w:t>3000</w:t>
                  </w:r>
                  <w:r>
                    <w:rPr>
                      <w:rFonts w:hint="default" w:ascii="Times New Roman" w:hAnsi="Times New Roman" w:eastAsia="宋体" w:cs="Times New Roman"/>
                      <w:color w:val="auto"/>
                      <w:highlight w:val="none"/>
                      <w:lang w:val="en-US" w:eastAsia="zh-CN"/>
                    </w:rPr>
                    <w:t>m</w:t>
                  </w:r>
                  <w:r>
                    <w:rPr>
                      <w:rFonts w:hint="default" w:ascii="Times New Roman" w:hAnsi="Times New Roman" w:eastAsia="宋体" w:cs="Times New Roman"/>
                      <w:color w:val="auto"/>
                      <w:highlight w:val="none"/>
                      <w:vertAlign w:val="superscript"/>
                      <w:lang w:val="en-US" w:eastAsia="zh-CN"/>
                    </w:rPr>
                    <w:t>2</w:t>
                  </w:r>
                  <w:r>
                    <w:rPr>
                      <w:rFonts w:hint="eastAsia" w:cs="Times New Roman"/>
                      <w:color w:val="auto"/>
                      <w:highlight w:val="none"/>
                      <w:vertAlign w:val="baseline"/>
                      <w:lang w:val="en-US" w:eastAsia="zh-CN"/>
                    </w:rPr>
                    <w:t>，在工业广场内，</w:t>
                  </w:r>
                  <w:r>
                    <w:rPr>
                      <w:rFonts w:hint="eastAsia" w:cs="Times New Roman"/>
                      <w:color w:val="auto"/>
                      <w:highlight w:val="none"/>
                      <w:lang w:val="en-US" w:eastAsia="zh-CN"/>
                    </w:rPr>
                    <w:t>位于工业广场西侧，</w:t>
                  </w:r>
                  <w:r>
                    <w:rPr>
                      <w:rFonts w:hint="eastAsia" w:ascii="Times New Roman" w:hAnsi="Times New Roman" w:eastAsia="宋体" w:cs="Times New Roman"/>
                      <w:b w:val="0"/>
                      <w:strike w:val="0"/>
                      <w:dstrike w:val="0"/>
                      <w:snapToGrid w:val="0"/>
                      <w:color w:val="auto"/>
                      <w:sz w:val="21"/>
                      <w:szCs w:val="21"/>
                      <w:highlight w:val="none"/>
                      <w:lang w:val="en-US" w:eastAsia="zh-CN"/>
                    </w:rPr>
                    <w:t>本环评要求</w:t>
                  </w:r>
                  <w:r>
                    <w:rPr>
                      <w:rFonts w:hint="default" w:ascii="Times New Roman" w:hAnsi="Times New Roman" w:eastAsia="宋体" w:cs="Times New Roman"/>
                      <w:b w:val="0"/>
                      <w:strike w:val="0"/>
                      <w:dstrike w:val="0"/>
                      <w:color w:val="auto"/>
                      <w:sz w:val="21"/>
                      <w:szCs w:val="21"/>
                      <w:highlight w:val="none"/>
                    </w:rPr>
                    <w:t>砂石</w:t>
                  </w:r>
                  <w:r>
                    <w:rPr>
                      <w:rFonts w:hint="default" w:ascii="Times New Roman" w:hAnsi="Times New Roman" w:eastAsia="宋体" w:cs="Times New Roman"/>
                      <w:b w:val="0"/>
                      <w:strike w:val="0"/>
                      <w:dstrike w:val="0"/>
                      <w:color w:val="auto"/>
                      <w:sz w:val="21"/>
                      <w:szCs w:val="21"/>
                      <w:highlight w:val="none"/>
                      <w:lang w:eastAsia="zh-CN"/>
                    </w:rPr>
                    <w:t>产品堆放设置不低于堆放物高度的严密围挡，</w:t>
                  </w:r>
                  <w:r>
                    <w:rPr>
                      <w:rFonts w:hint="eastAsia" w:ascii="Times New Roman" w:hAnsi="Times New Roman" w:eastAsia="宋体" w:cs="Times New Roman"/>
                      <w:b w:val="0"/>
                      <w:strike w:val="0"/>
                      <w:dstrike w:val="0"/>
                      <w:color w:val="auto"/>
                      <w:sz w:val="21"/>
                      <w:szCs w:val="21"/>
                      <w:highlight w:val="none"/>
                      <w:lang w:val="en-US" w:eastAsia="zh-CN"/>
                    </w:rPr>
                    <w:t>并</w:t>
                  </w:r>
                  <w:r>
                    <w:rPr>
                      <w:rFonts w:hint="default" w:ascii="Times New Roman" w:hAnsi="Times New Roman" w:eastAsia="宋体" w:cs="Times New Roman"/>
                      <w:b w:val="0"/>
                      <w:strike w:val="0"/>
                      <w:dstrike w:val="0"/>
                      <w:color w:val="auto"/>
                      <w:sz w:val="21"/>
                      <w:szCs w:val="21"/>
                      <w:highlight w:val="none"/>
                      <w:lang w:eastAsia="zh-CN"/>
                    </w:rPr>
                    <w:t>采取密闭防尘网及时苫盖。</w:t>
                  </w:r>
                </w:p>
              </w:tc>
            </w:tr>
            <w:tr w14:paraId="69DF2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803" w:type="dxa"/>
                  <w:vMerge w:val="continue"/>
                  <w:tcBorders>
                    <w:tl2br w:val="nil"/>
                    <w:tr2bl w:val="nil"/>
                  </w:tcBorders>
                  <w:noWrap w:val="0"/>
                  <w:vAlign w:val="center"/>
                </w:tcPr>
                <w:p w14:paraId="264B0E5D">
                  <w:pPr>
                    <w:overflowPunct w:val="0"/>
                    <w:adjustRightInd w:val="0"/>
                    <w:snapToGrid w:val="0"/>
                    <w:spacing w:line="240" w:lineRule="auto"/>
                    <w:jc w:val="center"/>
                    <w:rPr>
                      <w:rFonts w:hint="eastAsia" w:ascii="Times New Roman" w:hAnsi="Times New Roman" w:eastAsia="宋体" w:cs="Times New Roman"/>
                      <w:snapToGrid w:val="0"/>
                      <w:color w:val="auto"/>
                      <w:kern w:val="0"/>
                      <w:sz w:val="21"/>
                      <w:szCs w:val="21"/>
                      <w:lang w:val="en-US" w:eastAsia="zh-CN"/>
                    </w:rPr>
                  </w:pPr>
                </w:p>
              </w:tc>
              <w:tc>
                <w:tcPr>
                  <w:tcW w:w="1234" w:type="dxa"/>
                  <w:tcBorders>
                    <w:tl2br w:val="nil"/>
                    <w:tr2bl w:val="nil"/>
                  </w:tcBorders>
                  <w:noWrap w:val="0"/>
                  <w:vAlign w:val="center"/>
                </w:tcPr>
                <w:p w14:paraId="4F66440F">
                  <w:pPr>
                    <w:overflowPunct w:val="0"/>
                    <w:adjustRightInd w:val="0"/>
                    <w:snapToGrid w:val="0"/>
                    <w:spacing w:line="240" w:lineRule="auto"/>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废石</w:t>
                  </w:r>
                </w:p>
                <w:p w14:paraId="0D761D1B">
                  <w:pPr>
                    <w:overflowPunct w:val="0"/>
                    <w:adjustRightInd w:val="0"/>
                    <w:snapToGrid w:val="0"/>
                    <w:spacing w:line="240" w:lineRule="auto"/>
                    <w:jc w:val="center"/>
                    <w:rPr>
                      <w:rFonts w:hint="default" w:ascii="宋体" w:hAnsi="宋体" w:eastAsia="宋体"/>
                      <w:color w:val="auto"/>
                      <w:sz w:val="21"/>
                      <w:szCs w:val="21"/>
                      <w:lang w:val="en-US" w:eastAsia="zh-CN"/>
                    </w:rPr>
                  </w:pPr>
                  <w:r>
                    <w:rPr>
                      <w:rFonts w:hint="eastAsia" w:ascii="宋体" w:hAnsi="宋体" w:eastAsia="宋体"/>
                      <w:color w:val="auto"/>
                      <w:sz w:val="21"/>
                      <w:szCs w:val="21"/>
                      <w:lang w:val="en-US" w:eastAsia="zh-CN"/>
                    </w:rPr>
                    <w:t>堆场</w:t>
                  </w:r>
                </w:p>
              </w:tc>
              <w:tc>
                <w:tcPr>
                  <w:tcW w:w="4942" w:type="dxa"/>
                  <w:tcBorders>
                    <w:tl2br w:val="nil"/>
                    <w:tr2bl w:val="nil"/>
                  </w:tcBorders>
                  <w:noWrap w:val="0"/>
                  <w:vAlign w:val="center"/>
                </w:tcPr>
                <w:p w14:paraId="6BAC44EF">
                  <w:pPr>
                    <w:overflowPunct w:val="0"/>
                    <w:adjustRightInd w:val="0"/>
                    <w:snapToGrid w:val="0"/>
                    <w:spacing w:line="240" w:lineRule="auto"/>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废石堆放场布设</w:t>
                  </w:r>
                  <w:r>
                    <w:rPr>
                      <w:rFonts w:hint="eastAsia" w:cs="Times New Roman"/>
                      <w:color w:val="auto"/>
                      <w:sz w:val="21"/>
                      <w:szCs w:val="21"/>
                      <w:lang w:val="en-US" w:eastAsia="zh-CN"/>
                    </w:rPr>
                    <w:t>于</w:t>
                  </w:r>
                  <w:r>
                    <w:rPr>
                      <w:rFonts w:hint="eastAsia" w:ascii="Times New Roman" w:hAnsi="Times New Roman" w:eastAsia="宋体" w:cs="Times New Roman"/>
                      <w:color w:val="auto"/>
                      <w:sz w:val="21"/>
                      <w:szCs w:val="21"/>
                      <w:lang w:val="en-US" w:eastAsia="zh-CN"/>
                    </w:rPr>
                    <w:t>矿区</w:t>
                  </w:r>
                  <w:r>
                    <w:rPr>
                      <w:rFonts w:hint="eastAsia" w:cs="Times New Roman"/>
                      <w:color w:val="auto"/>
                      <w:sz w:val="21"/>
                      <w:szCs w:val="21"/>
                      <w:lang w:val="en-US" w:eastAsia="zh-CN"/>
                    </w:rPr>
                    <w:t>东</w:t>
                  </w:r>
                  <w:r>
                    <w:rPr>
                      <w:rFonts w:hint="eastAsia" w:ascii="Times New Roman" w:hAnsi="Times New Roman" w:eastAsia="宋体" w:cs="Times New Roman"/>
                      <w:color w:val="auto"/>
                      <w:sz w:val="21"/>
                      <w:szCs w:val="21"/>
                      <w:lang w:val="en-US" w:eastAsia="zh-CN"/>
                    </w:rPr>
                    <w:t>部，开采过程中边采边回填。堆场位于工业广场</w:t>
                  </w:r>
                  <w:r>
                    <w:rPr>
                      <w:rFonts w:hint="eastAsia" w:cs="Times New Roman"/>
                      <w:color w:val="auto"/>
                      <w:sz w:val="21"/>
                      <w:szCs w:val="21"/>
                      <w:lang w:val="en-US" w:eastAsia="zh-CN"/>
                    </w:rPr>
                    <w:t>东</w:t>
                  </w:r>
                  <w:r>
                    <w:rPr>
                      <w:rFonts w:hint="eastAsia" w:ascii="Times New Roman" w:hAnsi="Times New Roman" w:eastAsia="宋体" w:cs="Times New Roman"/>
                      <w:color w:val="auto"/>
                      <w:sz w:val="21"/>
                      <w:szCs w:val="21"/>
                      <w:lang w:val="en-US" w:eastAsia="zh-CN"/>
                    </w:rPr>
                    <w:t>侧，占地面积</w:t>
                  </w:r>
                  <w:r>
                    <w:rPr>
                      <w:rFonts w:hint="eastAsia" w:cs="Times New Roman"/>
                      <w:color w:val="auto"/>
                      <w:sz w:val="21"/>
                      <w:szCs w:val="21"/>
                      <w:lang w:val="en-US" w:eastAsia="zh-CN"/>
                    </w:rPr>
                    <w:t>5000m</w:t>
                  </w:r>
                  <w:r>
                    <w:rPr>
                      <w:rFonts w:hint="eastAsia" w:cs="Times New Roman"/>
                      <w:color w:val="auto"/>
                      <w:sz w:val="21"/>
                      <w:szCs w:val="21"/>
                      <w:vertAlign w:val="superscript"/>
                      <w:lang w:val="en-US" w:eastAsia="zh-CN"/>
                    </w:rPr>
                    <w:t>2</w:t>
                  </w:r>
                  <w:r>
                    <w:rPr>
                      <w:rFonts w:hint="eastAsia" w:ascii="Times New Roman" w:hAnsi="Times New Roman" w:eastAsia="宋体" w:cs="Times New Roman"/>
                      <w:color w:val="auto"/>
                      <w:sz w:val="21"/>
                      <w:szCs w:val="21"/>
                      <w:lang w:val="en-US" w:eastAsia="zh-CN"/>
                    </w:rPr>
                    <w:t>，最大堆置高度</w:t>
                  </w:r>
                  <w:r>
                    <w:rPr>
                      <w:rFonts w:hint="eastAsia" w:cs="Times New Roman"/>
                      <w:color w:val="auto"/>
                      <w:sz w:val="21"/>
                      <w:szCs w:val="21"/>
                      <w:lang w:val="en-US" w:eastAsia="zh-CN"/>
                    </w:rPr>
                    <w:t>2</w:t>
                  </w:r>
                  <w:r>
                    <w:rPr>
                      <w:rFonts w:hint="eastAsia" w:ascii="Times New Roman" w:hAnsi="Times New Roman" w:eastAsia="宋体" w:cs="Times New Roman"/>
                      <w:color w:val="auto"/>
                      <w:sz w:val="21"/>
                      <w:szCs w:val="21"/>
                      <w:lang w:val="en-US" w:eastAsia="zh-CN"/>
                    </w:rPr>
                    <w:t>米。</w:t>
                  </w:r>
                </w:p>
              </w:tc>
            </w:tr>
            <w:tr w14:paraId="6D2B5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3" w:type="dxa"/>
                  <w:vMerge w:val="continue"/>
                  <w:tcBorders>
                    <w:tl2br w:val="nil"/>
                    <w:tr2bl w:val="nil"/>
                  </w:tcBorders>
                  <w:noWrap w:val="0"/>
                  <w:vAlign w:val="center"/>
                </w:tcPr>
                <w:p w14:paraId="7599DAAA">
                  <w:pPr>
                    <w:overflowPunct w:val="0"/>
                    <w:adjustRightInd w:val="0"/>
                    <w:snapToGrid w:val="0"/>
                    <w:spacing w:line="240" w:lineRule="auto"/>
                    <w:jc w:val="center"/>
                    <w:rPr>
                      <w:rFonts w:hint="default" w:ascii="Times New Roman" w:hAnsi="Times New Roman" w:eastAsia="宋体" w:cs="Times New Roman"/>
                      <w:snapToGrid w:val="0"/>
                      <w:color w:val="auto"/>
                      <w:kern w:val="0"/>
                      <w:sz w:val="21"/>
                      <w:szCs w:val="21"/>
                    </w:rPr>
                  </w:pPr>
                </w:p>
              </w:tc>
              <w:tc>
                <w:tcPr>
                  <w:tcW w:w="1234" w:type="dxa"/>
                  <w:tcBorders>
                    <w:tl2br w:val="nil"/>
                    <w:tr2bl w:val="nil"/>
                  </w:tcBorders>
                  <w:noWrap w:val="0"/>
                  <w:vAlign w:val="center"/>
                </w:tcPr>
                <w:p w14:paraId="718339B7">
                  <w:pPr>
                    <w:overflowPunct w:val="0"/>
                    <w:adjustRightInd w:val="0"/>
                    <w:snapToGrid w:val="0"/>
                    <w:spacing w:line="240" w:lineRule="auto"/>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矿山</w:t>
                  </w:r>
                </w:p>
                <w:p w14:paraId="6C807D09">
                  <w:pPr>
                    <w:overflowPunct w:val="0"/>
                    <w:adjustRightInd w:val="0"/>
                    <w:snapToGrid w:val="0"/>
                    <w:spacing w:line="240" w:lineRule="auto"/>
                    <w:jc w:val="center"/>
                    <w:rPr>
                      <w:rFonts w:hint="default" w:ascii="宋体" w:hAnsi="宋体" w:eastAsia="宋体"/>
                      <w:color w:val="auto"/>
                      <w:sz w:val="21"/>
                      <w:szCs w:val="21"/>
                      <w:lang w:val="en-US" w:eastAsia="zh-CN"/>
                    </w:rPr>
                  </w:pPr>
                  <w:r>
                    <w:rPr>
                      <w:rFonts w:hint="eastAsia" w:ascii="宋体" w:hAnsi="宋体" w:eastAsia="宋体"/>
                      <w:color w:val="auto"/>
                      <w:sz w:val="21"/>
                      <w:szCs w:val="21"/>
                      <w:lang w:val="en-US" w:eastAsia="zh-CN"/>
                    </w:rPr>
                    <w:t>道路</w:t>
                  </w:r>
                </w:p>
              </w:tc>
              <w:tc>
                <w:tcPr>
                  <w:tcW w:w="4942" w:type="dxa"/>
                  <w:tcBorders>
                    <w:tl2br w:val="nil"/>
                    <w:tr2bl w:val="nil"/>
                  </w:tcBorders>
                  <w:noWrap w:val="0"/>
                  <w:vAlign w:val="center"/>
                </w:tcPr>
                <w:p w14:paraId="3950E11B">
                  <w:pPr>
                    <w:overflowPunct w:val="0"/>
                    <w:adjustRightInd w:val="0"/>
                    <w:snapToGrid w:val="0"/>
                    <w:spacing w:line="240" w:lineRule="auto"/>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砂场附近已有简易公路与省道相连，设计采场开拓公路（矿区道路）与简易公路连接，矿区道路从矿区</w:t>
                  </w:r>
                  <w:r>
                    <w:rPr>
                      <w:rFonts w:hint="eastAsia" w:cs="Times New Roman"/>
                      <w:color w:val="auto"/>
                      <w:sz w:val="21"/>
                      <w:szCs w:val="21"/>
                      <w:lang w:val="en-US" w:eastAsia="zh-CN"/>
                    </w:rPr>
                    <w:t>西侧</w:t>
                  </w:r>
                  <w:r>
                    <w:rPr>
                      <w:rFonts w:hint="eastAsia" w:ascii="Times New Roman" w:hAnsi="Times New Roman" w:eastAsia="宋体" w:cs="Times New Roman"/>
                      <w:color w:val="auto"/>
                      <w:sz w:val="21"/>
                      <w:szCs w:val="21"/>
                      <w:lang w:val="en-US" w:eastAsia="zh-CN"/>
                    </w:rPr>
                    <w:t>进入矿区。矿区道路为泥结碎石简易路面，单车道，总长度为0.</w:t>
                  </w:r>
                  <w:r>
                    <w:rPr>
                      <w:rFonts w:hint="eastAsia" w:cs="Times New Roman"/>
                      <w:color w:val="auto"/>
                      <w:sz w:val="21"/>
                      <w:szCs w:val="21"/>
                      <w:lang w:val="en-US" w:eastAsia="zh-CN"/>
                    </w:rPr>
                    <w:t>3</w:t>
                  </w:r>
                  <w:r>
                    <w:rPr>
                      <w:rFonts w:hint="eastAsia" w:ascii="Times New Roman" w:hAnsi="Times New Roman" w:eastAsia="宋体" w:cs="Times New Roman"/>
                      <w:color w:val="auto"/>
                      <w:sz w:val="21"/>
                      <w:szCs w:val="21"/>
                      <w:lang w:val="en-US" w:eastAsia="zh-CN"/>
                    </w:rPr>
                    <w:t>km，路面宽</w:t>
                  </w:r>
                  <w:r>
                    <w:rPr>
                      <w:rFonts w:hint="eastAsia" w:cs="Times New Roman"/>
                      <w:color w:val="auto"/>
                      <w:sz w:val="21"/>
                      <w:szCs w:val="21"/>
                      <w:lang w:val="en-US" w:eastAsia="zh-CN"/>
                    </w:rPr>
                    <w:t>5</w:t>
                  </w:r>
                  <w:r>
                    <w:rPr>
                      <w:rFonts w:hint="eastAsia" w:ascii="Times New Roman" w:hAnsi="Times New Roman" w:eastAsia="宋体" w:cs="Times New Roman"/>
                      <w:color w:val="auto"/>
                      <w:sz w:val="21"/>
                      <w:szCs w:val="21"/>
                      <w:lang w:val="en-US" w:eastAsia="zh-CN"/>
                    </w:rPr>
                    <w:t>.0m，平均坡度</w:t>
                  </w:r>
                  <w:r>
                    <w:rPr>
                      <w:rFonts w:hint="eastAsia" w:cs="Times New Roman"/>
                      <w:color w:val="auto"/>
                      <w:sz w:val="21"/>
                      <w:szCs w:val="21"/>
                      <w:lang w:val="en-US" w:eastAsia="zh-CN"/>
                    </w:rPr>
                    <w:t>6</w:t>
                  </w:r>
                  <w:r>
                    <w:rPr>
                      <w:rFonts w:hint="eastAsia" w:ascii="Times New Roman" w:hAnsi="Times New Roman" w:eastAsia="宋体" w:cs="Times New Roman"/>
                      <w:color w:val="auto"/>
                      <w:sz w:val="21"/>
                      <w:szCs w:val="21"/>
                      <w:lang w:val="en-US" w:eastAsia="zh-CN"/>
                    </w:rPr>
                    <w:t>%，最小转弯半径15m。占地面积</w:t>
                  </w:r>
                  <w:r>
                    <w:rPr>
                      <w:rFonts w:hint="eastAsia" w:cs="Times New Roman"/>
                      <w:color w:val="auto"/>
                      <w:sz w:val="21"/>
                      <w:szCs w:val="21"/>
                      <w:lang w:val="en-US" w:eastAsia="zh-CN"/>
                    </w:rPr>
                    <w:t>1500m</w:t>
                  </w:r>
                  <w:r>
                    <w:rPr>
                      <w:rFonts w:hint="eastAsia" w:cs="Times New Roman"/>
                      <w:color w:val="auto"/>
                      <w:sz w:val="21"/>
                      <w:szCs w:val="21"/>
                      <w:vertAlign w:val="superscript"/>
                      <w:lang w:val="en-US" w:eastAsia="zh-CN"/>
                    </w:rPr>
                    <w:t>2</w:t>
                  </w:r>
                  <w:r>
                    <w:rPr>
                      <w:rFonts w:hint="eastAsia" w:ascii="Times New Roman" w:hAnsi="Times New Roman" w:eastAsia="宋体" w:cs="Times New Roman"/>
                      <w:color w:val="auto"/>
                      <w:sz w:val="21"/>
                      <w:szCs w:val="21"/>
                      <w:lang w:val="en-US" w:eastAsia="zh-CN"/>
                    </w:rPr>
                    <w:t>。</w:t>
                  </w:r>
                </w:p>
              </w:tc>
            </w:tr>
            <w:tr w14:paraId="2B86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03" w:type="dxa"/>
                  <w:vMerge w:val="restart"/>
                  <w:tcBorders>
                    <w:tl2br w:val="nil"/>
                    <w:tr2bl w:val="nil"/>
                  </w:tcBorders>
                  <w:noWrap w:val="0"/>
                  <w:vAlign w:val="center"/>
                </w:tcPr>
                <w:p w14:paraId="39FA5347">
                  <w:pPr>
                    <w:overflowPunct w:val="0"/>
                    <w:adjustRightInd w:val="0"/>
                    <w:snapToGrid w:val="0"/>
                    <w:spacing w:line="240" w:lineRule="auto"/>
                    <w:jc w:val="center"/>
                    <w:rPr>
                      <w:rFonts w:hint="eastAsia" w:ascii="Times New Roman" w:hAnsi="Times New Roman" w:eastAsia="宋体" w:cs="Times New Roman"/>
                      <w:snapToGrid w:val="0"/>
                      <w:color w:val="auto"/>
                      <w:kern w:val="0"/>
                      <w:sz w:val="21"/>
                      <w:szCs w:val="21"/>
                      <w:lang w:val="en-US" w:eastAsia="zh-CN"/>
                    </w:rPr>
                  </w:pPr>
                  <w:r>
                    <w:rPr>
                      <w:rFonts w:hint="eastAsia" w:ascii="Times New Roman" w:hAnsi="Times New Roman" w:eastAsia="宋体" w:cs="Times New Roman"/>
                      <w:snapToGrid w:val="0"/>
                      <w:color w:val="auto"/>
                      <w:kern w:val="0"/>
                      <w:sz w:val="21"/>
                      <w:szCs w:val="21"/>
                      <w:lang w:val="en-US" w:eastAsia="zh-CN"/>
                    </w:rPr>
                    <w:t>辅助工程</w:t>
                  </w:r>
                </w:p>
              </w:tc>
              <w:tc>
                <w:tcPr>
                  <w:tcW w:w="1234" w:type="dxa"/>
                  <w:tcBorders>
                    <w:tl2br w:val="nil"/>
                    <w:tr2bl w:val="nil"/>
                  </w:tcBorders>
                  <w:noWrap w:val="0"/>
                  <w:vAlign w:val="center"/>
                </w:tcPr>
                <w:p w14:paraId="7A8CA574">
                  <w:pPr>
                    <w:overflowPunct w:val="0"/>
                    <w:adjustRightInd w:val="0"/>
                    <w:snapToGrid w:val="0"/>
                    <w:spacing w:line="240" w:lineRule="auto"/>
                    <w:jc w:val="center"/>
                    <w:rPr>
                      <w:rFonts w:hint="default" w:ascii="宋体" w:hAnsi="宋体" w:eastAsia="宋体"/>
                      <w:color w:val="auto"/>
                      <w:sz w:val="21"/>
                      <w:szCs w:val="21"/>
                      <w:lang w:val="en-US" w:eastAsia="zh-CN"/>
                    </w:rPr>
                  </w:pPr>
                  <w:r>
                    <w:rPr>
                      <w:rFonts w:hint="eastAsia" w:ascii="宋体" w:hAnsi="宋体" w:eastAsia="宋体"/>
                      <w:color w:val="auto"/>
                      <w:sz w:val="21"/>
                      <w:szCs w:val="21"/>
                      <w:lang w:val="en-US" w:eastAsia="zh-CN"/>
                    </w:rPr>
                    <w:t>生活区</w:t>
                  </w:r>
                </w:p>
              </w:tc>
              <w:tc>
                <w:tcPr>
                  <w:tcW w:w="4942" w:type="dxa"/>
                  <w:tcBorders>
                    <w:tl2br w:val="nil"/>
                    <w:tr2bl w:val="nil"/>
                  </w:tcBorders>
                  <w:noWrap w:val="0"/>
                  <w:vAlign w:val="center"/>
                </w:tcPr>
                <w:p w14:paraId="04E56C12">
                  <w:pPr>
                    <w:overflowPunct w:val="0"/>
                    <w:adjustRightInd w:val="0"/>
                    <w:snapToGrid w:val="0"/>
                    <w:spacing w:line="240" w:lineRule="auto"/>
                    <w:jc w:val="both"/>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b w:val="0"/>
                      <w:strike w:val="0"/>
                      <w:dstrike w:val="0"/>
                      <w:color w:val="auto"/>
                      <w:sz w:val="21"/>
                      <w:szCs w:val="21"/>
                      <w:highlight w:val="none"/>
                      <w:lang w:val="en-US" w:eastAsia="zh-CN"/>
                    </w:rPr>
                    <w:t>位于矿区西侧，占地面积约350m</w:t>
                  </w:r>
                  <w:r>
                    <w:rPr>
                      <w:rFonts w:hint="eastAsia" w:ascii="Times New Roman" w:hAnsi="Times New Roman" w:eastAsia="宋体" w:cs="Times New Roman"/>
                      <w:b w:val="0"/>
                      <w:strike w:val="0"/>
                      <w:dstrike w:val="0"/>
                      <w:color w:val="auto"/>
                      <w:sz w:val="21"/>
                      <w:szCs w:val="21"/>
                      <w:highlight w:val="none"/>
                      <w:vertAlign w:val="superscript"/>
                      <w:lang w:val="en-US" w:eastAsia="zh-CN"/>
                    </w:rPr>
                    <w:t>2</w:t>
                  </w:r>
                  <w:r>
                    <w:rPr>
                      <w:rFonts w:hint="eastAsia" w:ascii="Times New Roman" w:hAnsi="Times New Roman" w:eastAsia="宋体" w:cs="Times New Roman"/>
                      <w:b w:val="0"/>
                      <w:strike w:val="0"/>
                      <w:dstrike w:val="0"/>
                      <w:color w:val="auto"/>
                      <w:sz w:val="21"/>
                      <w:szCs w:val="21"/>
                      <w:highlight w:val="none"/>
                      <w:vertAlign w:val="baseline"/>
                      <w:lang w:val="en-US" w:eastAsia="zh-CN"/>
                    </w:rPr>
                    <w:t>，主要为宿舍、厨房、办公室，为移动式板房。</w:t>
                  </w:r>
                </w:p>
              </w:tc>
            </w:tr>
            <w:tr w14:paraId="50D4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03" w:type="dxa"/>
                  <w:vMerge w:val="continue"/>
                  <w:tcBorders>
                    <w:tl2br w:val="nil"/>
                    <w:tr2bl w:val="nil"/>
                  </w:tcBorders>
                  <w:noWrap w:val="0"/>
                  <w:vAlign w:val="center"/>
                </w:tcPr>
                <w:p w14:paraId="5DD0A679">
                  <w:pPr>
                    <w:overflowPunct w:val="0"/>
                    <w:adjustRightInd w:val="0"/>
                    <w:snapToGrid w:val="0"/>
                    <w:spacing w:line="240" w:lineRule="auto"/>
                    <w:jc w:val="center"/>
                    <w:rPr>
                      <w:rFonts w:hint="eastAsia" w:ascii="Times New Roman" w:hAnsi="Times New Roman" w:eastAsia="宋体" w:cs="Times New Roman"/>
                      <w:snapToGrid w:val="0"/>
                      <w:color w:val="auto"/>
                      <w:kern w:val="0"/>
                      <w:sz w:val="21"/>
                      <w:szCs w:val="21"/>
                      <w:lang w:val="en-US" w:eastAsia="zh-CN"/>
                    </w:rPr>
                  </w:pPr>
                </w:p>
              </w:tc>
              <w:tc>
                <w:tcPr>
                  <w:tcW w:w="1234" w:type="dxa"/>
                  <w:tcBorders>
                    <w:tl2br w:val="nil"/>
                    <w:tr2bl w:val="nil"/>
                  </w:tcBorders>
                  <w:noWrap w:val="0"/>
                  <w:vAlign w:val="center"/>
                </w:tcPr>
                <w:p w14:paraId="300BB76D">
                  <w:pPr>
                    <w:overflowPunct w:val="0"/>
                    <w:adjustRightInd w:val="0"/>
                    <w:snapToGrid w:val="0"/>
                    <w:spacing w:line="240" w:lineRule="auto"/>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蓄水池</w:t>
                  </w:r>
                </w:p>
              </w:tc>
              <w:tc>
                <w:tcPr>
                  <w:tcW w:w="4942" w:type="dxa"/>
                  <w:tcBorders>
                    <w:tl2br w:val="nil"/>
                    <w:tr2bl w:val="nil"/>
                  </w:tcBorders>
                  <w:noWrap w:val="0"/>
                  <w:vAlign w:val="center"/>
                </w:tcPr>
                <w:p w14:paraId="665A49FD">
                  <w:pPr>
                    <w:overflowPunct w:val="0"/>
                    <w:adjustRightInd w:val="0"/>
                    <w:snapToGrid w:val="0"/>
                    <w:spacing w:line="240" w:lineRule="auto"/>
                    <w:jc w:val="both"/>
                    <w:rPr>
                      <w:rFonts w:hint="default" w:ascii="宋体" w:hAnsi="宋体" w:eastAsia="宋体" w:cs="宋体"/>
                      <w:color w:val="auto"/>
                      <w:sz w:val="21"/>
                      <w:szCs w:val="21"/>
                      <w:lang w:val="en-US"/>
                    </w:rPr>
                  </w:pPr>
                  <w:r>
                    <w:rPr>
                      <w:rFonts w:hint="eastAsia" w:cs="Times New Roman"/>
                      <w:color w:val="auto"/>
                      <w:kern w:val="2"/>
                      <w:sz w:val="21"/>
                      <w:szCs w:val="21"/>
                      <w:lang w:val="en-US" w:eastAsia="zh-CN" w:bidi="ar-SA"/>
                    </w:rPr>
                    <w:t>设置一座300m</w:t>
                  </w:r>
                  <w:r>
                    <w:rPr>
                      <w:rFonts w:hint="eastAsia" w:cs="Times New Roman"/>
                      <w:color w:val="auto"/>
                      <w:kern w:val="2"/>
                      <w:sz w:val="21"/>
                      <w:szCs w:val="21"/>
                      <w:vertAlign w:val="superscript"/>
                      <w:lang w:val="en-US" w:eastAsia="zh-CN" w:bidi="ar-SA"/>
                    </w:rPr>
                    <w:t>3</w:t>
                  </w:r>
                  <w:r>
                    <w:rPr>
                      <w:rFonts w:hint="eastAsia" w:cs="Times New Roman"/>
                      <w:color w:val="auto"/>
                      <w:kern w:val="2"/>
                      <w:sz w:val="21"/>
                      <w:szCs w:val="21"/>
                      <w:vertAlign w:val="baseline"/>
                      <w:lang w:val="en-US" w:eastAsia="zh-CN" w:bidi="ar-SA"/>
                    </w:rPr>
                    <w:t>的蓄水池</w:t>
                  </w:r>
                </w:p>
              </w:tc>
            </w:tr>
            <w:tr w14:paraId="5AD8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03" w:type="dxa"/>
                  <w:vMerge w:val="continue"/>
                  <w:tcBorders>
                    <w:tl2br w:val="nil"/>
                    <w:tr2bl w:val="nil"/>
                  </w:tcBorders>
                  <w:noWrap w:val="0"/>
                  <w:vAlign w:val="center"/>
                </w:tcPr>
                <w:p w14:paraId="267D0517">
                  <w:pPr>
                    <w:overflowPunct w:val="0"/>
                    <w:adjustRightInd w:val="0"/>
                    <w:snapToGrid w:val="0"/>
                    <w:spacing w:line="240" w:lineRule="auto"/>
                    <w:jc w:val="center"/>
                    <w:rPr>
                      <w:rFonts w:hint="eastAsia" w:ascii="Times New Roman" w:hAnsi="Times New Roman" w:eastAsia="宋体" w:cs="Times New Roman"/>
                      <w:snapToGrid w:val="0"/>
                      <w:color w:val="auto"/>
                      <w:kern w:val="0"/>
                      <w:sz w:val="21"/>
                      <w:szCs w:val="21"/>
                      <w:lang w:val="en-US" w:eastAsia="zh-CN"/>
                    </w:rPr>
                  </w:pPr>
                </w:p>
              </w:tc>
              <w:tc>
                <w:tcPr>
                  <w:tcW w:w="1234" w:type="dxa"/>
                  <w:tcBorders>
                    <w:tl2br w:val="nil"/>
                    <w:tr2bl w:val="nil"/>
                  </w:tcBorders>
                  <w:noWrap w:val="0"/>
                  <w:vAlign w:val="center"/>
                </w:tcPr>
                <w:p w14:paraId="15196370">
                  <w:pPr>
                    <w:overflowPunct w:val="0"/>
                    <w:adjustRightInd w:val="0"/>
                    <w:snapToGrid w:val="0"/>
                    <w:spacing w:line="240" w:lineRule="auto"/>
                    <w:jc w:val="center"/>
                    <w:rPr>
                      <w:rFonts w:hint="default" w:ascii="宋体" w:hAnsi="宋体"/>
                      <w:color w:val="auto"/>
                      <w:sz w:val="21"/>
                      <w:szCs w:val="21"/>
                      <w:lang w:val="en-US" w:eastAsia="zh-CN"/>
                    </w:rPr>
                  </w:pPr>
                  <w:r>
                    <w:rPr>
                      <w:rFonts w:hint="eastAsia" w:ascii="宋体" w:hAnsi="宋体"/>
                      <w:color w:val="auto"/>
                      <w:sz w:val="21"/>
                      <w:szCs w:val="21"/>
                      <w:lang w:val="en-US" w:eastAsia="zh-CN"/>
                    </w:rPr>
                    <w:t>沉淀池</w:t>
                  </w:r>
                </w:p>
              </w:tc>
              <w:tc>
                <w:tcPr>
                  <w:tcW w:w="4942" w:type="dxa"/>
                  <w:tcBorders>
                    <w:tl2br w:val="nil"/>
                    <w:tr2bl w:val="nil"/>
                  </w:tcBorders>
                  <w:noWrap w:val="0"/>
                  <w:vAlign w:val="center"/>
                </w:tcPr>
                <w:p w14:paraId="04A04D3F">
                  <w:pPr>
                    <w:overflowPunct w:val="0"/>
                    <w:adjustRightInd w:val="0"/>
                    <w:snapToGrid w:val="0"/>
                    <w:spacing w:line="240" w:lineRule="auto"/>
                    <w:jc w:val="both"/>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设置一座400m</w:t>
                  </w:r>
                  <w:r>
                    <w:rPr>
                      <w:rFonts w:hint="eastAsia" w:cs="Times New Roman"/>
                      <w:color w:val="auto"/>
                      <w:kern w:val="2"/>
                      <w:sz w:val="21"/>
                      <w:szCs w:val="21"/>
                      <w:vertAlign w:val="superscript"/>
                      <w:lang w:val="en-US" w:eastAsia="zh-CN" w:bidi="ar-SA"/>
                    </w:rPr>
                    <w:t>3</w:t>
                  </w:r>
                  <w:r>
                    <w:rPr>
                      <w:rFonts w:hint="eastAsia" w:cs="Times New Roman"/>
                      <w:color w:val="auto"/>
                      <w:kern w:val="2"/>
                      <w:sz w:val="21"/>
                      <w:szCs w:val="21"/>
                      <w:vertAlign w:val="baseline"/>
                      <w:lang w:val="en-US" w:eastAsia="zh-CN" w:bidi="ar-SA"/>
                    </w:rPr>
                    <w:t>的沉淀池，位于工业广场中部。</w:t>
                  </w:r>
                </w:p>
              </w:tc>
            </w:tr>
            <w:tr w14:paraId="2003A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03" w:type="dxa"/>
                  <w:vMerge w:val="restart"/>
                  <w:tcBorders>
                    <w:tl2br w:val="nil"/>
                    <w:tr2bl w:val="nil"/>
                  </w:tcBorders>
                  <w:noWrap w:val="0"/>
                  <w:vAlign w:val="center"/>
                </w:tcPr>
                <w:p w14:paraId="3646FEEB">
                  <w:pPr>
                    <w:overflowPunct w:val="0"/>
                    <w:adjustRightInd w:val="0"/>
                    <w:snapToGrid w:val="0"/>
                    <w:spacing w:line="240" w:lineRule="auto"/>
                    <w:jc w:val="center"/>
                    <w:rPr>
                      <w:rFonts w:hint="default" w:ascii="Times New Roman" w:hAnsi="Times New Roman" w:eastAsia="宋体" w:cs="Times New Roman"/>
                      <w:snapToGrid w:val="0"/>
                      <w:color w:val="auto"/>
                      <w:kern w:val="0"/>
                      <w:sz w:val="21"/>
                      <w:szCs w:val="21"/>
                    </w:rPr>
                  </w:pPr>
                  <w:r>
                    <w:rPr>
                      <w:rFonts w:hint="default" w:ascii="Times New Roman" w:hAnsi="Times New Roman" w:eastAsia="宋体" w:cs="Times New Roman"/>
                      <w:snapToGrid w:val="0"/>
                      <w:color w:val="auto"/>
                      <w:kern w:val="0"/>
                      <w:sz w:val="21"/>
                      <w:szCs w:val="21"/>
                    </w:rPr>
                    <w:t>公用</w:t>
                  </w:r>
                </w:p>
                <w:p w14:paraId="1F150112">
                  <w:pPr>
                    <w:overflowPunct w:val="0"/>
                    <w:adjustRightInd w:val="0"/>
                    <w:snapToGrid w:val="0"/>
                    <w:spacing w:line="240" w:lineRule="auto"/>
                    <w:jc w:val="center"/>
                    <w:rPr>
                      <w:rFonts w:hint="default" w:ascii="Times New Roman" w:hAnsi="Times New Roman" w:eastAsia="宋体" w:cs="Times New Roman"/>
                      <w:snapToGrid w:val="0"/>
                      <w:color w:val="auto"/>
                      <w:kern w:val="0"/>
                      <w:sz w:val="21"/>
                      <w:szCs w:val="21"/>
                    </w:rPr>
                  </w:pPr>
                  <w:r>
                    <w:rPr>
                      <w:rFonts w:hint="default" w:ascii="Times New Roman" w:hAnsi="Times New Roman" w:eastAsia="宋体" w:cs="Times New Roman"/>
                      <w:snapToGrid w:val="0"/>
                      <w:color w:val="auto"/>
                      <w:kern w:val="0"/>
                      <w:sz w:val="21"/>
                      <w:szCs w:val="21"/>
                    </w:rPr>
                    <w:t>工程</w:t>
                  </w:r>
                </w:p>
              </w:tc>
              <w:tc>
                <w:tcPr>
                  <w:tcW w:w="1234" w:type="dxa"/>
                  <w:tcBorders>
                    <w:tl2br w:val="nil"/>
                    <w:tr2bl w:val="nil"/>
                  </w:tcBorders>
                  <w:noWrap w:val="0"/>
                  <w:vAlign w:val="center"/>
                </w:tcPr>
                <w:p w14:paraId="602929FC">
                  <w:pPr>
                    <w:overflowPunct w:val="0"/>
                    <w:adjustRightInd w:val="0"/>
                    <w:snapToGrid w:val="0"/>
                    <w:spacing w:line="240" w:lineRule="auto"/>
                    <w:jc w:val="center"/>
                    <w:rPr>
                      <w:rFonts w:hint="default" w:ascii="宋体" w:hAnsi="宋体" w:eastAsia="宋体" w:cs="Times New Roman"/>
                      <w:color w:val="auto"/>
                      <w:sz w:val="21"/>
                      <w:szCs w:val="21"/>
                      <w:lang w:val="en-US" w:eastAsia="zh-CN"/>
                    </w:rPr>
                  </w:pPr>
                  <w:r>
                    <w:rPr>
                      <w:rFonts w:hint="default" w:ascii="宋体" w:hAnsi="宋体" w:eastAsia="宋体" w:cs="Times New Roman"/>
                      <w:color w:val="auto"/>
                      <w:sz w:val="21"/>
                      <w:szCs w:val="21"/>
                      <w:lang w:val="en-US" w:eastAsia="zh-CN"/>
                    </w:rPr>
                    <w:t>供水</w:t>
                  </w:r>
                </w:p>
              </w:tc>
              <w:tc>
                <w:tcPr>
                  <w:tcW w:w="4942" w:type="dxa"/>
                  <w:tcBorders>
                    <w:tl2br w:val="nil"/>
                    <w:tr2bl w:val="nil"/>
                  </w:tcBorders>
                  <w:noWrap w:val="0"/>
                  <w:vAlign w:val="center"/>
                </w:tcPr>
                <w:p w14:paraId="026F4220">
                  <w:pPr>
                    <w:overflowPunct w:val="0"/>
                    <w:adjustRightInd w:val="0"/>
                    <w:snapToGrid w:val="0"/>
                    <w:spacing w:line="240" w:lineRule="auto"/>
                    <w:jc w:val="both"/>
                    <w:rPr>
                      <w:rFonts w:hint="default"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矿山生产用水</w:t>
                  </w:r>
                  <w:r>
                    <w:rPr>
                      <w:rFonts w:hint="eastAsia" w:ascii="宋体" w:hAnsi="宋体" w:cs="Times New Roman"/>
                      <w:color w:val="auto"/>
                      <w:sz w:val="21"/>
                      <w:szCs w:val="21"/>
                      <w:lang w:val="en-US" w:eastAsia="zh-CN"/>
                    </w:rPr>
                    <w:t>办理了取水许可证，取水水源为地表水，取水地点为高昌区葡萄沟街道葡萄沟水库干渠下游400米处；</w:t>
                  </w:r>
                  <w:r>
                    <w:rPr>
                      <w:rFonts w:hint="eastAsia" w:ascii="宋体" w:hAnsi="宋体" w:eastAsia="宋体" w:cs="Times New Roman"/>
                      <w:color w:val="auto"/>
                      <w:sz w:val="21"/>
                      <w:szCs w:val="21"/>
                      <w:lang w:val="en-US" w:eastAsia="zh-CN"/>
                    </w:rPr>
                    <w:t>生活用水</w:t>
                  </w:r>
                  <w:r>
                    <w:rPr>
                      <w:rFonts w:hint="eastAsia" w:ascii="宋体" w:hAnsi="宋体" w:cs="Times New Roman"/>
                      <w:color w:val="auto"/>
                      <w:sz w:val="21"/>
                      <w:szCs w:val="21"/>
                      <w:lang w:val="en-US" w:eastAsia="zh-CN"/>
                    </w:rPr>
                    <w:t>来源于葡萄沟镇市政管网。</w:t>
                  </w:r>
                </w:p>
              </w:tc>
            </w:tr>
            <w:tr w14:paraId="43B6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03" w:type="dxa"/>
                  <w:vMerge w:val="continue"/>
                  <w:tcBorders>
                    <w:tl2br w:val="nil"/>
                    <w:tr2bl w:val="nil"/>
                  </w:tcBorders>
                  <w:noWrap w:val="0"/>
                  <w:vAlign w:val="center"/>
                </w:tcPr>
                <w:p w14:paraId="69AD62E9">
                  <w:pPr>
                    <w:overflowPunct w:val="0"/>
                    <w:adjustRightInd w:val="0"/>
                    <w:snapToGrid w:val="0"/>
                    <w:spacing w:line="240" w:lineRule="auto"/>
                    <w:jc w:val="center"/>
                    <w:rPr>
                      <w:rFonts w:hint="default" w:ascii="Times New Roman" w:hAnsi="Times New Roman" w:eastAsia="宋体" w:cs="Times New Roman"/>
                      <w:snapToGrid w:val="0"/>
                      <w:color w:val="auto"/>
                      <w:kern w:val="0"/>
                      <w:sz w:val="21"/>
                      <w:szCs w:val="21"/>
                    </w:rPr>
                  </w:pPr>
                </w:p>
              </w:tc>
              <w:tc>
                <w:tcPr>
                  <w:tcW w:w="1234" w:type="dxa"/>
                  <w:tcBorders>
                    <w:tl2br w:val="nil"/>
                    <w:tr2bl w:val="nil"/>
                  </w:tcBorders>
                  <w:noWrap w:val="0"/>
                  <w:vAlign w:val="center"/>
                </w:tcPr>
                <w:p w14:paraId="79F1545A">
                  <w:pPr>
                    <w:overflowPunct w:val="0"/>
                    <w:adjustRightInd w:val="0"/>
                    <w:snapToGrid w:val="0"/>
                    <w:spacing w:line="240" w:lineRule="auto"/>
                    <w:jc w:val="center"/>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排水</w:t>
                  </w:r>
                </w:p>
              </w:tc>
              <w:tc>
                <w:tcPr>
                  <w:tcW w:w="4942" w:type="dxa"/>
                  <w:tcBorders>
                    <w:tl2br w:val="nil"/>
                    <w:tr2bl w:val="nil"/>
                  </w:tcBorders>
                  <w:noWrap w:val="0"/>
                  <w:vAlign w:val="center"/>
                </w:tcPr>
                <w:p w14:paraId="3EBFE2D5">
                  <w:pPr>
                    <w:overflowPunct w:val="0"/>
                    <w:adjustRightInd w:val="0"/>
                    <w:snapToGrid w:val="0"/>
                    <w:spacing w:line="240" w:lineRule="auto"/>
                    <w:jc w:val="both"/>
                    <w:rPr>
                      <w:rFonts w:hint="default"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本项目</w:t>
                  </w:r>
                  <w:r>
                    <w:rPr>
                      <w:rFonts w:hint="eastAsia" w:ascii="宋体" w:hAnsi="宋体" w:cs="Times New Roman"/>
                      <w:color w:val="auto"/>
                      <w:sz w:val="21"/>
                      <w:szCs w:val="21"/>
                      <w:lang w:val="en-US" w:eastAsia="zh-CN"/>
                    </w:rPr>
                    <w:t>洗砂</w:t>
                  </w:r>
                  <w:r>
                    <w:rPr>
                      <w:rFonts w:hint="eastAsia" w:ascii="宋体" w:hAnsi="宋体" w:eastAsia="宋体" w:cs="Times New Roman"/>
                      <w:color w:val="auto"/>
                      <w:sz w:val="21"/>
                      <w:szCs w:val="21"/>
                      <w:lang w:val="en-US" w:eastAsia="zh-CN"/>
                    </w:rPr>
                    <w:t>用水循环利用；生活污水排入化粪池定期拉运至吐鲁番市高昌区污水处理厂</w:t>
                  </w:r>
                  <w:r>
                    <w:rPr>
                      <w:rFonts w:hint="eastAsia" w:ascii="宋体" w:hAnsi="宋体" w:cs="Times New Roman"/>
                      <w:color w:val="auto"/>
                      <w:sz w:val="21"/>
                      <w:szCs w:val="21"/>
                      <w:lang w:val="en-US" w:eastAsia="zh-CN"/>
                    </w:rPr>
                    <w:t>处理。</w:t>
                  </w:r>
                </w:p>
              </w:tc>
            </w:tr>
            <w:tr w14:paraId="39A46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803" w:type="dxa"/>
                  <w:vMerge w:val="continue"/>
                  <w:tcBorders>
                    <w:tl2br w:val="nil"/>
                    <w:tr2bl w:val="nil"/>
                  </w:tcBorders>
                  <w:noWrap w:val="0"/>
                  <w:vAlign w:val="center"/>
                </w:tcPr>
                <w:p w14:paraId="30BA2558">
                  <w:pPr>
                    <w:overflowPunct w:val="0"/>
                    <w:adjustRightInd w:val="0"/>
                    <w:snapToGrid w:val="0"/>
                    <w:spacing w:line="240" w:lineRule="auto"/>
                    <w:jc w:val="center"/>
                    <w:rPr>
                      <w:rFonts w:hint="default" w:ascii="Times New Roman" w:hAnsi="Times New Roman" w:eastAsia="宋体" w:cs="Times New Roman"/>
                      <w:snapToGrid w:val="0"/>
                      <w:color w:val="auto"/>
                      <w:kern w:val="0"/>
                      <w:sz w:val="21"/>
                      <w:szCs w:val="21"/>
                    </w:rPr>
                  </w:pPr>
                </w:p>
              </w:tc>
              <w:tc>
                <w:tcPr>
                  <w:tcW w:w="1234" w:type="dxa"/>
                  <w:tcBorders>
                    <w:tl2br w:val="nil"/>
                    <w:tr2bl w:val="nil"/>
                  </w:tcBorders>
                  <w:noWrap w:val="0"/>
                  <w:vAlign w:val="center"/>
                </w:tcPr>
                <w:p w14:paraId="4BF8E9AD">
                  <w:pPr>
                    <w:adjustRightInd w:val="0"/>
                    <w:snapToGrid w:val="0"/>
                    <w:spacing w:line="24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2"/>
                      <w:sz w:val="21"/>
                      <w:szCs w:val="21"/>
                      <w:lang w:val="en-US" w:eastAsia="zh-CN" w:bidi="ar-SA"/>
                    </w:rPr>
                    <w:t>供</w:t>
                  </w:r>
                  <w:r>
                    <w:rPr>
                      <w:rFonts w:hint="default" w:ascii="Times New Roman" w:hAnsi="Times New Roman" w:eastAsia="宋体" w:cs="Times New Roman"/>
                      <w:color w:val="auto"/>
                      <w:kern w:val="2"/>
                      <w:sz w:val="21"/>
                      <w:szCs w:val="21"/>
                      <w:lang w:eastAsia="zh-CN" w:bidi="ar-SA"/>
                    </w:rPr>
                    <w:t>热</w:t>
                  </w:r>
                </w:p>
              </w:tc>
              <w:tc>
                <w:tcPr>
                  <w:tcW w:w="4942" w:type="dxa"/>
                  <w:tcBorders>
                    <w:tl2br w:val="nil"/>
                    <w:tr2bl w:val="nil"/>
                  </w:tcBorders>
                  <w:noWrap w:val="0"/>
                  <w:vAlign w:val="center"/>
                </w:tcPr>
                <w:p w14:paraId="5C4A5936">
                  <w:pPr>
                    <w:adjustRightInd w:val="0"/>
                    <w:snapToGrid w:val="0"/>
                    <w:spacing w:line="240" w:lineRule="auto"/>
                    <w:jc w:val="both"/>
                    <w:rPr>
                      <w:rFonts w:hint="eastAsia" w:ascii="Times New Roman" w:hAnsi="Times New Roman" w:eastAsia="宋体" w:cs="Times New Roman"/>
                      <w:color w:val="auto"/>
                      <w:szCs w:val="21"/>
                      <w:lang w:val="en-US" w:eastAsia="zh-CN"/>
                    </w:rPr>
                  </w:pPr>
                  <w:r>
                    <w:rPr>
                      <w:rFonts w:hint="eastAsia" w:ascii="Times New Roman" w:hAnsi="Times New Roman" w:cs="Times New Roman"/>
                      <w:color w:val="auto"/>
                      <w:szCs w:val="21"/>
                      <w:lang w:eastAsia="zh-CN"/>
                    </w:rPr>
                    <w:t>本项目生产无需供热</w:t>
                  </w:r>
                </w:p>
              </w:tc>
            </w:tr>
            <w:tr w14:paraId="7080B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803" w:type="dxa"/>
                  <w:vMerge w:val="continue"/>
                  <w:tcBorders>
                    <w:tl2br w:val="nil"/>
                    <w:tr2bl w:val="nil"/>
                  </w:tcBorders>
                  <w:noWrap w:val="0"/>
                  <w:vAlign w:val="center"/>
                </w:tcPr>
                <w:p w14:paraId="7306CA04">
                  <w:pPr>
                    <w:overflowPunct w:val="0"/>
                    <w:adjustRightInd w:val="0"/>
                    <w:snapToGrid w:val="0"/>
                    <w:spacing w:line="240" w:lineRule="auto"/>
                    <w:jc w:val="center"/>
                    <w:rPr>
                      <w:rFonts w:hint="default" w:ascii="Times New Roman" w:hAnsi="Times New Roman" w:eastAsia="宋体" w:cs="Times New Roman"/>
                      <w:snapToGrid w:val="0"/>
                      <w:color w:val="auto"/>
                      <w:kern w:val="0"/>
                      <w:sz w:val="21"/>
                      <w:szCs w:val="21"/>
                    </w:rPr>
                  </w:pPr>
                </w:p>
              </w:tc>
              <w:tc>
                <w:tcPr>
                  <w:tcW w:w="1234" w:type="dxa"/>
                  <w:tcBorders>
                    <w:tl2br w:val="nil"/>
                    <w:tr2bl w:val="nil"/>
                  </w:tcBorders>
                  <w:noWrap w:val="0"/>
                  <w:vAlign w:val="center"/>
                </w:tcPr>
                <w:p w14:paraId="668869B3">
                  <w:pPr>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供电</w:t>
                  </w:r>
                </w:p>
              </w:tc>
              <w:tc>
                <w:tcPr>
                  <w:tcW w:w="4942" w:type="dxa"/>
                  <w:tcBorders>
                    <w:tl2br w:val="nil"/>
                    <w:tr2bl w:val="nil"/>
                  </w:tcBorders>
                  <w:noWrap w:val="0"/>
                  <w:vAlign w:val="center"/>
                </w:tcPr>
                <w:p w14:paraId="26C398B5">
                  <w:pPr>
                    <w:adjustRightInd w:val="0"/>
                    <w:snapToGrid w:val="0"/>
                    <w:spacing w:line="240" w:lineRule="auto"/>
                    <w:jc w:val="both"/>
                    <w:rPr>
                      <w:rFonts w:hint="eastAsia" w:ascii="Times New Roman" w:hAnsi="Times New Roman" w:cs="Times New Roman"/>
                      <w:color w:val="auto"/>
                      <w:szCs w:val="21"/>
                      <w:lang w:eastAsia="zh-CN"/>
                    </w:rPr>
                  </w:pPr>
                  <w:r>
                    <w:rPr>
                      <w:rFonts w:hint="eastAsia" w:ascii="Times New Roman" w:hAnsi="Times New Roman" w:cs="Times New Roman"/>
                      <w:color w:val="auto"/>
                      <w:szCs w:val="21"/>
                      <w:lang w:eastAsia="zh-CN"/>
                    </w:rPr>
                    <w:t>区内供电线路已具备，在当地电力部门申请后</w:t>
                  </w:r>
                  <w:r>
                    <w:rPr>
                      <w:rFonts w:hint="eastAsia" w:ascii="Times New Roman" w:hAnsi="Times New Roman" w:eastAsia="宋体" w:cs="Times New Roman"/>
                      <w:color w:val="auto"/>
                      <w:szCs w:val="21"/>
                      <w:lang w:eastAsia="zh-CN"/>
                    </w:rPr>
                    <w:t>就近接</w:t>
                  </w:r>
                  <w:r>
                    <w:rPr>
                      <w:rFonts w:hint="eastAsia" w:ascii="Times New Roman" w:hAnsi="Times New Roman" w:eastAsia="宋体" w:cs="Times New Roman"/>
                      <w:color w:val="auto"/>
                      <w:szCs w:val="21"/>
                      <w:lang w:val="en-US" w:eastAsia="zh-CN"/>
                    </w:rPr>
                    <w:t>入</w:t>
                  </w:r>
                  <w:r>
                    <w:rPr>
                      <w:rFonts w:hint="eastAsia" w:ascii="Times New Roman" w:hAnsi="Times New Roman" w:eastAsia="宋体" w:cs="Times New Roman"/>
                      <w:color w:val="auto"/>
                      <w:szCs w:val="21"/>
                      <w:lang w:eastAsia="zh-CN"/>
                    </w:rPr>
                    <w:t>。</w:t>
                  </w:r>
                </w:p>
              </w:tc>
            </w:tr>
            <w:tr w14:paraId="4F53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803" w:type="dxa"/>
                  <w:vMerge w:val="restart"/>
                  <w:tcBorders>
                    <w:tl2br w:val="nil"/>
                    <w:tr2bl w:val="nil"/>
                  </w:tcBorders>
                  <w:noWrap w:val="0"/>
                  <w:vAlign w:val="center"/>
                </w:tcPr>
                <w:p w14:paraId="065CB0D4">
                  <w:pPr>
                    <w:overflowPunct w:val="0"/>
                    <w:adjustRightInd w:val="0"/>
                    <w:snapToGrid w:val="0"/>
                    <w:spacing w:line="240" w:lineRule="auto"/>
                    <w:jc w:val="center"/>
                    <w:rPr>
                      <w:rFonts w:hint="default" w:ascii="Times New Roman" w:hAnsi="Times New Roman" w:eastAsia="宋体" w:cs="Times New Roman"/>
                      <w:snapToGrid w:val="0"/>
                      <w:color w:val="auto"/>
                      <w:kern w:val="0"/>
                      <w:sz w:val="21"/>
                      <w:szCs w:val="21"/>
                      <w:lang w:val="en-US" w:eastAsia="zh-CN"/>
                    </w:rPr>
                  </w:pPr>
                  <w:r>
                    <w:rPr>
                      <w:rFonts w:hint="eastAsia" w:cs="Times New Roman"/>
                      <w:snapToGrid w:val="0"/>
                      <w:color w:val="auto"/>
                      <w:kern w:val="0"/>
                      <w:sz w:val="21"/>
                      <w:szCs w:val="21"/>
                      <w:lang w:val="en-US" w:eastAsia="zh-CN"/>
                    </w:rPr>
                    <w:t>环保工程</w:t>
                  </w:r>
                </w:p>
              </w:tc>
              <w:tc>
                <w:tcPr>
                  <w:tcW w:w="1234" w:type="dxa"/>
                  <w:tcBorders>
                    <w:tl2br w:val="nil"/>
                    <w:tr2bl w:val="nil"/>
                  </w:tcBorders>
                  <w:noWrap w:val="0"/>
                  <w:vAlign w:val="center"/>
                </w:tcPr>
                <w:p w14:paraId="5BD0518E">
                  <w:pPr>
                    <w:spacing w:line="0" w:lineRule="atLeast"/>
                    <w:jc w:val="center"/>
                    <w:rPr>
                      <w:rFonts w:hint="eastAsia" w:cs="Times New Roman"/>
                      <w:color w:val="auto"/>
                      <w:kern w:val="2"/>
                      <w:sz w:val="21"/>
                      <w:szCs w:val="21"/>
                      <w:lang w:val="en-US" w:eastAsia="zh-CN" w:bidi="ar-SA"/>
                    </w:rPr>
                  </w:pPr>
                  <w:r>
                    <w:rPr>
                      <w:rFonts w:hint="default" w:ascii="Times New Roman" w:hAnsi="Times New Roman" w:eastAsia="宋体" w:cs="Times New Roman"/>
                      <w:b w:val="0"/>
                      <w:strike w:val="0"/>
                      <w:dstrike w:val="0"/>
                      <w:color w:val="auto"/>
                      <w:sz w:val="21"/>
                      <w:szCs w:val="21"/>
                    </w:rPr>
                    <w:t>废气</w:t>
                  </w:r>
                </w:p>
              </w:tc>
              <w:tc>
                <w:tcPr>
                  <w:tcW w:w="4942" w:type="dxa"/>
                  <w:tcBorders>
                    <w:tl2br w:val="nil"/>
                    <w:tr2bl w:val="nil"/>
                  </w:tcBorders>
                  <w:noWrap w:val="0"/>
                  <w:vAlign w:val="center"/>
                </w:tcPr>
                <w:p w14:paraId="53B53205">
                  <w:pPr>
                    <w:spacing w:line="0" w:lineRule="atLeast"/>
                    <w:jc w:val="both"/>
                    <w:rPr>
                      <w:rFonts w:hint="eastAsia" w:ascii="Times New Roman" w:hAnsi="Times New Roman" w:cs="Times New Roman"/>
                      <w:color w:val="auto"/>
                      <w:szCs w:val="21"/>
                      <w:lang w:eastAsia="zh-CN"/>
                    </w:rPr>
                  </w:pPr>
                  <w:r>
                    <w:rPr>
                      <w:rFonts w:hint="default" w:ascii="Times New Roman" w:hAnsi="Times New Roman" w:eastAsia="宋体" w:cs="Times New Roman"/>
                      <w:b w:val="0"/>
                      <w:strike w:val="0"/>
                      <w:dstrike w:val="0"/>
                      <w:color w:val="auto"/>
                      <w:kern w:val="0"/>
                      <w:sz w:val="21"/>
                      <w:szCs w:val="21"/>
                    </w:rPr>
                    <w:t>开采、运输产生的扬尘进行道路</w:t>
                  </w:r>
                  <w:r>
                    <w:rPr>
                      <w:rFonts w:hint="eastAsia" w:ascii="Times New Roman" w:hAnsi="Times New Roman" w:eastAsia="宋体" w:cs="Times New Roman"/>
                      <w:b w:val="0"/>
                      <w:strike w:val="0"/>
                      <w:dstrike w:val="0"/>
                      <w:color w:val="auto"/>
                      <w:kern w:val="0"/>
                      <w:sz w:val="21"/>
                      <w:szCs w:val="21"/>
                      <w:lang w:eastAsia="zh-CN"/>
                    </w:rPr>
                    <w:t>洒水</w:t>
                  </w:r>
                  <w:r>
                    <w:rPr>
                      <w:rFonts w:hint="default" w:ascii="Times New Roman" w:hAnsi="Times New Roman" w:eastAsia="宋体" w:cs="Times New Roman"/>
                      <w:b w:val="0"/>
                      <w:strike w:val="0"/>
                      <w:dstrike w:val="0"/>
                      <w:color w:val="auto"/>
                      <w:kern w:val="0"/>
                      <w:sz w:val="21"/>
                      <w:szCs w:val="21"/>
                    </w:rPr>
                    <w:t>降尘</w:t>
                  </w:r>
                  <w:r>
                    <w:rPr>
                      <w:rFonts w:hint="eastAsia" w:ascii="Times New Roman" w:hAnsi="Times New Roman" w:eastAsia="宋体" w:cs="Times New Roman"/>
                      <w:b w:val="0"/>
                      <w:strike w:val="0"/>
                      <w:dstrike w:val="0"/>
                      <w:color w:val="auto"/>
                      <w:kern w:val="0"/>
                      <w:sz w:val="21"/>
                      <w:szCs w:val="21"/>
                      <w:lang w:eastAsia="zh-CN"/>
                    </w:rPr>
                    <w:t>；</w:t>
                  </w:r>
                  <w:r>
                    <w:rPr>
                      <w:rFonts w:hint="default" w:ascii="Times New Roman" w:hAnsi="Times New Roman" w:eastAsia="宋体" w:cs="Times New Roman"/>
                      <w:b w:val="0"/>
                      <w:strike w:val="0"/>
                      <w:dstrike w:val="0"/>
                      <w:color w:val="auto"/>
                      <w:sz w:val="21"/>
                      <w:szCs w:val="21"/>
                      <w:highlight w:val="none"/>
                      <w:lang w:val="en-US" w:eastAsia="zh-CN"/>
                    </w:rPr>
                    <w:t>筛分粉尘采用集气罩+布袋除尘器+15m高排气筒（DA001）措施</w:t>
                  </w:r>
                  <w:r>
                    <w:rPr>
                      <w:rFonts w:hint="eastAsia" w:ascii="Times New Roman" w:hAnsi="Times New Roman" w:eastAsia="宋体" w:cs="Times New Roman"/>
                      <w:b w:val="0"/>
                      <w:strike w:val="0"/>
                      <w:dstrike w:val="0"/>
                      <w:color w:val="auto"/>
                      <w:sz w:val="21"/>
                      <w:szCs w:val="21"/>
                      <w:highlight w:val="none"/>
                      <w:lang w:val="en-US" w:eastAsia="zh-CN"/>
                    </w:rPr>
                    <w:t>；</w:t>
                  </w:r>
                  <w:r>
                    <w:rPr>
                      <w:rFonts w:hint="default" w:ascii="Times New Roman" w:hAnsi="Times New Roman" w:eastAsia="宋体" w:cs="Times New Roman"/>
                      <w:b w:val="0"/>
                      <w:strike w:val="0"/>
                      <w:dstrike w:val="0"/>
                      <w:color w:val="auto"/>
                      <w:kern w:val="0"/>
                      <w:sz w:val="21"/>
                      <w:szCs w:val="21"/>
                    </w:rPr>
                    <w:t>废石料使用篷布遮盖</w:t>
                  </w:r>
                  <w:r>
                    <w:rPr>
                      <w:rFonts w:hint="eastAsia" w:ascii="Times New Roman" w:hAnsi="Times New Roman" w:eastAsia="宋体" w:cs="Times New Roman"/>
                      <w:b w:val="0"/>
                      <w:strike w:val="0"/>
                      <w:dstrike w:val="0"/>
                      <w:color w:val="auto"/>
                      <w:kern w:val="0"/>
                      <w:sz w:val="21"/>
                      <w:szCs w:val="21"/>
                      <w:lang w:eastAsia="zh-CN"/>
                    </w:rPr>
                    <w:t>：</w:t>
                  </w:r>
                  <w:r>
                    <w:rPr>
                      <w:rFonts w:hint="default" w:ascii="Times New Roman" w:hAnsi="Times New Roman" w:eastAsia="宋体" w:cs="Times New Roman"/>
                      <w:b w:val="0"/>
                      <w:strike w:val="0"/>
                      <w:dstrike w:val="0"/>
                      <w:color w:val="auto"/>
                      <w:kern w:val="0"/>
                      <w:sz w:val="21"/>
                      <w:szCs w:val="21"/>
                    </w:rPr>
                    <w:t>密闭上料口</w:t>
                  </w:r>
                  <w:r>
                    <w:rPr>
                      <w:rFonts w:hint="default" w:ascii="Times New Roman" w:hAnsi="Times New Roman" w:eastAsia="宋体" w:cs="Times New Roman"/>
                      <w:b w:val="0"/>
                      <w:strike w:val="0"/>
                      <w:dstrike w:val="0"/>
                      <w:color w:val="auto"/>
                      <w:kern w:val="0"/>
                      <w:sz w:val="21"/>
                      <w:szCs w:val="21"/>
                      <w:highlight w:val="none"/>
                    </w:rPr>
                    <w:t>并安装喷淋设施</w:t>
                  </w:r>
                </w:p>
              </w:tc>
            </w:tr>
            <w:tr w14:paraId="399D4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803" w:type="dxa"/>
                  <w:vMerge w:val="continue"/>
                  <w:tcBorders>
                    <w:tl2br w:val="nil"/>
                    <w:tr2bl w:val="nil"/>
                  </w:tcBorders>
                  <w:noWrap w:val="0"/>
                  <w:vAlign w:val="center"/>
                </w:tcPr>
                <w:p w14:paraId="1E7E2B17">
                  <w:pPr>
                    <w:overflowPunct w:val="0"/>
                    <w:adjustRightInd w:val="0"/>
                    <w:snapToGrid w:val="0"/>
                    <w:spacing w:line="240" w:lineRule="auto"/>
                    <w:jc w:val="center"/>
                    <w:rPr>
                      <w:rFonts w:hint="default" w:ascii="Times New Roman" w:hAnsi="Times New Roman" w:eastAsia="宋体" w:cs="Times New Roman"/>
                      <w:snapToGrid w:val="0"/>
                      <w:color w:val="auto"/>
                      <w:kern w:val="0"/>
                      <w:sz w:val="21"/>
                      <w:szCs w:val="21"/>
                    </w:rPr>
                  </w:pPr>
                </w:p>
              </w:tc>
              <w:tc>
                <w:tcPr>
                  <w:tcW w:w="1234" w:type="dxa"/>
                  <w:tcBorders>
                    <w:tl2br w:val="nil"/>
                    <w:tr2bl w:val="nil"/>
                  </w:tcBorders>
                  <w:noWrap w:val="0"/>
                  <w:vAlign w:val="center"/>
                </w:tcPr>
                <w:p w14:paraId="7EECA260">
                  <w:pPr>
                    <w:spacing w:line="0" w:lineRule="atLeast"/>
                    <w:jc w:val="center"/>
                    <w:rPr>
                      <w:rFonts w:hint="default" w:ascii="Times New Roman" w:hAnsi="Times New Roman" w:eastAsia="宋体" w:cs="Times New Roman"/>
                      <w:b w:val="0"/>
                      <w:strike w:val="0"/>
                      <w:dstrike w:val="0"/>
                      <w:color w:val="auto"/>
                      <w:sz w:val="21"/>
                      <w:szCs w:val="21"/>
                    </w:rPr>
                  </w:pPr>
                  <w:r>
                    <w:rPr>
                      <w:rFonts w:hint="default" w:ascii="Times New Roman" w:hAnsi="Times New Roman" w:eastAsia="宋体" w:cs="Times New Roman"/>
                      <w:b w:val="0"/>
                      <w:strike w:val="0"/>
                      <w:dstrike w:val="0"/>
                      <w:color w:val="auto"/>
                      <w:kern w:val="0"/>
                      <w:sz w:val="21"/>
                      <w:szCs w:val="21"/>
                      <w:lang w:val="en-US" w:eastAsia="zh-CN" w:bidi="ar-SA"/>
                    </w:rPr>
                    <w:t>废水</w:t>
                  </w:r>
                </w:p>
              </w:tc>
              <w:tc>
                <w:tcPr>
                  <w:tcW w:w="4942" w:type="dxa"/>
                  <w:tcBorders>
                    <w:tl2br w:val="nil"/>
                    <w:tr2bl w:val="nil"/>
                  </w:tcBorders>
                  <w:noWrap w:val="0"/>
                  <w:vAlign w:val="center"/>
                </w:tcPr>
                <w:p w14:paraId="649BDF17">
                  <w:pPr>
                    <w:spacing w:line="0" w:lineRule="atLeast"/>
                    <w:jc w:val="both"/>
                    <w:rPr>
                      <w:rFonts w:hint="default" w:ascii="Times New Roman" w:hAnsi="Times New Roman" w:eastAsia="宋体" w:cs="Times New Roman"/>
                      <w:b w:val="0"/>
                      <w:strike w:val="0"/>
                      <w:dstrike w:val="0"/>
                      <w:color w:val="auto"/>
                      <w:kern w:val="0"/>
                      <w:sz w:val="21"/>
                      <w:szCs w:val="21"/>
                    </w:rPr>
                  </w:pPr>
                  <w:r>
                    <w:rPr>
                      <w:rFonts w:hint="eastAsia" w:ascii="Times New Roman" w:hAnsi="Times New Roman" w:eastAsia="宋体" w:cs="Times New Roman"/>
                      <w:b w:val="0"/>
                      <w:strike w:val="0"/>
                      <w:dstrike w:val="0"/>
                      <w:color w:val="auto"/>
                      <w:kern w:val="0"/>
                      <w:sz w:val="21"/>
                      <w:szCs w:val="21"/>
                      <w:lang w:val="en-US" w:eastAsia="zh-CN" w:bidi="ar-SA"/>
                    </w:rPr>
                    <w:t>生活污水排入化粪池定期拉运至</w:t>
                  </w:r>
                  <w:r>
                    <w:rPr>
                      <w:rFonts w:hint="eastAsia" w:ascii="宋体" w:hAnsi="宋体" w:eastAsia="宋体" w:cs="Times New Roman"/>
                      <w:color w:val="auto"/>
                      <w:sz w:val="21"/>
                      <w:szCs w:val="21"/>
                      <w:lang w:val="en-US" w:eastAsia="zh-CN"/>
                    </w:rPr>
                    <w:t>吐鲁番市高昌区污水处理厂</w:t>
                  </w:r>
                  <w:r>
                    <w:rPr>
                      <w:rFonts w:hint="eastAsia" w:ascii="宋体" w:hAnsi="宋体" w:cs="Times New Roman"/>
                      <w:color w:val="auto"/>
                      <w:sz w:val="21"/>
                      <w:szCs w:val="21"/>
                      <w:lang w:val="en-US" w:eastAsia="zh-CN"/>
                    </w:rPr>
                    <w:t>处理</w:t>
                  </w:r>
                  <w:r>
                    <w:rPr>
                      <w:rFonts w:hint="eastAsia" w:ascii="Times New Roman" w:hAnsi="Times New Roman" w:eastAsia="宋体" w:cs="Times New Roman"/>
                      <w:b w:val="0"/>
                      <w:strike w:val="0"/>
                      <w:dstrike w:val="0"/>
                      <w:color w:val="auto"/>
                      <w:kern w:val="0"/>
                      <w:sz w:val="21"/>
                      <w:szCs w:val="21"/>
                      <w:lang w:val="en-US" w:eastAsia="zh-CN" w:bidi="ar-SA"/>
                    </w:rPr>
                    <w:t>；</w:t>
                  </w:r>
                  <w:r>
                    <w:rPr>
                      <w:rFonts w:hint="default" w:ascii="Times New Roman" w:hAnsi="Times New Roman" w:eastAsia="宋体" w:cs="Times New Roman"/>
                      <w:b w:val="0"/>
                      <w:strike w:val="0"/>
                      <w:dstrike w:val="0"/>
                      <w:color w:val="auto"/>
                      <w:kern w:val="0"/>
                      <w:sz w:val="21"/>
                      <w:szCs w:val="21"/>
                      <w:lang w:val="en-US" w:eastAsia="zh-CN" w:bidi="ar-SA"/>
                    </w:rPr>
                    <w:t>生产废水采用废水沉淀池</w:t>
                  </w:r>
                  <w:r>
                    <w:rPr>
                      <w:rFonts w:hint="eastAsia" w:ascii="Times New Roman" w:hAnsi="Times New Roman" w:eastAsia="宋体" w:cs="Times New Roman"/>
                      <w:b w:val="0"/>
                      <w:strike w:val="0"/>
                      <w:dstrike w:val="0"/>
                      <w:color w:val="auto"/>
                      <w:kern w:val="0"/>
                      <w:sz w:val="21"/>
                      <w:szCs w:val="21"/>
                      <w:lang w:val="en-US" w:eastAsia="zh-CN" w:bidi="ar-SA"/>
                    </w:rPr>
                    <w:t>二级</w:t>
                  </w:r>
                  <w:r>
                    <w:rPr>
                      <w:rFonts w:hint="default" w:ascii="Times New Roman" w:hAnsi="Times New Roman" w:eastAsia="宋体" w:cs="Times New Roman"/>
                      <w:b w:val="0"/>
                      <w:strike w:val="0"/>
                      <w:dstrike w:val="0"/>
                      <w:color w:val="auto"/>
                      <w:kern w:val="0"/>
                      <w:sz w:val="21"/>
                      <w:szCs w:val="21"/>
                      <w:lang w:val="en-US" w:eastAsia="zh-CN" w:bidi="ar-SA"/>
                    </w:rPr>
                    <w:t>沉淀后回用于生产。</w:t>
                  </w:r>
                </w:p>
              </w:tc>
            </w:tr>
            <w:tr w14:paraId="6601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803" w:type="dxa"/>
                  <w:vMerge w:val="continue"/>
                  <w:tcBorders>
                    <w:tl2br w:val="nil"/>
                    <w:tr2bl w:val="nil"/>
                  </w:tcBorders>
                  <w:noWrap w:val="0"/>
                  <w:vAlign w:val="center"/>
                </w:tcPr>
                <w:p w14:paraId="2CD458EF">
                  <w:pPr>
                    <w:overflowPunct w:val="0"/>
                    <w:adjustRightInd w:val="0"/>
                    <w:snapToGrid w:val="0"/>
                    <w:spacing w:line="240" w:lineRule="auto"/>
                    <w:jc w:val="center"/>
                    <w:rPr>
                      <w:rFonts w:hint="default" w:ascii="Times New Roman" w:hAnsi="Times New Roman" w:eastAsia="宋体" w:cs="Times New Roman"/>
                      <w:snapToGrid w:val="0"/>
                      <w:color w:val="auto"/>
                      <w:kern w:val="0"/>
                      <w:sz w:val="21"/>
                      <w:szCs w:val="21"/>
                    </w:rPr>
                  </w:pPr>
                </w:p>
              </w:tc>
              <w:tc>
                <w:tcPr>
                  <w:tcW w:w="1234" w:type="dxa"/>
                  <w:tcBorders>
                    <w:tl2br w:val="nil"/>
                    <w:tr2bl w:val="nil"/>
                  </w:tcBorders>
                  <w:noWrap w:val="0"/>
                  <w:vAlign w:val="center"/>
                </w:tcPr>
                <w:p w14:paraId="08419731">
                  <w:pPr>
                    <w:adjustRightInd w:val="0"/>
                    <w:snapToGrid w:val="0"/>
                    <w:spacing w:line="240" w:lineRule="auto"/>
                    <w:jc w:val="center"/>
                    <w:rPr>
                      <w:rFonts w:hint="default" w:ascii="Times New Roman" w:hAnsi="Times New Roman" w:eastAsia="宋体" w:cs="Times New Roman"/>
                      <w:b w:val="0"/>
                      <w:strike w:val="0"/>
                      <w:dstrike w:val="0"/>
                      <w:color w:val="auto"/>
                      <w:kern w:val="0"/>
                      <w:sz w:val="21"/>
                      <w:szCs w:val="21"/>
                      <w:lang w:val="en-US" w:eastAsia="zh-CN" w:bidi="ar-SA"/>
                    </w:rPr>
                  </w:pPr>
                  <w:r>
                    <w:rPr>
                      <w:rFonts w:hint="default" w:ascii="Times New Roman" w:hAnsi="Times New Roman" w:eastAsia="宋体" w:cs="Times New Roman"/>
                      <w:color w:val="auto"/>
                      <w:sz w:val="21"/>
                      <w:szCs w:val="21"/>
                    </w:rPr>
                    <w:t>噪声</w:t>
                  </w:r>
                </w:p>
              </w:tc>
              <w:tc>
                <w:tcPr>
                  <w:tcW w:w="4942" w:type="dxa"/>
                  <w:tcBorders>
                    <w:tl2br w:val="nil"/>
                    <w:tr2bl w:val="nil"/>
                  </w:tcBorders>
                  <w:noWrap w:val="0"/>
                  <w:vAlign w:val="center"/>
                </w:tcPr>
                <w:p w14:paraId="6209A9D2">
                  <w:pPr>
                    <w:adjustRightInd w:val="0"/>
                    <w:snapToGrid w:val="0"/>
                    <w:spacing w:line="240" w:lineRule="auto"/>
                    <w:jc w:val="both"/>
                    <w:rPr>
                      <w:rFonts w:hint="eastAsia" w:ascii="Times New Roman" w:hAnsi="Times New Roman" w:eastAsia="宋体" w:cs="Times New Roman"/>
                      <w:b w:val="0"/>
                      <w:strike w:val="0"/>
                      <w:dstrike w:val="0"/>
                      <w:color w:val="auto"/>
                      <w:kern w:val="0"/>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选用低噪音设备</w:t>
                  </w:r>
                  <w:r>
                    <w:rPr>
                      <w:rFonts w:hint="default" w:ascii="Times New Roman" w:hAnsi="Times New Roman" w:eastAsia="宋体" w:cs="Times New Roman"/>
                      <w:color w:val="auto"/>
                      <w:kern w:val="2"/>
                      <w:sz w:val="21"/>
                      <w:szCs w:val="21"/>
                      <w:lang w:val="zh-CN" w:eastAsia="zh-CN" w:bidi="ar-SA"/>
                    </w:rPr>
                    <w:t>及必要的减振</w:t>
                  </w:r>
                  <w:r>
                    <w:rPr>
                      <w:rFonts w:hint="eastAsia" w:ascii="Times New Roman" w:hAnsi="Times New Roman" w:eastAsia="宋体" w:cs="Times New Roman"/>
                      <w:color w:val="auto"/>
                      <w:kern w:val="2"/>
                      <w:sz w:val="21"/>
                      <w:szCs w:val="21"/>
                      <w:lang w:val="zh-CN" w:eastAsia="zh-CN" w:bidi="ar-SA"/>
                    </w:rPr>
                    <w:t>、</w:t>
                  </w:r>
                  <w:r>
                    <w:rPr>
                      <w:rFonts w:hint="eastAsia" w:ascii="Times New Roman" w:hAnsi="Times New Roman" w:eastAsia="宋体" w:cs="Times New Roman"/>
                      <w:color w:val="auto"/>
                      <w:kern w:val="2"/>
                      <w:sz w:val="21"/>
                      <w:szCs w:val="21"/>
                      <w:lang w:val="en-US" w:eastAsia="zh-CN" w:bidi="ar-SA"/>
                    </w:rPr>
                    <w:t>隔声、消声等</w:t>
                  </w:r>
                  <w:r>
                    <w:rPr>
                      <w:rFonts w:hint="default" w:ascii="Times New Roman" w:hAnsi="Times New Roman" w:eastAsia="宋体" w:cs="Times New Roman"/>
                      <w:color w:val="auto"/>
                      <w:kern w:val="2"/>
                      <w:sz w:val="21"/>
                      <w:szCs w:val="21"/>
                      <w:lang w:val="zh-CN" w:eastAsia="zh-CN" w:bidi="ar-SA"/>
                    </w:rPr>
                    <w:t>措施</w:t>
                  </w:r>
                </w:p>
              </w:tc>
            </w:tr>
            <w:tr w14:paraId="2E745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803" w:type="dxa"/>
                  <w:vMerge w:val="continue"/>
                  <w:tcBorders>
                    <w:tl2br w:val="nil"/>
                    <w:tr2bl w:val="nil"/>
                  </w:tcBorders>
                  <w:noWrap w:val="0"/>
                  <w:vAlign w:val="center"/>
                </w:tcPr>
                <w:p w14:paraId="1D84DE34">
                  <w:pPr>
                    <w:overflowPunct w:val="0"/>
                    <w:adjustRightInd w:val="0"/>
                    <w:snapToGrid w:val="0"/>
                    <w:spacing w:line="240" w:lineRule="auto"/>
                    <w:jc w:val="center"/>
                    <w:rPr>
                      <w:rFonts w:hint="default" w:ascii="Times New Roman" w:hAnsi="Times New Roman" w:eastAsia="宋体" w:cs="Times New Roman"/>
                      <w:snapToGrid w:val="0"/>
                      <w:color w:val="auto"/>
                      <w:kern w:val="0"/>
                      <w:sz w:val="21"/>
                      <w:szCs w:val="21"/>
                    </w:rPr>
                  </w:pPr>
                </w:p>
              </w:tc>
              <w:tc>
                <w:tcPr>
                  <w:tcW w:w="1234" w:type="dxa"/>
                  <w:tcBorders>
                    <w:tl2br w:val="nil"/>
                    <w:tr2bl w:val="nil"/>
                  </w:tcBorders>
                  <w:noWrap w:val="0"/>
                  <w:vAlign w:val="center"/>
                </w:tcPr>
                <w:p w14:paraId="7AB50B04">
                  <w:pPr>
                    <w:adjustRightInd w:val="0"/>
                    <w:snapToGrid w:val="0"/>
                    <w:spacing w:line="240" w:lineRule="auto"/>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固废</w:t>
                  </w:r>
                </w:p>
              </w:tc>
              <w:tc>
                <w:tcPr>
                  <w:tcW w:w="4942" w:type="dxa"/>
                  <w:tcBorders>
                    <w:tl2br w:val="nil"/>
                    <w:tr2bl w:val="nil"/>
                  </w:tcBorders>
                  <w:noWrap w:val="0"/>
                  <w:vAlign w:val="center"/>
                </w:tcPr>
                <w:p w14:paraId="7635B279">
                  <w:pPr>
                    <w:adjustRightInd w:val="0"/>
                    <w:snapToGrid w:val="0"/>
                    <w:spacing w:line="240" w:lineRule="auto"/>
                    <w:jc w:val="both"/>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本项目</w:t>
                  </w:r>
                  <w:r>
                    <w:rPr>
                      <w:rFonts w:hint="eastAsia" w:ascii="Times New Roman" w:hAnsi="Times New Roman" w:eastAsia="宋体" w:cs="Times New Roman"/>
                      <w:color w:val="auto"/>
                      <w:kern w:val="2"/>
                      <w:sz w:val="21"/>
                      <w:szCs w:val="21"/>
                      <w:lang w:val="en-US" w:eastAsia="zh-CN" w:bidi="ar-SA"/>
                    </w:rPr>
                    <w:t>废石储存在废石堆场，废石用于筑坡处理，筑坡剩余废石回填采坑；沉淀池底泥定期清掏干化后回填采坑；生活垃圾暂存于垃圾桶由葡萄沟镇环卫部门定期拉运。废</w:t>
                  </w:r>
                  <w:r>
                    <w:rPr>
                      <w:rFonts w:hint="eastAsia" w:cs="Times New Roman"/>
                      <w:color w:val="auto"/>
                      <w:kern w:val="2"/>
                      <w:sz w:val="21"/>
                      <w:szCs w:val="21"/>
                      <w:lang w:val="en-US" w:eastAsia="zh-CN" w:bidi="ar-SA"/>
                    </w:rPr>
                    <w:t>润滑油</w:t>
                  </w:r>
                  <w:r>
                    <w:rPr>
                      <w:rFonts w:hint="eastAsia" w:ascii="Times New Roman" w:hAnsi="Times New Roman" w:eastAsia="宋体" w:cs="Times New Roman"/>
                      <w:color w:val="auto"/>
                      <w:kern w:val="2"/>
                      <w:sz w:val="21"/>
                      <w:szCs w:val="21"/>
                      <w:lang w:val="en-US" w:eastAsia="zh-CN" w:bidi="ar-SA"/>
                    </w:rPr>
                    <w:t>暂存在危废贮存点，定期委托具有危险废物处置资质的单位进行处置；除尘器收集的粉尘作为产品外售；</w:t>
                  </w:r>
                  <w:r>
                    <w:rPr>
                      <w:rFonts w:hint="eastAsia" w:cs="Times New Roman"/>
                      <w:color w:val="auto"/>
                      <w:kern w:val="2"/>
                      <w:sz w:val="21"/>
                      <w:szCs w:val="21"/>
                      <w:lang w:val="en-US" w:eastAsia="zh-CN" w:bidi="ar-SA"/>
                    </w:rPr>
                    <w:t>废布袋产生后暂存在一般固废暂存区，定期由除尘器设备厂家回收</w:t>
                  </w:r>
                  <w:r>
                    <w:rPr>
                      <w:rFonts w:hint="eastAsia" w:ascii="Times New Roman" w:hAnsi="Times New Roman" w:eastAsia="宋体" w:cs="Times New Roman"/>
                      <w:color w:val="auto"/>
                      <w:kern w:val="2"/>
                      <w:sz w:val="21"/>
                      <w:szCs w:val="21"/>
                      <w:lang w:val="en-US" w:eastAsia="zh-CN" w:bidi="ar-SA"/>
                    </w:rPr>
                    <w:t>。</w:t>
                  </w:r>
                </w:p>
              </w:tc>
            </w:tr>
            <w:tr w14:paraId="14B5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803" w:type="dxa"/>
                  <w:vMerge w:val="continue"/>
                  <w:tcBorders>
                    <w:tl2br w:val="nil"/>
                    <w:tr2bl w:val="nil"/>
                  </w:tcBorders>
                  <w:noWrap w:val="0"/>
                  <w:vAlign w:val="center"/>
                </w:tcPr>
                <w:p w14:paraId="34B439A3">
                  <w:pPr>
                    <w:overflowPunct w:val="0"/>
                    <w:adjustRightInd w:val="0"/>
                    <w:snapToGrid w:val="0"/>
                    <w:spacing w:line="240" w:lineRule="auto"/>
                    <w:jc w:val="center"/>
                    <w:rPr>
                      <w:rFonts w:hint="default" w:ascii="Times New Roman" w:hAnsi="Times New Roman" w:eastAsia="宋体" w:cs="Times New Roman"/>
                      <w:snapToGrid w:val="0"/>
                      <w:color w:val="auto"/>
                      <w:kern w:val="0"/>
                      <w:sz w:val="21"/>
                      <w:szCs w:val="21"/>
                    </w:rPr>
                  </w:pPr>
                </w:p>
              </w:tc>
              <w:tc>
                <w:tcPr>
                  <w:tcW w:w="1234" w:type="dxa"/>
                  <w:tcBorders>
                    <w:tl2br w:val="nil"/>
                    <w:tr2bl w:val="nil"/>
                  </w:tcBorders>
                  <w:shd w:val="clear" w:color="auto" w:fill="auto"/>
                  <w:noWrap w:val="0"/>
                  <w:vAlign w:val="center"/>
                </w:tcPr>
                <w:p w14:paraId="56ED258D">
                  <w:pPr>
                    <w:adjustRightInd w:val="0"/>
                    <w:snapToGrid w:val="0"/>
                    <w:spacing w:line="24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生态</w:t>
                  </w:r>
                </w:p>
                <w:p w14:paraId="4285F5FD">
                  <w:pPr>
                    <w:adjustRightInd w:val="0"/>
                    <w:snapToGrid w:val="0"/>
                    <w:spacing w:line="240" w:lineRule="auto"/>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环境</w:t>
                  </w:r>
                </w:p>
              </w:tc>
              <w:tc>
                <w:tcPr>
                  <w:tcW w:w="4942" w:type="dxa"/>
                  <w:tcBorders>
                    <w:tl2br w:val="nil"/>
                    <w:tr2bl w:val="nil"/>
                  </w:tcBorders>
                  <w:shd w:val="clear" w:color="auto" w:fill="auto"/>
                  <w:noWrap w:val="0"/>
                  <w:vAlign w:val="center"/>
                </w:tcPr>
                <w:p w14:paraId="38AB4E8A">
                  <w:pPr>
                    <w:adjustRightInd w:val="0"/>
                    <w:snapToGrid w:val="0"/>
                    <w:spacing w:line="240" w:lineRule="auto"/>
                    <w:jc w:val="center"/>
                    <w:rPr>
                      <w:rFonts w:hint="eastAsia" w:ascii="Times New Roman" w:hAnsi="Times New Roman" w:eastAsia="宋体" w:cs="Times New Roman"/>
                      <w:color w:val="auto"/>
                      <w:spacing w:val="-6"/>
                      <w:kern w:val="2"/>
                      <w:sz w:val="21"/>
                      <w:szCs w:val="21"/>
                      <w:lang w:val="en-US" w:eastAsia="zh-CN" w:bidi="ar-SA"/>
                    </w:rPr>
                  </w:pPr>
                  <w:r>
                    <w:rPr>
                      <w:rFonts w:hint="eastAsia"/>
                      <w:bCs/>
                      <w:color w:val="auto"/>
                      <w:sz w:val="21"/>
                      <w:szCs w:val="21"/>
                    </w:rPr>
                    <w:t>对</w:t>
                  </w:r>
                  <w:r>
                    <w:rPr>
                      <w:bCs/>
                      <w:color w:val="auto"/>
                      <w:sz w:val="21"/>
                      <w:szCs w:val="21"/>
                    </w:rPr>
                    <w:t>开采区采取表土剥离措施</w:t>
                  </w:r>
                  <w:r>
                    <w:rPr>
                      <w:rFonts w:hint="eastAsia"/>
                      <w:bCs/>
                      <w:color w:val="auto"/>
                      <w:sz w:val="21"/>
                      <w:szCs w:val="21"/>
                    </w:rPr>
                    <w:t>，开采区</w:t>
                  </w:r>
                  <w:r>
                    <w:rPr>
                      <w:bCs/>
                      <w:color w:val="auto"/>
                      <w:sz w:val="21"/>
                      <w:szCs w:val="21"/>
                    </w:rPr>
                    <w:t>采取边开采边复垦的措施</w:t>
                  </w:r>
                  <w:r>
                    <w:rPr>
                      <w:rFonts w:hint="eastAsia"/>
                      <w:bCs/>
                      <w:color w:val="auto"/>
                      <w:sz w:val="21"/>
                      <w:szCs w:val="21"/>
                    </w:rPr>
                    <w:t>。</w:t>
                  </w:r>
                  <w:r>
                    <w:rPr>
                      <w:rFonts w:hint="eastAsia" w:ascii="Times New Roman" w:hAnsi="Times New Roman" w:eastAsia="宋体" w:cs="Times New Roman"/>
                      <w:color w:val="auto"/>
                      <w:kern w:val="2"/>
                      <w:sz w:val="21"/>
                      <w:szCs w:val="21"/>
                      <w:lang w:val="en-US" w:eastAsia="zh-CN" w:bidi="ar-SA"/>
                    </w:rPr>
                    <w:t>矿区挖料后用土回填做绿化，恢复生态环境</w:t>
                  </w:r>
                  <w:r>
                    <w:rPr>
                      <w:rFonts w:hint="eastAsia" w:cs="Times New Roman"/>
                      <w:color w:val="auto"/>
                      <w:kern w:val="2"/>
                      <w:sz w:val="21"/>
                      <w:szCs w:val="21"/>
                      <w:lang w:val="en-US" w:eastAsia="zh-CN" w:bidi="ar-SA"/>
                    </w:rPr>
                    <w:t>。</w:t>
                  </w:r>
                </w:p>
              </w:tc>
            </w:tr>
          </w:tbl>
          <w:p w14:paraId="637B4FEF">
            <w:pPr>
              <w:pStyle w:val="71"/>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jc w:val="both"/>
              <w:textAlignment w:val="auto"/>
              <w:rPr>
                <w:rFonts w:hint="default" w:cs="Times New Roman"/>
                <w:snapToGrid w:val="0"/>
                <w:color w:val="auto"/>
                <w:kern w:val="2"/>
                <w:sz w:val="24"/>
                <w:szCs w:val="24"/>
                <w:lang w:val="en-US" w:eastAsia="zh-CN" w:bidi="ar-SA"/>
              </w:rPr>
            </w:pPr>
          </w:p>
        </w:tc>
      </w:tr>
    </w:tbl>
    <w:p w14:paraId="7A6CB4A6">
      <w:pPr>
        <w:pStyle w:val="29"/>
        <w:jc w:val="center"/>
        <w:outlineLvl w:val="0"/>
        <w:rPr>
          <w:rFonts w:hint="default" w:ascii="Times New Roman" w:hAnsi="Times New Roman" w:eastAsia="宋体" w:cs="Times New Roman"/>
          <w:snapToGrid w:val="0"/>
          <w:color w:val="auto"/>
          <w:sz w:val="30"/>
          <w:szCs w:val="30"/>
        </w:rPr>
      </w:pPr>
      <w:r>
        <w:rPr>
          <w:rFonts w:hint="default" w:ascii="Times New Roman" w:hAnsi="Times New Roman" w:eastAsia="宋体" w:cs="Times New Roman"/>
          <w:b/>
          <w:bCs/>
          <w:color w:val="auto"/>
        </w:rPr>
        <w:br w:type="page"/>
      </w:r>
      <w:r>
        <w:rPr>
          <w:rFonts w:hint="eastAsia" w:ascii="黑体" w:hAnsi="黑体" w:eastAsia="黑体" w:cs="黑体"/>
          <w:snapToGrid w:val="0"/>
          <w:color w:val="auto"/>
          <w:sz w:val="30"/>
          <w:szCs w:val="30"/>
        </w:rPr>
        <w:t>三、生态环境现状、保护目标及评价标准</w:t>
      </w:r>
    </w:p>
    <w:tbl>
      <w:tblPr>
        <w:tblStyle w:val="3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4"/>
        <w:gridCol w:w="7688"/>
      </w:tblGrid>
      <w:tr w14:paraId="0FB8CF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29" w:hRule="atLeast"/>
          <w:jc w:val="center"/>
        </w:trPr>
        <w:tc>
          <w:tcPr>
            <w:tcW w:w="834" w:type="dxa"/>
            <w:noWrap w:val="0"/>
            <w:vAlign w:val="center"/>
          </w:tcPr>
          <w:p w14:paraId="5D283DE1">
            <w:pPr>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生态环境保护目标</w:t>
            </w:r>
          </w:p>
        </w:tc>
        <w:tc>
          <w:tcPr>
            <w:tcW w:w="7688" w:type="dxa"/>
            <w:noWrap w:val="0"/>
            <w:vAlign w:val="center"/>
          </w:tcPr>
          <w:p w14:paraId="29D538B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（1）大气环境：本项目区</w:t>
            </w:r>
            <w:r>
              <w:rPr>
                <w:rFonts w:hint="default" w:ascii="Times New Roman" w:hAnsi="Times New Roman" w:eastAsia="宋体" w:cs="Times New Roman"/>
                <w:color w:val="auto"/>
                <w:spacing w:val="0"/>
                <w:kern w:val="21"/>
                <w:sz w:val="24"/>
                <w:szCs w:val="24"/>
                <w:highlight w:val="none"/>
              </w:rPr>
              <w:t>厂界外500米范围内</w:t>
            </w:r>
            <w:r>
              <w:rPr>
                <w:rFonts w:hint="default" w:ascii="Times New Roman" w:hAnsi="Times New Roman" w:eastAsia="宋体" w:cs="Times New Roman"/>
                <w:color w:val="auto"/>
                <w:spacing w:val="0"/>
                <w:kern w:val="21"/>
                <w:sz w:val="24"/>
                <w:szCs w:val="24"/>
                <w:highlight w:val="none"/>
                <w:lang w:val="en-US" w:eastAsia="zh-CN"/>
              </w:rPr>
              <w:t>无自然保护区、风景名胜区、居住区、文化区等人群较集中的区域。</w:t>
            </w:r>
          </w:p>
          <w:p w14:paraId="589E4A5B">
            <w:pPr>
              <w:pStyle w:val="62"/>
              <w:spacing w:line="360" w:lineRule="auto"/>
              <w:ind w:firstLine="48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（2）声环境：</w:t>
            </w:r>
            <w:r>
              <w:rPr>
                <w:rFonts w:hint="default" w:ascii="Times New Roman" w:hAnsi="Times New Roman" w:eastAsia="宋体" w:cs="Times New Roman"/>
                <w:color w:val="auto"/>
                <w:spacing w:val="0"/>
                <w:kern w:val="21"/>
                <w:sz w:val="24"/>
                <w:szCs w:val="24"/>
                <w:highlight w:val="none"/>
                <w:lang w:val="en-US" w:eastAsia="zh-CN"/>
              </w:rPr>
              <w:t>本项目</w:t>
            </w:r>
            <w:r>
              <w:rPr>
                <w:rFonts w:hint="default" w:ascii="Times New Roman" w:hAnsi="Times New Roman" w:eastAsia="宋体" w:cs="Times New Roman"/>
                <w:color w:val="auto"/>
                <w:spacing w:val="0"/>
                <w:kern w:val="21"/>
                <w:sz w:val="24"/>
                <w:szCs w:val="24"/>
                <w:highlight w:val="none"/>
              </w:rPr>
              <w:t>厂界外50米范围内</w:t>
            </w:r>
            <w:r>
              <w:rPr>
                <w:rFonts w:hint="default" w:ascii="Times New Roman" w:hAnsi="Times New Roman" w:eastAsia="宋体" w:cs="Times New Roman"/>
                <w:color w:val="auto"/>
                <w:spacing w:val="0"/>
                <w:kern w:val="21"/>
                <w:sz w:val="24"/>
                <w:szCs w:val="24"/>
                <w:highlight w:val="none"/>
                <w:lang w:eastAsia="zh-CN"/>
              </w:rPr>
              <w:t>无</w:t>
            </w:r>
            <w:r>
              <w:rPr>
                <w:rFonts w:hint="default" w:ascii="Times New Roman" w:hAnsi="Times New Roman" w:eastAsia="宋体" w:cs="Times New Roman"/>
                <w:color w:val="auto"/>
                <w:spacing w:val="0"/>
                <w:kern w:val="21"/>
                <w:sz w:val="24"/>
                <w:szCs w:val="24"/>
                <w:highlight w:val="none"/>
              </w:rPr>
              <w:t>声环境保护目标</w:t>
            </w:r>
            <w:r>
              <w:rPr>
                <w:rFonts w:hint="default" w:ascii="Times New Roman" w:hAnsi="Times New Roman" w:eastAsia="宋体" w:cs="Times New Roman"/>
                <w:color w:val="auto"/>
                <w:kern w:val="2"/>
                <w:sz w:val="24"/>
                <w:szCs w:val="24"/>
                <w:highlight w:val="none"/>
                <w:lang w:val="en-US" w:eastAsia="zh-CN" w:bidi="ar-SA"/>
              </w:rPr>
              <w:t>。</w:t>
            </w:r>
          </w:p>
          <w:p w14:paraId="11429697">
            <w:pPr>
              <w:pStyle w:val="62"/>
              <w:spacing w:line="360" w:lineRule="auto"/>
              <w:ind w:firstLine="48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（3）地下水环境：</w:t>
            </w:r>
            <w:r>
              <w:rPr>
                <w:rFonts w:hint="default" w:ascii="Times New Roman" w:hAnsi="Times New Roman" w:eastAsia="宋体" w:cs="Times New Roman"/>
                <w:color w:val="auto"/>
                <w:spacing w:val="0"/>
                <w:kern w:val="21"/>
                <w:sz w:val="24"/>
                <w:szCs w:val="24"/>
                <w:highlight w:val="none"/>
                <w:lang w:val="en-US" w:eastAsia="zh-CN"/>
              </w:rPr>
              <w:t>本项目</w:t>
            </w:r>
            <w:r>
              <w:rPr>
                <w:rFonts w:hint="default" w:ascii="Times New Roman" w:hAnsi="Times New Roman" w:eastAsia="宋体" w:cs="Times New Roman"/>
                <w:color w:val="auto"/>
                <w:spacing w:val="0"/>
                <w:kern w:val="21"/>
                <w:sz w:val="24"/>
                <w:szCs w:val="24"/>
                <w:highlight w:val="none"/>
              </w:rPr>
              <w:t>厂界外500米范围内</w:t>
            </w:r>
            <w:r>
              <w:rPr>
                <w:rFonts w:hint="default" w:ascii="Times New Roman" w:hAnsi="Times New Roman" w:eastAsia="宋体" w:cs="Times New Roman"/>
                <w:color w:val="auto"/>
                <w:spacing w:val="0"/>
                <w:kern w:val="21"/>
                <w:sz w:val="24"/>
                <w:szCs w:val="24"/>
                <w:highlight w:val="none"/>
                <w:lang w:val="en-US" w:eastAsia="zh-CN"/>
              </w:rPr>
              <w:t>无</w:t>
            </w:r>
            <w:r>
              <w:rPr>
                <w:rFonts w:hint="default" w:ascii="Times New Roman" w:hAnsi="Times New Roman" w:eastAsia="宋体" w:cs="Times New Roman"/>
                <w:color w:val="auto"/>
                <w:spacing w:val="0"/>
                <w:kern w:val="21"/>
                <w:sz w:val="24"/>
                <w:szCs w:val="24"/>
                <w:highlight w:val="none"/>
              </w:rPr>
              <w:t>地下水集中式饮用水水源和热水、矿泉水、温泉等特殊地下水资源</w:t>
            </w:r>
            <w:r>
              <w:rPr>
                <w:rFonts w:hint="default" w:ascii="Times New Roman" w:hAnsi="Times New Roman" w:eastAsia="宋体" w:cs="Times New Roman"/>
                <w:color w:val="auto"/>
                <w:kern w:val="2"/>
                <w:sz w:val="24"/>
                <w:szCs w:val="24"/>
                <w:highlight w:val="none"/>
                <w:lang w:val="en-US" w:eastAsia="zh-CN" w:bidi="ar-SA"/>
              </w:rPr>
              <w:t>。</w:t>
            </w:r>
          </w:p>
          <w:p w14:paraId="7C4E809A">
            <w:pPr>
              <w:pStyle w:val="62"/>
              <w:keepNext w:val="0"/>
              <w:keepLines w:val="0"/>
              <w:pageBreakBefore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spacing w:val="0"/>
                <w:kern w:val="21"/>
                <w:sz w:val="24"/>
                <w:szCs w:val="24"/>
                <w:highlight w:val="none"/>
                <w:lang w:eastAsia="zh-CN"/>
              </w:rPr>
            </w:pPr>
            <w:r>
              <w:rPr>
                <w:rFonts w:hint="default" w:ascii="Times New Roman" w:hAnsi="Times New Roman" w:eastAsia="宋体" w:cs="Times New Roman"/>
                <w:color w:val="auto"/>
                <w:kern w:val="2"/>
                <w:sz w:val="24"/>
                <w:szCs w:val="24"/>
                <w:highlight w:val="none"/>
                <w:lang w:val="en-US" w:eastAsia="zh-CN" w:bidi="ar-SA"/>
              </w:rPr>
              <w:t>（4）生态环境：根据现场踏勘，本项目所在区域为裸岩石砾地</w:t>
            </w:r>
            <w:r>
              <w:rPr>
                <w:rFonts w:hint="default" w:ascii="Times New Roman" w:hAnsi="Times New Roman" w:eastAsia="宋体" w:cs="Times New Roman"/>
                <w:color w:val="auto"/>
                <w:kern w:val="0"/>
                <w:sz w:val="24"/>
                <w:szCs w:val="24"/>
                <w:highlight w:val="none"/>
                <w:lang w:val="en-US" w:eastAsia="zh-CN"/>
              </w:rPr>
              <w:t>，荒漠</w:t>
            </w:r>
            <w:r>
              <w:rPr>
                <w:rFonts w:hint="default" w:ascii="Times New Roman" w:hAnsi="Times New Roman" w:eastAsia="宋体" w:cs="Times New Roman"/>
                <w:color w:val="auto"/>
                <w:kern w:val="2"/>
                <w:sz w:val="24"/>
                <w:szCs w:val="24"/>
                <w:highlight w:val="none"/>
                <w:lang w:val="en-US" w:eastAsia="zh-CN" w:bidi="ar-SA"/>
              </w:rPr>
              <w:t>，项目区及周边主要生态保护目标为骆驼刺等</w:t>
            </w:r>
            <w:r>
              <w:rPr>
                <w:rFonts w:hint="default" w:ascii="Times New Roman" w:hAnsi="Times New Roman" w:eastAsia="宋体" w:cs="Times New Roman"/>
                <w:color w:val="auto"/>
                <w:spacing w:val="0"/>
                <w:kern w:val="21"/>
                <w:sz w:val="24"/>
                <w:szCs w:val="24"/>
                <w:highlight w:val="none"/>
                <w:lang w:eastAsia="zh-CN"/>
              </w:rPr>
              <w:t>植被。</w:t>
            </w:r>
          </w:p>
          <w:p w14:paraId="7070D4C5">
            <w:pPr>
              <w:adjustRightInd w:val="0"/>
              <w:snapToGrid w:val="0"/>
              <w:spacing w:line="360" w:lineRule="auto"/>
              <w:ind w:firstLine="480" w:firstLineChars="200"/>
              <w:jc w:val="both"/>
              <w:rPr>
                <w:rFonts w:hint="default" w:ascii="Times New Roman" w:hAnsi="Times New Roman" w:eastAsia="宋体" w:cs="Times New Roman"/>
                <w:bCs/>
                <w:color w:val="auto"/>
                <w:sz w:val="24"/>
                <w:szCs w:val="24"/>
                <w:lang w:val="en-US" w:eastAsia="zh-CN"/>
              </w:rPr>
            </w:pPr>
          </w:p>
        </w:tc>
      </w:tr>
      <w:tr w14:paraId="7CE4DA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67" w:hRule="atLeast"/>
          <w:jc w:val="center"/>
        </w:trPr>
        <w:tc>
          <w:tcPr>
            <w:tcW w:w="834" w:type="dxa"/>
            <w:noWrap w:val="0"/>
            <w:vAlign w:val="center"/>
          </w:tcPr>
          <w:p w14:paraId="58CE5D51">
            <w:pPr>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评价</w:t>
            </w:r>
          </w:p>
          <w:p w14:paraId="4EDA6C29">
            <w:pPr>
              <w:adjustRightInd w:val="0"/>
              <w:snapToGrid w:val="0"/>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标准</w:t>
            </w:r>
          </w:p>
        </w:tc>
        <w:tc>
          <w:tcPr>
            <w:tcW w:w="7688" w:type="dxa"/>
            <w:noWrap w:val="0"/>
            <w:vAlign w:val="center"/>
          </w:tcPr>
          <w:p w14:paraId="1A8F2540">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1.</w:t>
            </w:r>
            <w:r>
              <w:rPr>
                <w:rFonts w:hint="default" w:ascii="Times New Roman" w:hAnsi="Times New Roman" w:eastAsia="宋体" w:cs="Times New Roman"/>
                <w:b/>
                <w:bCs/>
                <w:color w:val="auto"/>
                <w:sz w:val="24"/>
                <w:szCs w:val="24"/>
                <w:lang w:val="en-US" w:eastAsia="zh-CN"/>
              </w:rPr>
              <w:t>环境质量标准</w:t>
            </w:r>
          </w:p>
          <w:p w14:paraId="68C3D015">
            <w:pPr>
              <w:pStyle w:val="76"/>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仿宋_GB2312" w:cs="Times New Roman"/>
                <w:color w:val="auto"/>
                <w:sz w:val="24"/>
                <w:szCs w:val="24"/>
                <w:highlight w:val="none"/>
                <w:lang w:val="en-US" w:eastAsia="zh-CN"/>
              </w:rPr>
              <w:t>（1）</w:t>
            </w:r>
            <w:r>
              <w:rPr>
                <w:rFonts w:hint="eastAsia" w:eastAsia="仿宋_GB2312" w:cs="Times New Roman"/>
                <w:color w:val="auto"/>
                <w:sz w:val="24"/>
                <w:szCs w:val="24"/>
                <w:highlight w:val="none"/>
                <w:lang w:val="en-US" w:eastAsia="zh-CN"/>
              </w:rPr>
              <w:t>《</w:t>
            </w:r>
            <w:r>
              <w:rPr>
                <w:rFonts w:hint="default" w:ascii="Times New Roman" w:hAnsi="Times New Roman" w:eastAsia="宋体" w:cs="Times New Roman"/>
                <w:color w:val="auto"/>
                <w:sz w:val="24"/>
                <w:szCs w:val="24"/>
                <w:lang w:val="en-US" w:eastAsia="zh-CN"/>
              </w:rPr>
              <w:t>环境空气质量标准》（GB</w:t>
            </w:r>
            <w:r>
              <w:rPr>
                <w:rFonts w:hint="eastAsia" w:cs="Times New Roman"/>
                <w:color w:val="auto"/>
                <w:sz w:val="24"/>
                <w:szCs w:val="24"/>
                <w:lang w:val="en-US" w:eastAsia="zh-CN"/>
              </w:rPr>
              <w:t xml:space="preserve"> </w:t>
            </w:r>
            <w:r>
              <w:rPr>
                <w:rFonts w:hint="default" w:ascii="Times New Roman" w:hAnsi="Times New Roman" w:eastAsia="宋体" w:cs="Times New Roman"/>
                <w:color w:val="auto"/>
                <w:sz w:val="24"/>
                <w:szCs w:val="24"/>
                <w:lang w:val="en-US" w:eastAsia="zh-CN"/>
              </w:rPr>
              <w:t>3095-20</w:t>
            </w:r>
            <w:r>
              <w:rPr>
                <w:rFonts w:hint="eastAsia" w:cs="Times New Roman"/>
                <w:color w:val="auto"/>
                <w:sz w:val="24"/>
                <w:szCs w:val="24"/>
                <w:lang w:val="en-US" w:eastAsia="zh-CN"/>
              </w:rPr>
              <w:t>26</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highlight w:val="none"/>
                <w:lang w:val="en-US" w:eastAsia="zh-CN"/>
              </w:rPr>
              <w:t>表1过渡阶段</w:t>
            </w:r>
            <w:r>
              <w:rPr>
                <w:rFonts w:hint="eastAsia" w:ascii="Times New Roman" w:hAnsi="Times New Roman" w:eastAsia="宋体" w:cs="Times New Roman"/>
                <w:color w:val="auto"/>
                <w:sz w:val="24"/>
                <w:szCs w:val="24"/>
                <w:highlight w:val="none"/>
                <w:lang w:val="en-US" w:eastAsia="zh-CN"/>
              </w:rPr>
              <w:t>二级</w:t>
            </w:r>
            <w:r>
              <w:rPr>
                <w:rFonts w:hint="default" w:ascii="Times New Roman" w:hAnsi="Times New Roman" w:eastAsia="宋体" w:cs="Times New Roman"/>
                <w:color w:val="auto"/>
                <w:sz w:val="24"/>
                <w:szCs w:val="24"/>
                <w:highlight w:val="none"/>
                <w:lang w:val="en-US" w:eastAsia="zh-CN"/>
              </w:rPr>
              <w:t>浓度限值</w:t>
            </w:r>
            <w:r>
              <w:rPr>
                <w:rFonts w:hint="default" w:ascii="Times New Roman" w:hAnsi="Times New Roman" w:eastAsia="宋体" w:cs="Times New Roman"/>
                <w:color w:val="auto"/>
                <w:sz w:val="24"/>
                <w:szCs w:val="24"/>
                <w:lang w:val="en-US" w:eastAsia="zh-CN"/>
              </w:rPr>
              <w:t>；</w:t>
            </w:r>
          </w:p>
          <w:p w14:paraId="2F102BB8">
            <w:pPr>
              <w:adjustRightInd w:val="0"/>
              <w:snapToGrid w:val="0"/>
              <w:spacing w:line="360" w:lineRule="auto"/>
              <w:ind w:firstLine="480" w:firstLineChars="200"/>
              <w:jc w:val="both"/>
              <w:rPr>
                <w:rFonts w:hint="eastAsia"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sz w:val="24"/>
                <w:lang w:eastAsia="zh-CN"/>
              </w:rPr>
              <w:t>（2）</w:t>
            </w:r>
            <w:r>
              <w:rPr>
                <w:rFonts w:hint="default" w:ascii="Times New Roman" w:hAnsi="Times New Roman" w:eastAsia="宋体" w:cs="Times New Roman"/>
                <w:color w:val="auto"/>
                <w:kern w:val="0"/>
                <w:sz w:val="24"/>
                <w:szCs w:val="24"/>
                <w:lang w:val="en-US" w:eastAsia="zh-CN" w:bidi="ar"/>
              </w:rPr>
              <w:t>《声环境质量标准》（GB3096-2008）中的2类</w:t>
            </w:r>
            <w:r>
              <w:rPr>
                <w:rFonts w:hint="eastAsia" w:cs="Times New Roman"/>
                <w:color w:val="auto"/>
                <w:kern w:val="0"/>
                <w:sz w:val="24"/>
                <w:szCs w:val="24"/>
                <w:lang w:val="en-US" w:eastAsia="zh-CN" w:bidi="ar"/>
              </w:rPr>
              <w:t>标准；</w:t>
            </w:r>
          </w:p>
          <w:p w14:paraId="28634F2C">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b/>
                <w:bCs/>
                <w:color w:val="auto"/>
                <w:sz w:val="24"/>
                <w:szCs w:val="24"/>
                <w:lang w:val="en-US" w:eastAsia="zh-CN"/>
              </w:rPr>
              <w:t>2.</w:t>
            </w:r>
            <w:r>
              <w:rPr>
                <w:rFonts w:hint="default" w:ascii="Times New Roman" w:hAnsi="Times New Roman" w:eastAsia="宋体" w:cs="Times New Roman"/>
                <w:b/>
                <w:bCs/>
                <w:color w:val="auto"/>
                <w:sz w:val="24"/>
                <w:szCs w:val="24"/>
                <w:lang w:val="en-US" w:eastAsia="zh-CN"/>
              </w:rPr>
              <w:t>污染物排放控制标准</w:t>
            </w:r>
          </w:p>
          <w:p w14:paraId="7ED39E92">
            <w:pPr>
              <w:keepNext w:val="0"/>
              <w:keepLines w:val="0"/>
              <w:pageBreakBefore w:val="0"/>
              <w:widowControl/>
              <w:suppressLineNumbers w:val="0"/>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（1）运营期无组织粉尘执行《大气污染物综合排放标准》（GB16297-1996）厂界无组织排放浓度1.0mg/m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。有组织粉尘排放浓度满足《大气污染物综合排放标准》（GB16297-1996）表2新污染源大气污染物排放限值中二级排放标准要求（颗粒物最高允许排放浓度120mg/m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；15m高排气筒排放速率3.5kg/h）</w:t>
            </w:r>
            <w:r>
              <w:rPr>
                <w:rFonts w:hint="eastAsia" w:cs="Times New Roman"/>
                <w:color w:val="auto"/>
                <w:sz w:val="24"/>
                <w:szCs w:val="24"/>
                <w:lang w:val="en-US" w:eastAsia="zh-CN"/>
              </w:rPr>
              <w:t>。</w:t>
            </w:r>
          </w:p>
          <w:p w14:paraId="30C4F56C">
            <w:pPr>
              <w:keepNext w:val="0"/>
              <w:keepLines w:val="0"/>
              <w:pageBreakBefore w:val="0"/>
              <w:widowControl/>
              <w:suppressLineNumbers w:val="0"/>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eastAsia="宋体" w:cs="Times New Roman"/>
                <w:b/>
                <w:color w:val="auto"/>
                <w:sz w:val="21"/>
                <w:szCs w:val="21"/>
                <w:highlight w:val="none"/>
                <w:lang w:eastAsia="zh-CN"/>
              </w:rPr>
            </w:pPr>
            <w:r>
              <w:rPr>
                <w:rFonts w:hint="eastAsia"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运营期厂界</w:t>
            </w:r>
            <w:r>
              <w:rPr>
                <w:rFonts w:hint="default" w:ascii="Times New Roman" w:hAnsi="Times New Roman" w:eastAsia="宋体" w:cs="Times New Roman"/>
                <w:color w:val="auto"/>
                <w:sz w:val="24"/>
                <w:szCs w:val="24"/>
                <w:highlight w:val="none"/>
                <w:lang w:val="en-US" w:eastAsia="zh-CN"/>
              </w:rPr>
              <w:t>噪声排放执行《工业企业厂界环境噪声排放标准》(GB12348-2008)中2类</w:t>
            </w:r>
            <w:r>
              <w:rPr>
                <w:rFonts w:hint="eastAsia" w:ascii="Times New Roman" w:hAnsi="Times New Roman" w:eastAsia="宋体" w:cs="Times New Roman"/>
                <w:color w:val="auto"/>
                <w:kern w:val="0"/>
                <w:sz w:val="24"/>
                <w:szCs w:val="24"/>
                <w:highlight w:val="none"/>
                <w:lang w:val="en-US" w:eastAsia="zh-CN" w:bidi="ar"/>
              </w:rPr>
              <w:t>排放（即昼间60dB（A），夜间50dB（A））</w:t>
            </w:r>
            <w:r>
              <w:rPr>
                <w:rFonts w:hint="default" w:ascii="Times New Roman" w:hAnsi="Times New Roman" w:eastAsia="宋体" w:cs="Times New Roman"/>
                <w:color w:val="auto"/>
                <w:sz w:val="24"/>
                <w:szCs w:val="24"/>
                <w:highlight w:val="none"/>
                <w:lang w:val="en-US" w:eastAsia="zh-CN"/>
              </w:rPr>
              <w:t>。</w:t>
            </w:r>
          </w:p>
          <w:p w14:paraId="6163ACB0">
            <w:pPr>
              <w:adjustRightInd w:val="0"/>
              <w:snapToGrid w:val="0"/>
              <w:spacing w:line="360" w:lineRule="auto"/>
              <w:ind w:firstLine="480" w:firstLineChars="200"/>
              <w:jc w:val="both"/>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（3）生活污水执行《污水综合排放标准》（GB8978-1996）中的三级标准。</w:t>
            </w:r>
          </w:p>
          <w:p w14:paraId="2D7BADAD">
            <w:pPr>
              <w:adjustRightInd w:val="0"/>
              <w:snapToGrid w:val="0"/>
              <w:spacing w:line="360" w:lineRule="auto"/>
              <w:ind w:firstLine="480" w:firstLineChars="200"/>
              <w:jc w:val="both"/>
              <w:rPr>
                <w:rFonts w:hint="default" w:ascii="Times New Roman" w:hAnsi="Times New Roman" w:eastAsia="宋体" w:cs="Times New Roman"/>
                <w:color w:val="auto"/>
                <w:sz w:val="24"/>
                <w:highlight w:val="none"/>
                <w:lang w:eastAsia="zh-CN"/>
              </w:rPr>
            </w:pPr>
            <w:r>
              <w:rPr>
                <w:rFonts w:hint="eastAsia" w:ascii="Times New Roman" w:hAnsi="Times New Roman" w:eastAsia="宋体" w:cs="Times New Roman"/>
                <w:color w:val="auto"/>
                <w:sz w:val="24"/>
                <w:highlight w:val="none"/>
                <w:lang w:eastAsia="zh-CN"/>
              </w:rPr>
              <w:t>（</w:t>
            </w:r>
            <w:r>
              <w:rPr>
                <w:rFonts w:hint="eastAsia" w:cs="Times New Roman"/>
                <w:color w:val="auto"/>
                <w:sz w:val="24"/>
                <w:highlight w:val="none"/>
                <w:lang w:val="en-US" w:eastAsia="zh-CN"/>
              </w:rPr>
              <w:t>4</w:t>
            </w:r>
            <w:r>
              <w:rPr>
                <w:rFonts w:hint="eastAsia"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eastAsia="zh-CN"/>
              </w:rPr>
              <w:t>运营期食堂油烟执行《饮食业油烟排放标准（试行）》（GB18483－2001）表2中小型饮食业单位油烟最高允许排放浓度：2.0mg/m</w:t>
            </w:r>
            <w:r>
              <w:rPr>
                <w:rFonts w:hint="eastAsia" w:ascii="Times New Roman" w:hAnsi="Times New Roman" w:eastAsia="宋体" w:cs="Times New Roman"/>
                <w:color w:val="auto"/>
                <w:sz w:val="24"/>
                <w:highlight w:val="none"/>
                <w:vertAlign w:val="superscript"/>
                <w:lang w:val="en-US" w:eastAsia="zh-CN"/>
              </w:rPr>
              <w:t>3</w:t>
            </w:r>
            <w:r>
              <w:rPr>
                <w:rFonts w:hint="eastAsia" w:cs="Times New Roman"/>
                <w:color w:val="auto"/>
                <w:sz w:val="24"/>
                <w:highlight w:val="none"/>
                <w:lang w:eastAsia="zh-CN"/>
              </w:rPr>
              <w:t>。</w:t>
            </w:r>
          </w:p>
          <w:p w14:paraId="5127C876">
            <w:pPr>
              <w:autoSpaceDE w:val="0"/>
              <w:autoSpaceDN w:val="0"/>
              <w:adjustRightInd w:val="0"/>
              <w:spacing w:line="360" w:lineRule="auto"/>
              <w:ind w:firstLine="480" w:firstLineChars="200"/>
              <w:jc w:val="both"/>
              <w:rPr>
                <w:color w:val="auto"/>
                <w:kern w:val="0"/>
                <w:sz w:val="24"/>
              </w:rPr>
            </w:pPr>
            <w:r>
              <w:rPr>
                <w:rFonts w:hint="eastAsia"/>
                <w:color w:val="auto"/>
                <w:kern w:val="0"/>
                <w:sz w:val="24"/>
                <w:lang w:val="en-US" w:eastAsia="zh-CN"/>
              </w:rPr>
              <w:t>（5）</w:t>
            </w:r>
            <w:r>
              <w:rPr>
                <w:color w:val="auto"/>
                <w:kern w:val="0"/>
                <w:sz w:val="24"/>
              </w:rPr>
              <w:t>《一般工业</w:t>
            </w:r>
            <w:r>
              <w:rPr>
                <w:rFonts w:hint="eastAsia" w:ascii="Times New Roman" w:hAnsi="Times New Roman" w:eastAsia="宋体" w:cs="Times New Roman"/>
                <w:color w:val="auto"/>
                <w:kern w:val="0"/>
                <w:sz w:val="24"/>
                <w:lang w:val="en-US" w:eastAsia="zh-CN"/>
              </w:rPr>
              <w:t>固体</w:t>
            </w:r>
            <w:r>
              <w:rPr>
                <w:color w:val="auto"/>
                <w:kern w:val="0"/>
                <w:sz w:val="24"/>
              </w:rPr>
              <w:t>废物贮存和填埋污染控制标准》（GB18599-2020）中相关标准。</w:t>
            </w:r>
          </w:p>
          <w:p w14:paraId="48E15B21">
            <w:pPr>
              <w:autoSpaceDE w:val="0"/>
              <w:autoSpaceDN w:val="0"/>
              <w:adjustRightInd w:val="0"/>
              <w:spacing w:line="360" w:lineRule="auto"/>
              <w:ind w:firstLine="480" w:firstLineChars="200"/>
              <w:jc w:val="left"/>
              <w:rPr>
                <w:color w:val="auto"/>
                <w:kern w:val="0"/>
                <w:sz w:val="24"/>
              </w:rPr>
            </w:pPr>
            <w:r>
              <w:rPr>
                <w:rFonts w:hint="eastAsia"/>
                <w:color w:val="auto"/>
                <w:kern w:val="0"/>
                <w:sz w:val="24"/>
                <w:lang w:val="en-US" w:eastAsia="zh-CN"/>
              </w:rPr>
              <w:t>（6）</w:t>
            </w:r>
            <w:r>
              <w:rPr>
                <w:color w:val="auto"/>
                <w:kern w:val="0"/>
                <w:sz w:val="24"/>
              </w:rPr>
              <w:t>《危险废物贮存污染控制标准》（GB18597-</w:t>
            </w:r>
            <w:r>
              <w:rPr>
                <w:rFonts w:hint="eastAsia"/>
                <w:color w:val="auto"/>
                <w:kern w:val="0"/>
                <w:sz w:val="24"/>
              </w:rPr>
              <w:t>2023</w:t>
            </w:r>
            <w:r>
              <w:rPr>
                <w:color w:val="auto"/>
                <w:kern w:val="0"/>
                <w:sz w:val="24"/>
              </w:rPr>
              <w:t>）。</w:t>
            </w:r>
          </w:p>
          <w:p w14:paraId="0017D490">
            <w:pPr>
              <w:pStyle w:val="2"/>
              <w:rPr>
                <w:rFonts w:hint="eastAsia"/>
                <w:color w:val="auto"/>
                <w:lang w:val="en-US" w:eastAsia="zh-CN"/>
              </w:rPr>
            </w:pPr>
          </w:p>
        </w:tc>
      </w:tr>
      <w:tr w14:paraId="1791B3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3" w:hRule="atLeast"/>
          <w:jc w:val="center"/>
        </w:trPr>
        <w:tc>
          <w:tcPr>
            <w:tcW w:w="834" w:type="dxa"/>
            <w:noWrap w:val="0"/>
            <w:vAlign w:val="center"/>
          </w:tcPr>
          <w:p w14:paraId="5D51BAAF">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 w:val="24"/>
                <w:szCs w:val="24"/>
              </w:rPr>
              <w:t>其他</w:t>
            </w:r>
          </w:p>
        </w:tc>
        <w:tc>
          <w:tcPr>
            <w:tcW w:w="7688" w:type="dxa"/>
            <w:noWrap w:val="0"/>
            <w:vAlign w:val="center"/>
          </w:tcPr>
          <w:p w14:paraId="1CF802D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color w:val="auto"/>
                <w:sz w:val="24"/>
                <w:szCs w:val="24"/>
                <w:lang w:val="en-US" w:eastAsia="zh-CN"/>
              </w:rPr>
            </w:pPr>
          </w:p>
          <w:p w14:paraId="23E1D32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color w:val="auto"/>
                <w:sz w:val="24"/>
                <w:szCs w:val="24"/>
                <w:lang w:val="en-US" w:eastAsia="zh-CN"/>
              </w:rPr>
            </w:pPr>
          </w:p>
          <w:p w14:paraId="2AA9507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olor w:val="auto"/>
                <w:lang w:val="en-US" w:eastAsia="zh-CN"/>
              </w:rPr>
            </w:pPr>
            <w:r>
              <w:rPr>
                <w:rFonts w:hint="default" w:ascii="Times New Roman" w:hAnsi="Times New Roman" w:eastAsia="宋体" w:cs="Times New Roman"/>
                <w:bCs/>
                <w:color w:val="auto"/>
                <w:sz w:val="24"/>
                <w:szCs w:val="24"/>
                <w:lang w:val="en-US" w:eastAsia="zh-CN"/>
              </w:rPr>
              <w:t>根据国家总量控制指标结合本项目所在区域的环境特征及本项目排污情况，本项目不设总量控制指标。</w:t>
            </w:r>
          </w:p>
          <w:p w14:paraId="6EC5A988">
            <w:pPr>
              <w:jc w:val="both"/>
              <w:rPr>
                <w:rFonts w:hint="default"/>
                <w:color w:val="auto"/>
                <w:lang w:val="en-US" w:eastAsia="zh-CN"/>
              </w:rPr>
            </w:pPr>
          </w:p>
          <w:p w14:paraId="5240728C">
            <w:pPr>
              <w:rPr>
                <w:rFonts w:hint="default"/>
                <w:color w:val="auto"/>
                <w:lang w:val="en-US" w:eastAsia="zh-CN"/>
              </w:rPr>
            </w:pPr>
          </w:p>
        </w:tc>
      </w:tr>
    </w:tbl>
    <w:p w14:paraId="176E00DE">
      <w:pPr>
        <w:pStyle w:val="29"/>
        <w:adjustRightInd w:val="0"/>
        <w:snapToGrid w:val="0"/>
        <w:spacing w:before="0" w:beforeAutospacing="0" w:after="0" w:afterAutospacing="0" w:line="14" w:lineRule="auto"/>
        <w:jc w:val="center"/>
        <w:outlineLvl w:val="0"/>
        <w:rPr>
          <w:rFonts w:hint="default" w:ascii="Times New Roman" w:hAnsi="Times New Roman" w:eastAsia="宋体" w:cs="Times New Roman"/>
          <w:snapToGrid w:val="0"/>
          <w:color w:val="auto"/>
          <w:kern w:val="2"/>
          <w:sz w:val="36"/>
          <w:szCs w:val="36"/>
        </w:rPr>
      </w:pPr>
    </w:p>
    <w:p w14:paraId="74B53EE2">
      <w:pPr>
        <w:pStyle w:val="29"/>
        <w:jc w:val="center"/>
        <w:outlineLvl w:val="0"/>
        <w:rPr>
          <w:rFonts w:hint="default" w:ascii="Times New Roman" w:hAnsi="Times New Roman" w:eastAsia="宋体" w:cs="Times New Roman"/>
          <w:snapToGrid w:val="0"/>
          <w:color w:val="auto"/>
          <w:sz w:val="30"/>
          <w:szCs w:val="30"/>
        </w:rPr>
      </w:pPr>
      <w:r>
        <w:rPr>
          <w:rFonts w:hint="default" w:ascii="Times New Roman" w:hAnsi="Times New Roman" w:eastAsia="宋体" w:cs="Times New Roman"/>
          <w:snapToGrid w:val="0"/>
          <w:color w:val="auto"/>
          <w:kern w:val="2"/>
          <w:sz w:val="36"/>
          <w:szCs w:val="36"/>
        </w:rPr>
        <w:br w:type="page"/>
      </w:r>
      <w:r>
        <w:rPr>
          <w:rFonts w:hint="eastAsia" w:ascii="黑体" w:hAnsi="黑体" w:eastAsia="黑体" w:cs="黑体"/>
          <w:snapToGrid w:val="0"/>
          <w:color w:val="auto"/>
          <w:sz w:val="30"/>
          <w:szCs w:val="30"/>
        </w:rPr>
        <w:t>四、生态环境影响分析</w:t>
      </w:r>
    </w:p>
    <w:tbl>
      <w:tblPr>
        <w:tblStyle w:val="32"/>
        <w:tblW w:w="875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31"/>
        <w:gridCol w:w="7820"/>
      </w:tblGrid>
      <w:tr w14:paraId="6BBF29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931" w:type="dxa"/>
            <w:noWrap w:val="0"/>
            <w:tcMar>
              <w:left w:w="28" w:type="dxa"/>
              <w:right w:w="28" w:type="dxa"/>
            </w:tcMar>
            <w:vAlign w:val="center"/>
          </w:tcPr>
          <w:p w14:paraId="73DA872B">
            <w:pPr>
              <w:pStyle w:val="29"/>
              <w:adjustRightInd w:val="0"/>
              <w:snapToGrid w:val="0"/>
              <w:spacing w:before="0" w:beforeAutospacing="0" w:after="0" w:afterAutospacing="0"/>
              <w:jc w:val="center"/>
              <w:rPr>
                <w:rFonts w:hint="default" w:ascii="Times New Roman" w:hAnsi="Times New Roman" w:eastAsia="宋体" w:cs="Times New Roman"/>
                <w:bCs/>
                <w:color w:val="auto"/>
                <w:kern w:val="2"/>
                <w:sz w:val="24"/>
                <w:szCs w:val="24"/>
              </w:rPr>
            </w:pPr>
            <w:r>
              <w:rPr>
                <w:rFonts w:hint="default" w:ascii="Times New Roman" w:hAnsi="Times New Roman" w:eastAsia="宋体" w:cs="Times New Roman"/>
                <w:bCs/>
                <w:color w:val="auto"/>
                <w:spacing w:val="10"/>
                <w:kern w:val="2"/>
                <w:sz w:val="24"/>
                <w:szCs w:val="24"/>
              </w:rPr>
              <w:t>运营期生态环境影响分析</w:t>
            </w:r>
          </w:p>
        </w:tc>
        <w:tc>
          <w:tcPr>
            <w:tcW w:w="7820" w:type="dxa"/>
            <w:noWrap w:val="0"/>
            <w:vAlign w:val="top"/>
          </w:tcPr>
          <w:p w14:paraId="66D0F98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kern w:val="0"/>
                <w:sz w:val="24"/>
                <w:szCs w:val="24"/>
                <w:highlight w:val="none"/>
              </w:rPr>
            </w:pPr>
            <w:r>
              <w:rPr>
                <w:rFonts w:hint="eastAsia" w:ascii="Times New Roman" w:hAnsi="Times New Roman" w:eastAsia="宋体" w:cs="Times New Roman"/>
                <w:b/>
                <w:bCs/>
                <w:color w:val="auto"/>
                <w:kern w:val="0"/>
                <w:sz w:val="24"/>
                <w:szCs w:val="24"/>
                <w:highlight w:val="none"/>
                <w:lang w:val="en-US" w:eastAsia="zh-CN"/>
              </w:rPr>
              <w:t>1.</w:t>
            </w:r>
            <w:r>
              <w:rPr>
                <w:rFonts w:hint="default" w:ascii="Times New Roman" w:hAnsi="Times New Roman" w:eastAsia="宋体" w:cs="Times New Roman"/>
                <w:b/>
                <w:bCs/>
                <w:color w:val="auto"/>
                <w:kern w:val="0"/>
                <w:sz w:val="24"/>
                <w:szCs w:val="24"/>
                <w:highlight w:val="none"/>
              </w:rPr>
              <w:t>大气</w:t>
            </w:r>
            <w:r>
              <w:rPr>
                <w:rFonts w:hint="eastAsia" w:ascii="Times New Roman" w:hAnsi="Times New Roman" w:eastAsia="宋体" w:cs="Times New Roman"/>
                <w:b/>
                <w:bCs/>
                <w:color w:val="auto"/>
                <w:kern w:val="0"/>
                <w:sz w:val="24"/>
                <w:szCs w:val="24"/>
                <w:highlight w:val="none"/>
                <w:lang w:val="en-US" w:eastAsia="zh-CN"/>
              </w:rPr>
              <w:t>影响</w:t>
            </w:r>
            <w:r>
              <w:rPr>
                <w:rFonts w:hint="default" w:ascii="Times New Roman" w:hAnsi="Times New Roman" w:eastAsia="宋体" w:cs="Times New Roman"/>
                <w:b/>
                <w:bCs/>
                <w:color w:val="auto"/>
                <w:kern w:val="0"/>
                <w:sz w:val="24"/>
                <w:szCs w:val="24"/>
                <w:highlight w:val="none"/>
              </w:rPr>
              <w:t>分析</w:t>
            </w:r>
          </w:p>
          <w:p w14:paraId="52B01BEB">
            <w:pPr>
              <w:keepNext w:val="0"/>
              <w:keepLines w:val="0"/>
              <w:pageBreakBefore w:val="0"/>
              <w:widowControl w:val="0"/>
              <w:kinsoku/>
              <w:wordWrap/>
              <w:overflowPunct/>
              <w:topLinePunct w:val="0"/>
              <w:autoSpaceDE/>
              <w:autoSpaceDN/>
              <w:bidi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rPr>
              <w:t>本项目运营期产生的大气污染物主要有开采、运输扬尘、临时废石场堆放粉尘</w:t>
            </w:r>
            <w:r>
              <w:rPr>
                <w:rFonts w:hint="default" w:ascii="Times New Roman" w:hAnsi="Times New Roman" w:eastAsia="宋体" w:cs="Times New Roman"/>
                <w:bCs/>
                <w:color w:val="auto"/>
                <w:sz w:val="24"/>
                <w:highlight w:val="none"/>
              </w:rPr>
              <w:t>、道路扬尘</w:t>
            </w:r>
            <w:r>
              <w:rPr>
                <w:rFonts w:hint="eastAsia" w:ascii="Times New Roman" w:hAnsi="Times New Roman" w:eastAsia="宋体" w:cs="Times New Roman"/>
                <w:bCs/>
                <w:color w:val="auto"/>
                <w:sz w:val="24"/>
                <w:highlight w:val="none"/>
                <w:lang w:val="en-US" w:eastAsia="zh-CN"/>
              </w:rPr>
              <w:t>及</w:t>
            </w:r>
            <w:r>
              <w:rPr>
                <w:rFonts w:hint="default" w:ascii="Times New Roman" w:hAnsi="Times New Roman" w:eastAsia="宋体" w:cs="Times New Roman"/>
                <w:bCs/>
                <w:color w:val="auto"/>
                <w:sz w:val="24"/>
                <w:highlight w:val="none"/>
              </w:rPr>
              <w:t>筛分粉尘等。</w:t>
            </w:r>
          </w:p>
          <w:p w14:paraId="217E62E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highlight w:val="none"/>
              </w:rPr>
            </w:pPr>
            <w:r>
              <w:rPr>
                <w:rFonts w:hint="eastAsia" w:ascii="Times New Roman" w:hAnsi="Times New Roman" w:eastAsia="宋体" w:cs="Times New Roman"/>
                <w:b/>
                <w:bCs/>
                <w:color w:val="auto"/>
                <w:sz w:val="24"/>
                <w:highlight w:val="none"/>
                <w:lang w:val="en-US" w:eastAsia="zh-CN"/>
              </w:rPr>
              <w:t>2.</w:t>
            </w:r>
            <w:r>
              <w:rPr>
                <w:rFonts w:hint="default" w:ascii="Times New Roman" w:hAnsi="Times New Roman" w:eastAsia="宋体" w:cs="Times New Roman"/>
                <w:b/>
                <w:bCs/>
                <w:color w:val="auto"/>
                <w:sz w:val="24"/>
                <w:highlight w:val="none"/>
              </w:rPr>
              <w:t>水污染影响因素分析</w:t>
            </w:r>
          </w:p>
          <w:p w14:paraId="5CD3C31D">
            <w:pPr>
              <w:adjustRightInd w:val="0"/>
              <w:snapToGrid w:val="0"/>
              <w:spacing w:line="360" w:lineRule="auto"/>
              <w:ind w:firstLine="480" w:firstLineChars="200"/>
              <w:rPr>
                <w:rFonts w:hint="eastAsia"/>
                <w:color w:val="auto"/>
                <w:sz w:val="24"/>
                <w:highlight w:val="none"/>
              </w:rPr>
            </w:pPr>
            <w:r>
              <w:rPr>
                <w:color w:val="auto"/>
                <w:kern w:val="24"/>
                <w:sz w:val="24"/>
                <w:szCs w:val="20"/>
              </w:rPr>
              <w:t>运营期生产废水主要为洗砂废水，废水中主要含大量的泥沙悬浮物，废水经防渗沉淀池处理后回用，不外排；项目降尘用水</w:t>
            </w:r>
            <w:r>
              <w:rPr>
                <w:bCs/>
                <w:color w:val="auto"/>
                <w:kern w:val="24"/>
                <w:sz w:val="24"/>
                <w:szCs w:val="20"/>
              </w:rPr>
              <w:t>渗入裂隙或自然蒸发，不外排。</w:t>
            </w:r>
            <w:r>
              <w:rPr>
                <w:rFonts w:hint="eastAsia"/>
                <w:color w:val="auto"/>
                <w:sz w:val="24"/>
                <w:highlight w:val="none"/>
              </w:rPr>
              <w:t>生活污水排入化粪池定期拉运至吐鲁番市高昌区污水处理厂处理。</w:t>
            </w:r>
          </w:p>
          <w:p w14:paraId="03D918D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val="en-US" w:eastAsia="zh-CN"/>
              </w:rPr>
              <w:t>3.</w:t>
            </w:r>
            <w:r>
              <w:rPr>
                <w:rFonts w:hint="default" w:ascii="Times New Roman" w:hAnsi="Times New Roman" w:eastAsia="宋体" w:cs="Times New Roman"/>
                <w:b/>
                <w:bCs/>
                <w:color w:val="auto"/>
                <w:sz w:val="24"/>
                <w:highlight w:val="none"/>
                <w:lang w:eastAsia="zh-CN"/>
              </w:rPr>
              <w:t>声环境影响分析</w:t>
            </w:r>
          </w:p>
          <w:p w14:paraId="46762E18">
            <w:pPr>
              <w:adjustRightInd w:val="0"/>
              <w:snapToGrid w:val="0"/>
              <w:spacing w:line="360" w:lineRule="auto"/>
              <w:ind w:firstLine="480" w:firstLineChars="200"/>
              <w:jc w:val="left"/>
              <w:rPr>
                <w:rFonts w:hint="default" w:ascii="Times New Roman" w:hAnsi="Times New Roman" w:eastAsia="仿宋_GB2312" w:cs="Times New Roman"/>
                <w:color w:val="auto"/>
                <w:sz w:val="24"/>
                <w:szCs w:val="24"/>
                <w:highlight w:val="none"/>
              </w:rPr>
            </w:pPr>
            <w:r>
              <w:rPr>
                <w:rFonts w:hint="default" w:ascii="Times New Roman" w:hAnsi="Times New Roman" w:eastAsia="宋体" w:cs="Times New Roman"/>
                <w:b w:val="0"/>
                <w:bCs w:val="0"/>
                <w:color w:val="auto"/>
                <w:sz w:val="24"/>
                <w:highlight w:val="none"/>
                <w:lang w:val="en-US" w:eastAsia="zh-CN"/>
              </w:rPr>
              <w:t>项目营运后，噪声对外环境影响较小。</w:t>
            </w:r>
          </w:p>
          <w:p w14:paraId="235E4426">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both"/>
              <w:textAlignment w:val="auto"/>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lang w:val="en-US" w:eastAsia="zh-CN"/>
              </w:rPr>
              <w:t>固体废物</w:t>
            </w:r>
            <w:r>
              <w:rPr>
                <w:rFonts w:hint="default" w:ascii="Times New Roman" w:hAnsi="Times New Roman" w:eastAsia="宋体" w:cs="Times New Roman"/>
                <w:b/>
                <w:bCs w:val="0"/>
                <w:color w:val="auto"/>
                <w:sz w:val="24"/>
                <w:highlight w:val="none"/>
                <w:lang w:val="en-US" w:eastAsia="zh-CN"/>
              </w:rPr>
              <w:t>环境影响分析</w:t>
            </w:r>
          </w:p>
          <w:p w14:paraId="33FFAE59">
            <w:pPr>
              <w:topLinePunct/>
              <w:spacing w:line="360" w:lineRule="auto"/>
              <w:ind w:firstLine="480" w:firstLineChars="200"/>
              <w:rPr>
                <w:color w:val="auto"/>
                <w:sz w:val="24"/>
              </w:rPr>
            </w:pPr>
            <w:r>
              <w:rPr>
                <w:color w:val="auto"/>
                <w:sz w:val="24"/>
              </w:rPr>
              <w:t>项目生产期间产生的固体废弃物主要是</w:t>
            </w:r>
            <w:r>
              <w:rPr>
                <w:rFonts w:hint="eastAsia"/>
                <w:color w:val="auto"/>
                <w:sz w:val="24"/>
              </w:rPr>
              <w:t>废石</w:t>
            </w:r>
            <w:r>
              <w:rPr>
                <w:color w:val="auto"/>
                <w:sz w:val="24"/>
              </w:rPr>
              <w:t>、生活垃圾</w:t>
            </w:r>
            <w:r>
              <w:rPr>
                <w:rFonts w:hint="eastAsia"/>
                <w:color w:val="auto"/>
                <w:sz w:val="24"/>
                <w:lang w:eastAsia="zh-CN"/>
              </w:rPr>
              <w:t>、</w:t>
            </w:r>
            <w:r>
              <w:rPr>
                <w:rFonts w:hint="eastAsia"/>
                <w:color w:val="auto"/>
                <w:sz w:val="24"/>
                <w:lang w:val="en-US" w:eastAsia="zh-CN"/>
              </w:rPr>
              <w:t>废润滑油、除尘器收集的粉尘及废布袋，固体废物合理处置，</w:t>
            </w:r>
            <w:r>
              <w:rPr>
                <w:rFonts w:hint="default" w:ascii="Times New Roman" w:hAnsi="Times New Roman" w:cs="Times New Roman"/>
                <w:sz w:val="24"/>
                <w:szCs w:val="20"/>
                <w:lang w:eastAsia="zh-CN"/>
              </w:rPr>
              <w:t>因此不会对周围环境产生明显影响</w:t>
            </w:r>
            <w:r>
              <w:rPr>
                <w:color w:val="auto"/>
                <w:sz w:val="24"/>
              </w:rPr>
              <w:t>。</w:t>
            </w:r>
          </w:p>
          <w:p w14:paraId="4E9A9ED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Times New Roman"/>
                <w:b/>
                <w:bCs/>
                <w:color w:val="auto"/>
                <w:sz w:val="24"/>
                <w:szCs w:val="24"/>
                <w:lang w:val="en-US" w:eastAsia="zh-CN"/>
              </w:rPr>
            </w:pPr>
            <w:r>
              <w:rPr>
                <w:rFonts w:hint="eastAsia" w:cs="Times New Roman"/>
                <w:b/>
                <w:bCs/>
                <w:color w:val="auto"/>
                <w:sz w:val="24"/>
                <w:szCs w:val="24"/>
                <w:lang w:val="en-US" w:eastAsia="zh-CN"/>
              </w:rPr>
              <w:t>5</w:t>
            </w:r>
            <w:r>
              <w:rPr>
                <w:rFonts w:hint="eastAsia" w:ascii="Times New Roman" w:hAnsi="Times New Roman" w:eastAsia="宋体" w:cs="Times New Roman"/>
                <w:b/>
                <w:bCs/>
                <w:color w:val="auto"/>
                <w:sz w:val="24"/>
                <w:szCs w:val="24"/>
                <w:lang w:val="en-US" w:eastAsia="zh-CN"/>
              </w:rPr>
              <w:t>.生态环境影响分析</w:t>
            </w:r>
          </w:p>
          <w:p w14:paraId="11E26B51">
            <w:pPr>
              <w:pStyle w:val="60"/>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矿山建设项目在其建设和生产过程中将不可避免地会占用和破坏一定量的土地，其中占用土地指生产、生活设施及开发破坏影响的土地；破坏的土地指露天采区、</w:t>
            </w:r>
            <w:r>
              <w:rPr>
                <w:rFonts w:hint="eastAsia" w:ascii="Times New Roman" w:hAnsi="Times New Roman" w:eastAsia="宋体" w:cs="Times New Roman"/>
                <w:color w:val="auto"/>
                <w:kern w:val="2"/>
                <w:sz w:val="24"/>
                <w:szCs w:val="24"/>
                <w:highlight w:val="none"/>
                <w:lang w:val="en-US" w:eastAsia="zh-CN" w:bidi="ar-SA"/>
              </w:rPr>
              <w:t>废石</w:t>
            </w:r>
            <w:r>
              <w:rPr>
                <w:rFonts w:hint="default" w:ascii="Times New Roman" w:hAnsi="Times New Roman" w:eastAsia="宋体" w:cs="Times New Roman"/>
                <w:color w:val="auto"/>
                <w:kern w:val="2"/>
                <w:sz w:val="24"/>
                <w:szCs w:val="24"/>
                <w:highlight w:val="none"/>
                <w:lang w:val="en-US" w:eastAsia="zh-CN" w:bidi="ar-SA"/>
              </w:rPr>
              <w:t>堆场及其它矿山地质灾害破坏的土地面积等。</w:t>
            </w:r>
          </w:p>
          <w:p w14:paraId="3DA797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就整个评价区域来看，由于人为的活动影响和改造，使生态系统结构发生了一定的变化，虽然改变了局部地带生态系统，但就整个区域来说，对生态系统不会产生明显影响。</w:t>
            </w:r>
          </w:p>
          <w:p w14:paraId="0568A01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highlight w:val="none"/>
                <w:lang w:val="en-US" w:eastAsia="zh-CN"/>
              </w:rPr>
            </w:pPr>
            <w:r>
              <w:rPr>
                <w:rFonts w:hint="eastAsia" w:cs="Times New Roman"/>
                <w:b/>
                <w:bCs/>
                <w:color w:val="auto"/>
                <w:sz w:val="24"/>
                <w:highlight w:val="none"/>
                <w:lang w:val="en-US" w:eastAsia="zh-CN"/>
              </w:rPr>
              <w:t>6</w:t>
            </w:r>
            <w:r>
              <w:rPr>
                <w:rFonts w:hint="eastAsia" w:ascii="Times New Roman" w:hAnsi="Times New Roman" w:eastAsia="宋体" w:cs="Times New Roman"/>
                <w:b/>
                <w:bCs/>
                <w:color w:val="auto"/>
                <w:sz w:val="24"/>
                <w:highlight w:val="none"/>
                <w:lang w:val="en-US" w:eastAsia="zh-CN"/>
              </w:rPr>
              <w:t>.</w:t>
            </w:r>
            <w:r>
              <w:rPr>
                <w:rFonts w:hint="default" w:ascii="Times New Roman" w:hAnsi="Times New Roman" w:eastAsia="宋体" w:cs="Times New Roman"/>
                <w:b/>
                <w:bCs/>
                <w:color w:val="auto"/>
                <w:sz w:val="24"/>
                <w:highlight w:val="none"/>
                <w:lang w:val="en-US" w:eastAsia="zh-CN"/>
              </w:rPr>
              <w:t>环境风险影响分析</w:t>
            </w:r>
          </w:p>
          <w:p w14:paraId="649E57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lang w:eastAsia="zh-CN"/>
              </w:rPr>
            </w:pPr>
            <w:r>
              <w:rPr>
                <w:rFonts w:hint="default" w:ascii="Times New Roman" w:hAnsi="Times New Roman" w:eastAsia="宋体" w:cs="Times New Roman"/>
                <w:color w:val="auto"/>
                <w:sz w:val="24"/>
              </w:rPr>
              <w:t>项目生产过程中涉及的危险物质为</w:t>
            </w:r>
            <w:r>
              <w:rPr>
                <w:rFonts w:hint="eastAsia" w:ascii="Times New Roman" w:hAnsi="Times New Roman" w:eastAsia="宋体" w:cs="Times New Roman"/>
                <w:color w:val="auto"/>
                <w:sz w:val="24"/>
                <w:lang w:val="en-US" w:eastAsia="zh-CN"/>
              </w:rPr>
              <w:t>废</w:t>
            </w:r>
            <w:r>
              <w:rPr>
                <w:rFonts w:hint="eastAsia" w:cs="Times New Roman"/>
                <w:color w:val="auto"/>
                <w:sz w:val="24"/>
                <w:lang w:val="en-US" w:eastAsia="zh-CN"/>
              </w:rPr>
              <w:t>润滑油</w:t>
            </w:r>
            <w:r>
              <w:rPr>
                <w:rFonts w:hint="default" w:ascii="Times New Roman" w:hAnsi="Times New Roman" w:eastAsia="宋体" w:cs="Times New Roman"/>
                <w:color w:val="auto"/>
                <w:sz w:val="24"/>
              </w:rPr>
              <w:t>。本项目危险物质影响环境的途径包括</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废</w:t>
            </w:r>
            <w:r>
              <w:rPr>
                <w:rFonts w:hint="eastAsia" w:cs="Times New Roman"/>
                <w:color w:val="auto"/>
                <w:sz w:val="24"/>
                <w:lang w:val="en-US" w:eastAsia="zh-CN"/>
              </w:rPr>
              <w:t>润滑油</w:t>
            </w:r>
            <w:r>
              <w:rPr>
                <w:rFonts w:hint="default" w:ascii="Times New Roman" w:hAnsi="Times New Roman" w:eastAsia="宋体" w:cs="Times New Roman"/>
                <w:color w:val="auto"/>
                <w:sz w:val="24"/>
              </w:rPr>
              <w:t>落地污染地，造成地下水、大气、土壤环境污染，影响地下水、空气、土壤环境质量；废石场溃坝、滑坡、泥石流等地质灾害、采矿引起采坑边坡崩塌等地质灾害等</w:t>
            </w:r>
            <w:r>
              <w:rPr>
                <w:rFonts w:hint="eastAsia" w:ascii="Times New Roman" w:hAnsi="Times New Roman" w:eastAsia="宋体" w:cs="Times New Roman"/>
                <w:color w:val="auto"/>
                <w:sz w:val="24"/>
                <w:lang w:eastAsia="zh-CN"/>
              </w:rPr>
              <w:t>。</w:t>
            </w:r>
          </w:p>
          <w:p w14:paraId="4EA7F56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highlight w:val="none"/>
                <w:lang w:val="en-US" w:eastAsia="zh-CN"/>
              </w:rPr>
            </w:pPr>
            <w:r>
              <w:rPr>
                <w:rFonts w:hint="eastAsia" w:cs="Times New Roman"/>
                <w:b/>
                <w:bCs/>
                <w:color w:val="auto"/>
                <w:sz w:val="24"/>
                <w:highlight w:val="none"/>
                <w:lang w:val="en-US" w:eastAsia="zh-CN"/>
              </w:rPr>
              <w:t>7</w:t>
            </w:r>
            <w:r>
              <w:rPr>
                <w:rFonts w:hint="eastAsia" w:ascii="Times New Roman" w:hAnsi="Times New Roman" w:eastAsia="宋体" w:cs="Times New Roman"/>
                <w:b/>
                <w:bCs/>
                <w:color w:val="auto"/>
                <w:sz w:val="24"/>
                <w:highlight w:val="none"/>
                <w:lang w:val="en-US" w:eastAsia="zh-CN"/>
              </w:rPr>
              <w:t>.</w:t>
            </w:r>
            <w:r>
              <w:rPr>
                <w:rFonts w:hint="default" w:ascii="Times New Roman" w:hAnsi="Times New Roman" w:eastAsia="宋体" w:cs="Times New Roman"/>
                <w:b/>
                <w:bCs/>
                <w:color w:val="auto"/>
                <w:sz w:val="24"/>
                <w:highlight w:val="none"/>
                <w:lang w:val="en-US" w:eastAsia="zh-CN"/>
              </w:rPr>
              <w:t>退役期环境影响分析</w:t>
            </w:r>
          </w:p>
          <w:p w14:paraId="6A3B7477">
            <w:pPr>
              <w:spacing w:line="360" w:lineRule="auto"/>
              <w:ind w:firstLine="470" w:firstLineChars="196"/>
              <w:jc w:val="both"/>
              <w:outlineLvl w:val="2"/>
              <w:rPr>
                <w:rFonts w:hint="default" w:ascii="Times New Roman" w:hAnsi="Times New Roman" w:eastAsia="宋体" w:cs="Times New Roman"/>
                <w:bCs/>
                <w:color w:val="auto"/>
                <w:szCs w:val="21"/>
              </w:rPr>
            </w:pPr>
            <w:r>
              <w:rPr>
                <w:rFonts w:hint="default" w:ascii="Times New Roman" w:hAnsi="Times New Roman" w:eastAsia="宋体" w:cs="Times New Roman"/>
                <w:color w:val="auto"/>
                <w:sz w:val="24"/>
              </w:rPr>
              <w:t>根据项目生态整治规划，在设计初期制定生态恢复方案，在营运过程中将采取边开发边治理措施，确保土地复垦规划、水土保持工程和生物措施的逐步实施，采取以上措施后，矿区生态环境将逐步得到改善和恢复。</w:t>
            </w:r>
          </w:p>
        </w:tc>
      </w:tr>
    </w:tbl>
    <w:p w14:paraId="7EEC300A">
      <w:pPr>
        <w:pStyle w:val="29"/>
        <w:jc w:val="center"/>
        <w:rPr>
          <w:rFonts w:hint="default" w:ascii="Times New Roman" w:hAnsi="Times New Roman" w:eastAsia="宋体" w:cs="Times New Roman"/>
          <w:snapToGrid w:val="0"/>
          <w:color w:val="auto"/>
          <w:sz w:val="36"/>
          <w:szCs w:val="36"/>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p>
    <w:p w14:paraId="52D6F391">
      <w:pPr>
        <w:pStyle w:val="29"/>
        <w:adjustRightInd w:val="0"/>
        <w:snapToGrid w:val="0"/>
        <w:spacing w:before="0" w:beforeAutospacing="0" w:after="0" w:afterAutospacing="0" w:line="14" w:lineRule="auto"/>
        <w:jc w:val="center"/>
        <w:outlineLvl w:val="0"/>
        <w:rPr>
          <w:rFonts w:hint="default" w:ascii="Times New Roman" w:hAnsi="Times New Roman" w:eastAsia="宋体" w:cs="Times New Roman"/>
          <w:snapToGrid w:val="0"/>
          <w:color w:val="auto"/>
          <w:sz w:val="30"/>
          <w:szCs w:val="30"/>
        </w:rPr>
      </w:pPr>
    </w:p>
    <w:p w14:paraId="2ACA0282">
      <w:pPr>
        <w:pStyle w:val="29"/>
        <w:keepNext w:val="0"/>
        <w:keepLines w:val="0"/>
        <w:pageBreakBefore w:val="0"/>
        <w:widowControl/>
        <w:kinsoku/>
        <w:wordWrap/>
        <w:overflowPunct/>
        <w:topLinePunct w:val="0"/>
        <w:autoSpaceDE/>
        <w:autoSpaceDN/>
        <w:bidi w:val="0"/>
        <w:adjustRightInd/>
        <w:snapToGrid/>
        <w:spacing w:line="0" w:lineRule="atLeast"/>
        <w:jc w:val="center"/>
        <w:textAlignment w:val="auto"/>
        <w:outlineLvl w:val="0"/>
        <w:rPr>
          <w:rFonts w:hint="eastAsia" w:ascii="黑体" w:hAnsi="黑体" w:eastAsia="黑体" w:cs="黑体"/>
          <w:snapToGrid w:val="0"/>
          <w:color w:val="auto"/>
          <w:sz w:val="30"/>
          <w:szCs w:val="30"/>
        </w:rPr>
      </w:pPr>
      <w:r>
        <w:rPr>
          <w:rFonts w:hint="eastAsia" w:ascii="黑体" w:hAnsi="黑体" w:eastAsia="黑体" w:cs="黑体"/>
          <w:snapToGrid w:val="0"/>
          <w:color w:val="auto"/>
          <w:sz w:val="30"/>
          <w:szCs w:val="30"/>
        </w:rPr>
        <w:t>五、主要生态环境保护措施</w:t>
      </w:r>
    </w:p>
    <w:tbl>
      <w:tblPr>
        <w:tblStyle w:val="32"/>
        <w:tblW w:w="868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0"/>
        <w:gridCol w:w="7800"/>
      </w:tblGrid>
      <w:tr w14:paraId="2B5009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07" w:hRule="atLeast"/>
          <w:jc w:val="center"/>
        </w:trPr>
        <w:tc>
          <w:tcPr>
            <w:tcW w:w="880" w:type="dxa"/>
            <w:noWrap w:val="0"/>
            <w:tcMar>
              <w:left w:w="28" w:type="dxa"/>
              <w:right w:w="28" w:type="dxa"/>
            </w:tcMar>
            <w:vAlign w:val="center"/>
          </w:tcPr>
          <w:p w14:paraId="6B38D684">
            <w:pPr>
              <w:adjustRightInd w:val="0"/>
              <w:snapToGrid w:val="0"/>
              <w:jc w:val="center"/>
              <w:rPr>
                <w:rFonts w:hint="default" w:ascii="Times New Roman" w:hAnsi="Times New Roman" w:eastAsia="宋体" w:cs="Times New Roman"/>
                <w:bCs/>
                <w:color w:val="auto"/>
                <w:spacing w:val="10"/>
                <w:szCs w:val="21"/>
              </w:rPr>
            </w:pPr>
            <w:r>
              <w:rPr>
                <w:rFonts w:hint="default" w:ascii="Times New Roman" w:hAnsi="Times New Roman" w:eastAsia="宋体" w:cs="Times New Roman"/>
                <w:bCs/>
                <w:color w:val="auto"/>
                <w:spacing w:val="10"/>
                <w:szCs w:val="21"/>
              </w:rPr>
              <w:t>运营期生态环境保护措施</w:t>
            </w:r>
          </w:p>
        </w:tc>
        <w:tc>
          <w:tcPr>
            <w:tcW w:w="7800" w:type="dxa"/>
            <w:noWrap w:val="0"/>
            <w:vAlign w:val="top"/>
          </w:tcPr>
          <w:p w14:paraId="468B8FCB">
            <w:pPr>
              <w:spacing w:before="120" w:beforeLines="50" w:line="360" w:lineRule="auto"/>
              <w:ind w:firstLine="482" w:firstLineChars="200"/>
              <w:rPr>
                <w:b/>
                <w:color w:val="auto"/>
                <w:sz w:val="24"/>
              </w:rPr>
            </w:pPr>
            <w:r>
              <w:rPr>
                <w:b/>
                <w:color w:val="auto"/>
                <w:sz w:val="24"/>
              </w:rPr>
              <w:t>1、生态保护措施</w:t>
            </w:r>
          </w:p>
          <w:p w14:paraId="7C0FD760">
            <w:pPr>
              <w:adjustRightInd w:val="0"/>
              <w:snapToGrid w:val="0"/>
              <w:spacing w:line="360" w:lineRule="auto"/>
              <w:ind w:firstLine="480" w:firstLineChars="200"/>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严格控制开采边界，避免大量破坏地表植被；固定运输道路，严禁随意乱开便道；保持表土，开采完后覆土恢复地表，做好生态补偿。</w:t>
            </w:r>
          </w:p>
          <w:p w14:paraId="5A8E3BB6">
            <w:pPr>
              <w:pStyle w:val="4"/>
              <w:keepNext w:val="0"/>
              <w:keepLines w:val="0"/>
              <w:pageBreakBefore w:val="0"/>
              <w:widowControl w:val="0"/>
              <w:kinsoku/>
              <w:wordWrap/>
              <w:overflowPunct/>
              <w:topLinePunct w:val="0"/>
              <w:autoSpaceDE/>
              <w:autoSpaceDN/>
              <w:bidi w:val="0"/>
              <w:adjustRightInd/>
              <w:snapToGrid/>
              <w:spacing w:before="0" w:line="360" w:lineRule="auto"/>
              <w:ind w:firstLine="482" w:firstLineChars="200"/>
              <w:textAlignment w:val="auto"/>
              <w:rPr>
                <w:rFonts w:hint="default" w:ascii="Times New Roman" w:hAnsi="Times New Roman" w:eastAsia="宋体" w:cs="Times New Roman"/>
                <w:color w:val="auto"/>
                <w:kern w:val="0"/>
                <w:sz w:val="24"/>
                <w:highlight w:val="none"/>
              </w:rPr>
            </w:pPr>
            <w:r>
              <w:rPr>
                <w:rFonts w:hint="eastAsia"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大气环境</w:t>
            </w:r>
            <w:r>
              <w:rPr>
                <w:rFonts w:hint="default" w:ascii="Times New Roman" w:hAnsi="Times New Roman" w:eastAsia="宋体" w:cs="Times New Roman"/>
                <w:color w:val="auto"/>
                <w:sz w:val="24"/>
                <w:szCs w:val="24"/>
                <w:highlight w:val="none"/>
                <w:lang w:eastAsia="zh-CN"/>
              </w:rPr>
              <w:t>保护措施</w:t>
            </w:r>
          </w:p>
          <w:p w14:paraId="4ECACE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sz w:val="24"/>
                <w:szCs w:val="24"/>
                <w:highlight w:val="none"/>
                <w:lang w:val="en-US" w:eastAsia="zh-CN"/>
              </w:rPr>
              <w:t>各个</w:t>
            </w:r>
            <w:r>
              <w:rPr>
                <w:rFonts w:hint="default" w:ascii="Times New Roman" w:hAnsi="Times New Roman" w:eastAsia="宋体" w:cs="Times New Roman"/>
                <w:sz w:val="24"/>
                <w:szCs w:val="24"/>
                <w:highlight w:val="none"/>
                <w:lang w:val="en-US" w:eastAsia="zh-CN"/>
              </w:rPr>
              <w:t>产尘环节洒水、密闭喷淋、围挡苫盖，</w:t>
            </w:r>
            <w:r>
              <w:rPr>
                <w:rFonts w:hint="default" w:ascii="Times New Roman" w:hAnsi="Times New Roman" w:eastAsia="宋体" w:cs="Times New Roman"/>
                <w:color w:val="auto"/>
                <w:sz w:val="24"/>
                <w:szCs w:val="24"/>
                <w:lang w:val="en-US" w:eastAsia="zh-CN"/>
              </w:rPr>
              <w:t>根据国家关于矿山生态环境保护技术政策要求，对露天开采矿床应采用</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边剥离-边排土-边开采-边复垦</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一体化技术及单元操作工艺，减少扬尘的产生。</w:t>
            </w:r>
          </w:p>
          <w:p w14:paraId="5B83205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val="en-US" w:eastAsia="zh-CN"/>
              </w:rPr>
              <w:t>3.</w:t>
            </w:r>
            <w:r>
              <w:rPr>
                <w:rFonts w:hint="default" w:ascii="Times New Roman" w:hAnsi="Times New Roman" w:eastAsia="宋体" w:cs="Times New Roman"/>
                <w:b/>
                <w:bCs/>
                <w:color w:val="auto"/>
                <w:sz w:val="24"/>
                <w:highlight w:val="none"/>
                <w:lang w:eastAsia="zh-CN"/>
              </w:rPr>
              <w:t>水环境保护措施</w:t>
            </w:r>
          </w:p>
          <w:p w14:paraId="2A9DFEC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highlight w:val="yellow"/>
                <w:lang w:val="en-US" w:eastAsia="zh-CN"/>
              </w:rPr>
            </w:pPr>
            <w:r>
              <w:rPr>
                <w:rFonts w:hint="eastAsia" w:ascii="Times New Roman" w:hAnsi="Times New Roman" w:cs="Times New Roman"/>
                <w:color w:val="auto"/>
                <w:sz w:val="24"/>
                <w:szCs w:val="24"/>
                <w:lang w:eastAsia="zh-CN"/>
              </w:rPr>
              <w:t>本项目洗砂用水循环利用；生活污水排入化粪池定期拉运至吐鲁番市高昌区污水处理厂处理。</w:t>
            </w:r>
          </w:p>
          <w:p w14:paraId="20EB5A5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val="en-US" w:eastAsia="zh-CN"/>
              </w:rPr>
              <w:t>4.</w:t>
            </w:r>
            <w:r>
              <w:rPr>
                <w:rFonts w:hint="default" w:ascii="Times New Roman" w:hAnsi="Times New Roman" w:eastAsia="宋体" w:cs="Times New Roman"/>
                <w:b/>
                <w:bCs/>
                <w:color w:val="auto"/>
                <w:sz w:val="24"/>
                <w:highlight w:val="none"/>
                <w:lang w:eastAsia="zh-CN"/>
              </w:rPr>
              <w:t>声环境保护措施</w:t>
            </w:r>
          </w:p>
          <w:p w14:paraId="70E5AA9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建设单位应建立设备定期维护，保养的管理制度，以防止设备故障形成的非正常生产噪声，同时确保减振、隔声措施发挥最佳有效的功能</w:t>
            </w:r>
            <w:r>
              <w:rPr>
                <w:rFonts w:hint="eastAsia" w:cs="Times New Roman"/>
                <w:color w:val="auto"/>
                <w:sz w:val="24"/>
                <w:lang w:eastAsia="zh-CN"/>
              </w:rPr>
              <w:t>；</w:t>
            </w:r>
            <w:r>
              <w:rPr>
                <w:rFonts w:hint="default" w:ascii="Times New Roman" w:hAnsi="Times New Roman" w:eastAsia="宋体" w:cs="Times New Roman"/>
                <w:color w:val="auto"/>
                <w:sz w:val="24"/>
              </w:rPr>
              <w:t>防止人为噪声</w:t>
            </w:r>
            <w:r>
              <w:rPr>
                <w:rFonts w:hint="eastAsia" w:cs="Times New Roman"/>
                <w:color w:val="auto"/>
                <w:sz w:val="24"/>
                <w:lang w:eastAsia="zh-CN"/>
              </w:rPr>
              <w:t>；</w:t>
            </w:r>
            <w:r>
              <w:rPr>
                <w:rFonts w:hint="default" w:ascii="Times New Roman" w:hAnsi="Times New Roman" w:eastAsia="宋体" w:cs="Times New Roman"/>
                <w:color w:val="auto"/>
                <w:sz w:val="24"/>
              </w:rPr>
              <w:t>强化行车管理制度，设置降噪标准，严禁鸣号。</w:t>
            </w:r>
          </w:p>
          <w:p w14:paraId="39654D31">
            <w:pPr>
              <w:spacing w:line="360" w:lineRule="auto"/>
              <w:ind w:firstLine="482" w:firstLineChars="200"/>
              <w:rPr>
                <w:rFonts w:hint="default"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bCs/>
                <w:color w:val="auto"/>
                <w:sz w:val="24"/>
                <w:highlight w:val="none"/>
                <w:lang w:val="en-US" w:eastAsia="zh-CN"/>
              </w:rPr>
              <w:t>5.</w:t>
            </w:r>
            <w:r>
              <w:rPr>
                <w:rFonts w:hint="default" w:ascii="Times New Roman" w:hAnsi="Times New Roman" w:eastAsia="宋体" w:cs="Times New Roman"/>
                <w:b/>
                <w:bCs/>
                <w:color w:val="auto"/>
                <w:sz w:val="24"/>
                <w:highlight w:val="none"/>
                <w:lang w:val="en-US" w:eastAsia="zh-CN"/>
              </w:rPr>
              <w:t>固体废物处置措施</w:t>
            </w:r>
          </w:p>
          <w:p w14:paraId="2E27938D">
            <w:pPr>
              <w:spacing w:line="360" w:lineRule="auto"/>
              <w:ind w:firstLine="480" w:firstLineChars="200"/>
              <w:jc w:val="left"/>
              <w:rPr>
                <w:rFonts w:hint="default" w:ascii="Times New Roman" w:hAnsi="Times New Roman" w:eastAsia="宋体" w:cs="Times New Roman"/>
                <w:color w:val="auto"/>
                <w:kern w:val="0"/>
                <w:sz w:val="24"/>
                <w:szCs w:val="24"/>
                <w:highlight w:val="none"/>
                <w:lang w:eastAsia="zh-CN"/>
              </w:rPr>
            </w:pPr>
            <w:r>
              <w:rPr>
                <w:rFonts w:hint="eastAsia" w:cs="Times New Roman"/>
                <w:color w:val="auto"/>
                <w:sz w:val="24"/>
                <w:lang w:val="en-US" w:eastAsia="zh-CN"/>
              </w:rPr>
              <w:t>本项目</w:t>
            </w:r>
            <w:r>
              <w:rPr>
                <w:rFonts w:hint="eastAsia" w:ascii="Times New Roman" w:hAnsi="Times New Roman" w:eastAsia="宋体" w:cs="Times New Roman"/>
                <w:color w:val="auto"/>
                <w:sz w:val="24"/>
                <w:lang w:val="en-US" w:eastAsia="zh-CN"/>
              </w:rPr>
              <w:t>废石储存在废石堆场，废石用于筑坡处理，筑坡剩余废石回填采坑；沉淀池底泥定期清掏干化后回填采坑；员工产生的生活垃圾暂存于垃圾桶由环卫部门定期拉运。废</w:t>
            </w:r>
            <w:r>
              <w:rPr>
                <w:rFonts w:hint="eastAsia" w:cs="Times New Roman"/>
                <w:color w:val="auto"/>
                <w:sz w:val="24"/>
                <w:lang w:val="en-US" w:eastAsia="zh-CN"/>
              </w:rPr>
              <w:t>润滑油</w:t>
            </w:r>
            <w:r>
              <w:rPr>
                <w:rFonts w:hint="eastAsia" w:ascii="Times New Roman" w:hAnsi="Times New Roman" w:eastAsia="宋体" w:cs="Times New Roman"/>
                <w:color w:val="auto"/>
                <w:sz w:val="24"/>
                <w:lang w:val="en-US" w:eastAsia="zh-CN"/>
              </w:rPr>
              <w:t>暂存在危废贮存点，定期委托具有危险废物处置资质的单位进行处置；除尘器收集的粉尘作为产品外售</w:t>
            </w:r>
            <w:r>
              <w:rPr>
                <w:rFonts w:hint="eastAsia" w:cs="Times New Roman"/>
                <w:color w:val="auto"/>
                <w:sz w:val="24"/>
                <w:lang w:val="en-US" w:eastAsia="zh-CN"/>
              </w:rPr>
              <w:t>；废布袋产生后暂存在一般固废暂存区，定期由除尘器设备厂家回收</w:t>
            </w:r>
            <w:r>
              <w:rPr>
                <w:rFonts w:hint="eastAsia" w:ascii="Times New Roman" w:hAnsi="Times New Roman" w:eastAsia="宋体" w:cs="Times New Roman"/>
                <w:color w:val="auto"/>
                <w:sz w:val="24"/>
                <w:lang w:val="en-US" w:eastAsia="zh-CN"/>
              </w:rPr>
              <w:t>。</w:t>
            </w:r>
          </w:p>
          <w:p w14:paraId="7A3B0366">
            <w:pPr>
              <w:adjustRightInd w:val="0"/>
              <w:snapToGrid w:val="0"/>
              <w:spacing w:line="360" w:lineRule="auto"/>
              <w:ind w:firstLine="482" w:firstLineChars="200"/>
              <w:jc w:val="left"/>
              <w:rPr>
                <w:rFonts w:hint="default" w:ascii="Times New Roman" w:hAnsi="Times New Roman" w:eastAsia="宋体" w:cs="Times New Roman"/>
                <w:b/>
                <w:color w:val="auto"/>
                <w:sz w:val="24"/>
              </w:rPr>
            </w:pPr>
            <w:r>
              <w:rPr>
                <w:rFonts w:hint="eastAsia" w:ascii="Times New Roman" w:hAnsi="Times New Roman" w:eastAsia="宋体" w:cs="Times New Roman"/>
                <w:b/>
                <w:color w:val="auto"/>
                <w:sz w:val="24"/>
                <w:lang w:val="en-US" w:eastAsia="zh-CN"/>
              </w:rPr>
              <w:t>6</w:t>
            </w:r>
            <w:r>
              <w:rPr>
                <w:rFonts w:hint="default" w:ascii="Times New Roman" w:hAnsi="Times New Roman" w:eastAsia="宋体" w:cs="Times New Roman"/>
                <w:b/>
                <w:color w:val="auto"/>
                <w:sz w:val="24"/>
              </w:rPr>
              <w:t>、退役期环境保护措施</w:t>
            </w:r>
          </w:p>
          <w:p w14:paraId="170CF01B">
            <w:pPr>
              <w:adjustRightInd w:val="0"/>
              <w:snapToGrid w:val="0"/>
              <w:spacing w:line="360" w:lineRule="auto"/>
              <w:ind w:firstLine="480" w:firstLineChars="200"/>
              <w:jc w:val="left"/>
              <w:rPr>
                <w:rFonts w:hint="eastAsia"/>
                <w:color w:val="auto"/>
                <w:lang w:val="en-US" w:eastAsia="zh-CN"/>
              </w:rPr>
            </w:pPr>
            <w:r>
              <w:rPr>
                <w:rFonts w:hint="default" w:ascii="Times New Roman" w:hAnsi="Times New Roman" w:eastAsia="宋体" w:cs="Times New Roman"/>
                <w:color w:val="auto"/>
                <w:sz w:val="24"/>
              </w:rPr>
              <w:t>闭坑后及时进行环境恢复治理和土地复垦工作尽可能恢复矿区环境和土地使用功能，保持矿山环境与周边生态环境相协调。</w:t>
            </w:r>
          </w:p>
        </w:tc>
      </w:tr>
    </w:tbl>
    <w:p w14:paraId="342F805B">
      <w:pPr>
        <w:rPr>
          <w:rFonts w:hint="default" w:ascii="Times New Roman" w:hAnsi="Times New Roman" w:eastAsia="宋体" w:cs="Times New Roman"/>
          <w:color w:val="auto"/>
        </w:rPr>
        <w:sectPr>
          <w:pgSz w:w="11907" w:h="16840"/>
          <w:pgMar w:top="1440" w:right="1797" w:bottom="1440" w:left="1797" w:header="851" w:footer="1077" w:gutter="0"/>
          <w:pgBorders>
            <w:top w:val="none" w:sz="0" w:space="0"/>
            <w:left w:val="none" w:sz="0" w:space="0"/>
            <w:bottom w:val="none" w:sz="0" w:space="0"/>
            <w:right w:val="none" w:sz="0" w:space="0"/>
          </w:pgBorders>
          <w:pgNumType w:fmt="decimal"/>
          <w:cols w:space="720" w:num="1"/>
          <w:docGrid w:linePitch="312" w:charSpace="0"/>
        </w:sectPr>
      </w:pPr>
    </w:p>
    <w:p w14:paraId="5D66509A">
      <w:pPr>
        <w:pStyle w:val="29"/>
        <w:jc w:val="center"/>
        <w:outlineLvl w:val="0"/>
        <w:rPr>
          <w:rFonts w:hint="eastAsia" w:ascii="黑体" w:hAnsi="黑体" w:eastAsia="黑体" w:cs="黑体"/>
          <w:snapToGrid w:val="0"/>
          <w:color w:val="auto"/>
          <w:sz w:val="30"/>
          <w:szCs w:val="30"/>
        </w:rPr>
      </w:pPr>
      <w:r>
        <w:rPr>
          <w:rFonts w:hint="eastAsia" w:ascii="黑体" w:hAnsi="黑体" w:eastAsia="黑体" w:cs="黑体"/>
          <w:snapToGrid w:val="0"/>
          <w:color w:val="auto"/>
          <w:sz w:val="30"/>
          <w:szCs w:val="30"/>
        </w:rPr>
        <w:t>六、生态环境保护措施监督检查清单</w:t>
      </w:r>
    </w:p>
    <w:tbl>
      <w:tblPr>
        <w:tblStyle w:val="3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1219"/>
        <w:gridCol w:w="1170"/>
        <w:gridCol w:w="3344"/>
        <w:gridCol w:w="1474"/>
      </w:tblGrid>
      <w:tr w14:paraId="393F0B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315" w:type="dxa"/>
            <w:vMerge w:val="restart"/>
            <w:tcBorders>
              <w:tl2br w:val="single" w:color="auto" w:sz="4" w:space="0"/>
            </w:tcBorders>
            <w:noWrap w:val="0"/>
            <w:vAlign w:val="top"/>
          </w:tcPr>
          <w:p w14:paraId="77EC892D">
            <w:pPr>
              <w:pStyle w:val="29"/>
              <w:keepNext w:val="0"/>
              <w:keepLines w:val="0"/>
              <w:pageBreakBefore w:val="0"/>
              <w:widowControl/>
              <w:kinsoku/>
              <w:wordWrap/>
              <w:overflowPunct/>
              <w:topLinePunct w:val="0"/>
              <w:autoSpaceDE/>
              <w:autoSpaceDN/>
              <w:bidi w:val="0"/>
              <w:adjustRightInd w:val="0"/>
              <w:snapToGrid w:val="0"/>
              <w:spacing w:before="0" w:beforeAutospacing="0" w:after="0" w:afterAutospacing="0"/>
              <w:jc w:val="center"/>
              <w:textAlignment w:val="auto"/>
              <w:outlineLvl w:val="0"/>
              <w:rPr>
                <w:rFonts w:hint="eastAsia" w:ascii="宋体" w:hAnsi="宋体" w:eastAsia="宋体" w:cs="宋体"/>
                <w:b/>
                <w:bCs/>
                <w:color w:val="auto"/>
                <w:kern w:val="2"/>
                <w:sz w:val="21"/>
                <w:szCs w:val="21"/>
              </w:rPr>
            </w:pPr>
            <w:r>
              <w:rPr>
                <w:rFonts w:hint="eastAsia" w:ascii="宋体" w:hAnsi="宋体" w:eastAsia="宋体" w:cs="宋体"/>
                <w:b/>
                <w:bCs/>
                <w:color w:val="auto"/>
                <w:kern w:val="2"/>
                <w:sz w:val="21"/>
                <w:szCs w:val="21"/>
              </w:rPr>
              <w:t>内容</w:t>
            </w:r>
          </w:p>
          <w:p w14:paraId="16483521">
            <w:pPr>
              <w:pStyle w:val="29"/>
              <w:keepNext w:val="0"/>
              <w:keepLines w:val="0"/>
              <w:pageBreakBefore w:val="0"/>
              <w:widowControl/>
              <w:kinsoku/>
              <w:wordWrap/>
              <w:overflowPunct/>
              <w:topLinePunct w:val="0"/>
              <w:autoSpaceDE/>
              <w:autoSpaceDN/>
              <w:bidi w:val="0"/>
              <w:adjustRightInd w:val="0"/>
              <w:snapToGrid w:val="0"/>
              <w:spacing w:before="0" w:beforeAutospacing="0" w:after="0" w:afterAutospacing="0" w:line="14" w:lineRule="auto"/>
              <w:textAlignment w:val="auto"/>
              <w:outlineLvl w:val="0"/>
              <w:rPr>
                <w:rFonts w:hint="eastAsia" w:ascii="宋体" w:hAnsi="宋体" w:eastAsia="宋体" w:cs="宋体"/>
                <w:b/>
                <w:bCs/>
                <w:color w:val="auto"/>
                <w:kern w:val="2"/>
                <w:sz w:val="135"/>
                <w:szCs w:val="21"/>
              </w:rPr>
            </w:pPr>
          </w:p>
          <w:p w14:paraId="7E2B968A">
            <w:pPr>
              <w:pStyle w:val="29"/>
              <w:keepNext w:val="0"/>
              <w:keepLines w:val="0"/>
              <w:pageBreakBefore w:val="0"/>
              <w:widowControl/>
              <w:kinsoku/>
              <w:wordWrap/>
              <w:overflowPunct/>
              <w:topLinePunct w:val="0"/>
              <w:autoSpaceDE/>
              <w:autoSpaceDN/>
              <w:bidi w:val="0"/>
              <w:adjustRightInd w:val="0"/>
              <w:snapToGrid w:val="0"/>
              <w:spacing w:before="0" w:beforeAutospacing="0" w:after="0" w:afterAutospacing="0" w:line="14" w:lineRule="auto"/>
              <w:textAlignment w:val="auto"/>
              <w:outlineLvl w:val="0"/>
              <w:rPr>
                <w:rFonts w:hint="eastAsia" w:ascii="宋体" w:hAnsi="宋体" w:eastAsia="宋体" w:cs="宋体"/>
                <w:b/>
                <w:bCs/>
                <w:color w:val="auto"/>
                <w:kern w:val="2"/>
                <w:sz w:val="135"/>
                <w:szCs w:val="21"/>
              </w:rPr>
            </w:pPr>
          </w:p>
          <w:p w14:paraId="1884A515">
            <w:pPr>
              <w:pStyle w:val="29"/>
              <w:keepNext w:val="0"/>
              <w:keepLines w:val="0"/>
              <w:pageBreakBefore w:val="0"/>
              <w:widowControl/>
              <w:kinsoku/>
              <w:wordWrap/>
              <w:overflowPunct/>
              <w:topLinePunct w:val="0"/>
              <w:autoSpaceDE/>
              <w:autoSpaceDN/>
              <w:bidi w:val="0"/>
              <w:adjustRightInd w:val="0"/>
              <w:snapToGrid w:val="0"/>
              <w:spacing w:before="0" w:beforeAutospacing="0" w:after="0" w:afterAutospacing="0" w:line="14" w:lineRule="auto"/>
              <w:textAlignment w:val="auto"/>
              <w:outlineLvl w:val="0"/>
              <w:rPr>
                <w:rFonts w:hint="eastAsia" w:ascii="宋体" w:hAnsi="宋体" w:eastAsia="宋体" w:cs="宋体"/>
                <w:b/>
                <w:bCs/>
                <w:color w:val="auto"/>
                <w:kern w:val="2"/>
                <w:sz w:val="135"/>
                <w:szCs w:val="21"/>
              </w:rPr>
            </w:pPr>
          </w:p>
          <w:p w14:paraId="07C94343">
            <w:pPr>
              <w:pStyle w:val="29"/>
              <w:keepNext w:val="0"/>
              <w:keepLines w:val="0"/>
              <w:pageBreakBefore w:val="0"/>
              <w:widowControl/>
              <w:kinsoku/>
              <w:wordWrap/>
              <w:overflowPunct/>
              <w:topLinePunct w:val="0"/>
              <w:autoSpaceDE/>
              <w:autoSpaceDN/>
              <w:bidi w:val="0"/>
              <w:adjustRightInd w:val="0"/>
              <w:snapToGrid w:val="0"/>
              <w:spacing w:before="0" w:beforeAutospacing="0" w:after="0" w:afterAutospacing="0" w:line="14" w:lineRule="auto"/>
              <w:textAlignment w:val="auto"/>
              <w:outlineLvl w:val="0"/>
              <w:rPr>
                <w:rFonts w:hint="eastAsia" w:ascii="宋体" w:hAnsi="宋体" w:eastAsia="宋体" w:cs="宋体"/>
                <w:b/>
                <w:bCs/>
                <w:color w:val="auto"/>
                <w:kern w:val="2"/>
                <w:sz w:val="135"/>
                <w:szCs w:val="21"/>
              </w:rPr>
            </w:pPr>
          </w:p>
          <w:p w14:paraId="3533A4FB">
            <w:pPr>
              <w:pStyle w:val="29"/>
              <w:keepNext w:val="0"/>
              <w:keepLines w:val="0"/>
              <w:pageBreakBefore w:val="0"/>
              <w:widowControl/>
              <w:kinsoku/>
              <w:wordWrap/>
              <w:overflowPunct/>
              <w:topLinePunct w:val="0"/>
              <w:autoSpaceDE/>
              <w:autoSpaceDN/>
              <w:bidi w:val="0"/>
              <w:adjustRightInd w:val="0"/>
              <w:snapToGrid w:val="0"/>
              <w:spacing w:before="0" w:beforeAutospacing="0" w:after="0" w:afterAutospacing="0" w:line="14" w:lineRule="auto"/>
              <w:textAlignment w:val="auto"/>
              <w:outlineLvl w:val="0"/>
              <w:rPr>
                <w:rFonts w:hint="eastAsia" w:ascii="宋体" w:hAnsi="宋体" w:eastAsia="宋体" w:cs="宋体"/>
                <w:b/>
                <w:bCs/>
                <w:color w:val="auto"/>
                <w:kern w:val="2"/>
                <w:sz w:val="135"/>
                <w:szCs w:val="21"/>
              </w:rPr>
            </w:pPr>
          </w:p>
          <w:p w14:paraId="7D1EA0BC">
            <w:pPr>
              <w:pStyle w:val="29"/>
              <w:keepNext w:val="0"/>
              <w:keepLines w:val="0"/>
              <w:pageBreakBefore w:val="0"/>
              <w:widowControl/>
              <w:kinsoku/>
              <w:wordWrap/>
              <w:overflowPunct/>
              <w:topLinePunct w:val="0"/>
              <w:autoSpaceDE/>
              <w:autoSpaceDN/>
              <w:bidi w:val="0"/>
              <w:adjustRightInd w:val="0"/>
              <w:snapToGrid w:val="0"/>
              <w:spacing w:before="0" w:beforeAutospacing="0" w:after="0" w:afterAutospacing="0" w:line="14" w:lineRule="auto"/>
              <w:textAlignment w:val="auto"/>
              <w:outlineLvl w:val="0"/>
              <w:rPr>
                <w:rFonts w:hint="eastAsia" w:ascii="宋体" w:hAnsi="宋体" w:eastAsia="宋体" w:cs="宋体"/>
                <w:b/>
                <w:bCs/>
                <w:color w:val="auto"/>
                <w:kern w:val="2"/>
                <w:sz w:val="135"/>
                <w:szCs w:val="21"/>
              </w:rPr>
            </w:pPr>
            <w:r>
              <w:rPr>
                <w:rFonts w:hint="eastAsia" w:ascii="宋体" w:hAnsi="宋体" w:eastAsia="宋体" w:cs="宋体"/>
                <w:b/>
                <w:bCs/>
                <w:color w:val="auto"/>
                <w:kern w:val="2"/>
                <w:sz w:val="135"/>
                <w:szCs w:val="21"/>
              </w:rPr>
              <w:t xml:space="preserve"> </w:t>
            </w:r>
          </w:p>
          <w:p w14:paraId="10FAB62A">
            <w:pPr>
              <w:pStyle w:val="29"/>
              <w:keepNext w:val="0"/>
              <w:keepLines w:val="0"/>
              <w:pageBreakBefore w:val="0"/>
              <w:widowControl/>
              <w:kinsoku/>
              <w:wordWrap/>
              <w:overflowPunct/>
              <w:topLinePunct w:val="0"/>
              <w:autoSpaceDE/>
              <w:autoSpaceDN/>
              <w:bidi w:val="0"/>
              <w:adjustRightInd w:val="0"/>
              <w:snapToGrid w:val="0"/>
              <w:spacing w:before="0" w:beforeAutospacing="0" w:after="0" w:afterAutospacing="0"/>
              <w:textAlignment w:val="auto"/>
              <w:outlineLvl w:val="0"/>
              <w:rPr>
                <w:rFonts w:hint="eastAsia" w:ascii="宋体" w:hAnsi="宋体" w:eastAsia="宋体" w:cs="宋体"/>
                <w:b/>
                <w:bCs/>
                <w:color w:val="auto"/>
                <w:kern w:val="2"/>
                <w:sz w:val="21"/>
                <w:szCs w:val="21"/>
              </w:rPr>
            </w:pPr>
            <w:r>
              <w:rPr>
                <w:rFonts w:hint="eastAsia" w:ascii="宋体" w:hAnsi="宋体" w:eastAsia="宋体" w:cs="宋体"/>
                <w:b/>
                <w:bCs/>
                <w:color w:val="auto"/>
                <w:kern w:val="2"/>
                <w:sz w:val="21"/>
                <w:szCs w:val="21"/>
              </w:rPr>
              <w:t>要素</w:t>
            </w:r>
          </w:p>
        </w:tc>
        <w:tc>
          <w:tcPr>
            <w:tcW w:w="2389" w:type="dxa"/>
            <w:gridSpan w:val="2"/>
            <w:noWrap w:val="0"/>
            <w:vAlign w:val="center"/>
          </w:tcPr>
          <w:p w14:paraId="5299A134">
            <w:pPr>
              <w:pStyle w:val="29"/>
              <w:keepNext w:val="0"/>
              <w:keepLines w:val="0"/>
              <w:pageBreakBefore w:val="0"/>
              <w:widowControl/>
              <w:kinsoku/>
              <w:wordWrap/>
              <w:overflowPunct/>
              <w:topLinePunct w:val="0"/>
              <w:autoSpaceDE/>
              <w:autoSpaceDN/>
              <w:bidi w:val="0"/>
              <w:adjustRightInd w:val="0"/>
              <w:snapToGrid w:val="0"/>
              <w:spacing w:before="0" w:beforeAutospacing="0" w:after="0" w:afterAutospacing="0"/>
              <w:jc w:val="center"/>
              <w:textAlignment w:val="auto"/>
              <w:outlineLvl w:val="0"/>
              <w:rPr>
                <w:rFonts w:hint="eastAsia" w:ascii="宋体" w:hAnsi="宋体" w:eastAsia="宋体" w:cs="宋体"/>
                <w:b/>
                <w:bCs/>
                <w:color w:val="auto"/>
                <w:kern w:val="2"/>
                <w:sz w:val="21"/>
                <w:szCs w:val="21"/>
              </w:rPr>
            </w:pPr>
            <w:r>
              <w:rPr>
                <w:rFonts w:hint="eastAsia" w:ascii="宋体" w:hAnsi="宋体" w:eastAsia="宋体" w:cs="宋体"/>
                <w:b/>
                <w:bCs/>
                <w:color w:val="auto"/>
                <w:kern w:val="2"/>
                <w:sz w:val="21"/>
                <w:szCs w:val="21"/>
              </w:rPr>
              <w:t>施工期</w:t>
            </w:r>
          </w:p>
        </w:tc>
        <w:tc>
          <w:tcPr>
            <w:tcW w:w="4818" w:type="dxa"/>
            <w:gridSpan w:val="2"/>
            <w:noWrap w:val="0"/>
            <w:vAlign w:val="center"/>
          </w:tcPr>
          <w:p w14:paraId="18D7E93F">
            <w:pPr>
              <w:pStyle w:val="29"/>
              <w:keepNext w:val="0"/>
              <w:keepLines w:val="0"/>
              <w:pageBreakBefore w:val="0"/>
              <w:widowControl/>
              <w:kinsoku/>
              <w:wordWrap/>
              <w:overflowPunct/>
              <w:topLinePunct w:val="0"/>
              <w:autoSpaceDE/>
              <w:autoSpaceDN/>
              <w:bidi w:val="0"/>
              <w:adjustRightInd w:val="0"/>
              <w:snapToGrid w:val="0"/>
              <w:spacing w:before="0" w:beforeAutospacing="0" w:after="0" w:afterAutospacing="0"/>
              <w:jc w:val="center"/>
              <w:textAlignment w:val="auto"/>
              <w:outlineLvl w:val="0"/>
              <w:rPr>
                <w:rFonts w:hint="eastAsia" w:ascii="宋体" w:hAnsi="宋体" w:eastAsia="宋体" w:cs="宋体"/>
                <w:b/>
                <w:bCs/>
                <w:color w:val="auto"/>
                <w:kern w:val="2"/>
                <w:sz w:val="21"/>
                <w:szCs w:val="21"/>
              </w:rPr>
            </w:pPr>
            <w:r>
              <w:rPr>
                <w:rFonts w:hint="eastAsia" w:ascii="宋体" w:hAnsi="宋体" w:eastAsia="宋体" w:cs="宋体"/>
                <w:b/>
                <w:bCs/>
                <w:color w:val="auto"/>
                <w:kern w:val="2"/>
                <w:sz w:val="21"/>
                <w:szCs w:val="21"/>
              </w:rPr>
              <w:t>运营期</w:t>
            </w:r>
          </w:p>
        </w:tc>
      </w:tr>
      <w:tr w14:paraId="60D8AB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315" w:type="dxa"/>
            <w:vMerge w:val="continue"/>
            <w:noWrap w:val="0"/>
            <w:vAlign w:val="top"/>
          </w:tcPr>
          <w:p w14:paraId="208F6B45">
            <w:pPr>
              <w:pStyle w:val="29"/>
              <w:keepNext w:val="0"/>
              <w:keepLines w:val="0"/>
              <w:pageBreakBefore w:val="0"/>
              <w:widowControl/>
              <w:kinsoku/>
              <w:wordWrap/>
              <w:overflowPunct/>
              <w:topLinePunct w:val="0"/>
              <w:autoSpaceDE/>
              <w:autoSpaceDN/>
              <w:bidi w:val="0"/>
              <w:adjustRightInd w:val="0"/>
              <w:snapToGrid w:val="0"/>
              <w:spacing w:before="0" w:beforeAutospacing="0" w:after="0" w:afterAutospacing="0"/>
              <w:ind w:firstLine="840"/>
              <w:jc w:val="center"/>
              <w:textAlignment w:val="auto"/>
              <w:outlineLvl w:val="0"/>
              <w:rPr>
                <w:rFonts w:hint="eastAsia" w:ascii="宋体" w:hAnsi="宋体" w:eastAsia="宋体" w:cs="宋体"/>
                <w:b/>
                <w:bCs/>
                <w:color w:val="auto"/>
                <w:kern w:val="2"/>
                <w:sz w:val="21"/>
                <w:szCs w:val="21"/>
              </w:rPr>
            </w:pPr>
          </w:p>
        </w:tc>
        <w:tc>
          <w:tcPr>
            <w:tcW w:w="1219" w:type="dxa"/>
            <w:noWrap w:val="0"/>
            <w:vAlign w:val="center"/>
          </w:tcPr>
          <w:p w14:paraId="16659BB7">
            <w:pPr>
              <w:pStyle w:val="29"/>
              <w:keepNext w:val="0"/>
              <w:keepLines w:val="0"/>
              <w:pageBreakBefore w:val="0"/>
              <w:widowControl/>
              <w:kinsoku/>
              <w:wordWrap/>
              <w:overflowPunct/>
              <w:topLinePunct w:val="0"/>
              <w:autoSpaceDE/>
              <w:autoSpaceDN/>
              <w:bidi w:val="0"/>
              <w:adjustRightInd w:val="0"/>
              <w:snapToGrid w:val="0"/>
              <w:spacing w:before="0" w:beforeAutospacing="0" w:after="0" w:afterAutospacing="0"/>
              <w:jc w:val="center"/>
              <w:textAlignment w:val="auto"/>
              <w:outlineLvl w:val="0"/>
              <w:rPr>
                <w:rFonts w:hint="eastAsia" w:ascii="宋体" w:hAnsi="宋体" w:eastAsia="宋体" w:cs="宋体"/>
                <w:b/>
                <w:bCs/>
                <w:color w:val="auto"/>
                <w:kern w:val="2"/>
                <w:sz w:val="21"/>
                <w:szCs w:val="21"/>
              </w:rPr>
            </w:pPr>
            <w:r>
              <w:rPr>
                <w:rFonts w:hint="eastAsia" w:ascii="宋体" w:hAnsi="宋体" w:eastAsia="宋体" w:cs="宋体"/>
                <w:b/>
                <w:bCs/>
                <w:color w:val="auto"/>
                <w:kern w:val="2"/>
                <w:sz w:val="21"/>
                <w:szCs w:val="21"/>
              </w:rPr>
              <w:t>环境保护措施</w:t>
            </w:r>
          </w:p>
        </w:tc>
        <w:tc>
          <w:tcPr>
            <w:tcW w:w="1170" w:type="dxa"/>
            <w:noWrap w:val="0"/>
            <w:vAlign w:val="center"/>
          </w:tcPr>
          <w:p w14:paraId="5869F247">
            <w:pPr>
              <w:pStyle w:val="29"/>
              <w:keepNext w:val="0"/>
              <w:keepLines w:val="0"/>
              <w:pageBreakBefore w:val="0"/>
              <w:widowControl/>
              <w:kinsoku/>
              <w:wordWrap/>
              <w:overflowPunct/>
              <w:topLinePunct w:val="0"/>
              <w:autoSpaceDE/>
              <w:autoSpaceDN/>
              <w:bidi w:val="0"/>
              <w:adjustRightInd w:val="0"/>
              <w:snapToGrid w:val="0"/>
              <w:spacing w:before="0" w:beforeAutospacing="0" w:after="0" w:afterAutospacing="0"/>
              <w:jc w:val="center"/>
              <w:textAlignment w:val="auto"/>
              <w:outlineLvl w:val="0"/>
              <w:rPr>
                <w:rFonts w:hint="eastAsia" w:ascii="宋体" w:hAnsi="宋体" w:eastAsia="宋体" w:cs="宋体"/>
                <w:b/>
                <w:bCs/>
                <w:color w:val="auto"/>
                <w:kern w:val="2"/>
                <w:sz w:val="21"/>
                <w:szCs w:val="21"/>
              </w:rPr>
            </w:pPr>
            <w:r>
              <w:rPr>
                <w:rFonts w:hint="eastAsia" w:ascii="宋体" w:hAnsi="宋体" w:eastAsia="宋体" w:cs="宋体"/>
                <w:b/>
                <w:bCs/>
                <w:color w:val="auto"/>
                <w:kern w:val="2"/>
                <w:sz w:val="21"/>
                <w:szCs w:val="21"/>
              </w:rPr>
              <w:t>验收要求</w:t>
            </w:r>
          </w:p>
        </w:tc>
        <w:tc>
          <w:tcPr>
            <w:tcW w:w="3344" w:type="dxa"/>
            <w:noWrap w:val="0"/>
            <w:vAlign w:val="center"/>
          </w:tcPr>
          <w:p w14:paraId="3C05D0B7">
            <w:pPr>
              <w:pStyle w:val="29"/>
              <w:keepNext w:val="0"/>
              <w:keepLines w:val="0"/>
              <w:pageBreakBefore w:val="0"/>
              <w:widowControl/>
              <w:kinsoku/>
              <w:wordWrap/>
              <w:overflowPunct/>
              <w:topLinePunct w:val="0"/>
              <w:autoSpaceDE/>
              <w:autoSpaceDN/>
              <w:bidi w:val="0"/>
              <w:adjustRightInd w:val="0"/>
              <w:snapToGrid w:val="0"/>
              <w:spacing w:before="0" w:beforeAutospacing="0" w:after="0" w:afterAutospacing="0"/>
              <w:jc w:val="center"/>
              <w:textAlignment w:val="auto"/>
              <w:outlineLvl w:val="0"/>
              <w:rPr>
                <w:rFonts w:hint="eastAsia" w:ascii="宋体" w:hAnsi="宋体" w:eastAsia="宋体" w:cs="宋体"/>
                <w:b/>
                <w:bCs/>
                <w:color w:val="auto"/>
                <w:kern w:val="2"/>
                <w:sz w:val="21"/>
                <w:szCs w:val="21"/>
              </w:rPr>
            </w:pPr>
            <w:r>
              <w:rPr>
                <w:rFonts w:hint="eastAsia" w:ascii="宋体" w:hAnsi="宋体" w:eastAsia="宋体" w:cs="宋体"/>
                <w:b/>
                <w:bCs/>
                <w:color w:val="auto"/>
                <w:kern w:val="2"/>
                <w:sz w:val="21"/>
                <w:szCs w:val="21"/>
              </w:rPr>
              <w:t>环境保护措施</w:t>
            </w:r>
          </w:p>
        </w:tc>
        <w:tc>
          <w:tcPr>
            <w:tcW w:w="1474" w:type="dxa"/>
            <w:noWrap w:val="0"/>
            <w:vAlign w:val="center"/>
          </w:tcPr>
          <w:p w14:paraId="63DBD8CF">
            <w:pPr>
              <w:pStyle w:val="29"/>
              <w:keepNext w:val="0"/>
              <w:keepLines w:val="0"/>
              <w:pageBreakBefore w:val="0"/>
              <w:widowControl/>
              <w:kinsoku/>
              <w:wordWrap/>
              <w:overflowPunct/>
              <w:topLinePunct w:val="0"/>
              <w:autoSpaceDE/>
              <w:autoSpaceDN/>
              <w:bidi w:val="0"/>
              <w:adjustRightInd w:val="0"/>
              <w:snapToGrid w:val="0"/>
              <w:spacing w:before="0" w:beforeAutospacing="0" w:after="0" w:afterAutospacing="0"/>
              <w:jc w:val="center"/>
              <w:textAlignment w:val="auto"/>
              <w:outlineLvl w:val="0"/>
              <w:rPr>
                <w:rFonts w:hint="eastAsia" w:ascii="宋体" w:hAnsi="宋体" w:eastAsia="宋体" w:cs="宋体"/>
                <w:b/>
                <w:bCs/>
                <w:color w:val="auto"/>
                <w:kern w:val="2"/>
                <w:sz w:val="21"/>
                <w:szCs w:val="21"/>
              </w:rPr>
            </w:pPr>
            <w:r>
              <w:rPr>
                <w:rFonts w:hint="eastAsia" w:ascii="宋体" w:hAnsi="宋体" w:eastAsia="宋体" w:cs="宋体"/>
                <w:b/>
                <w:bCs/>
                <w:color w:val="auto"/>
                <w:kern w:val="2"/>
                <w:sz w:val="21"/>
                <w:szCs w:val="21"/>
              </w:rPr>
              <w:t>验收要求</w:t>
            </w:r>
          </w:p>
        </w:tc>
      </w:tr>
      <w:tr w14:paraId="1CB983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315" w:type="dxa"/>
            <w:noWrap w:val="0"/>
            <w:vAlign w:val="center"/>
          </w:tcPr>
          <w:p w14:paraId="16706C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陆生生态</w:t>
            </w:r>
          </w:p>
        </w:tc>
        <w:tc>
          <w:tcPr>
            <w:tcW w:w="1219" w:type="dxa"/>
            <w:noWrap w:val="0"/>
            <w:vAlign w:val="center"/>
          </w:tcPr>
          <w:p w14:paraId="06F2FD3A">
            <w:pPr>
              <w:adjustRightInd w:val="0"/>
              <w:snapToGrid w:val="0"/>
              <w:ind w:left="0" w:leftChars="0" w:right="0" w:rightChars="0" w:firstLine="0" w:firstLineChars="0"/>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宋体"/>
                <w:strike w:val="0"/>
                <w:dstrike w:val="0"/>
                <w:color w:val="auto"/>
                <w:szCs w:val="21"/>
                <w:lang w:val="en-US" w:eastAsia="zh-CN"/>
              </w:rPr>
              <w:t>/</w:t>
            </w:r>
          </w:p>
        </w:tc>
        <w:tc>
          <w:tcPr>
            <w:tcW w:w="1170" w:type="dxa"/>
            <w:noWrap w:val="0"/>
            <w:vAlign w:val="center"/>
          </w:tcPr>
          <w:p w14:paraId="52F3BBAC">
            <w:pPr>
              <w:adjustRightInd w:val="0"/>
              <w:snapToGrid w:val="0"/>
              <w:ind w:left="0" w:leftChars="0" w:right="0" w:rightChars="0"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宋体"/>
                <w:strike w:val="0"/>
                <w:dstrike w:val="0"/>
                <w:color w:val="auto"/>
                <w:szCs w:val="21"/>
                <w:lang w:val="en-US" w:eastAsia="zh-CN"/>
              </w:rPr>
              <w:t>/</w:t>
            </w:r>
          </w:p>
        </w:tc>
        <w:tc>
          <w:tcPr>
            <w:tcW w:w="3344" w:type="dxa"/>
            <w:noWrap w:val="0"/>
            <w:vAlign w:val="center"/>
          </w:tcPr>
          <w:p w14:paraId="109097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Cs w:val="21"/>
              </w:rPr>
              <w:t>控制开采活动地表扰动面积；对采矿工作人员加强教育，禁止猎杀野生动物；限制车辆行驶路线；加强道路维护</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在道路边、矿区设置保护环境的宣传警示牌，从管理上对作业人员加强宣传教育，切实</w:t>
            </w:r>
            <w:r>
              <w:rPr>
                <w:rFonts w:hint="eastAsia" w:cs="Times New Roman"/>
                <w:color w:val="auto"/>
                <w:szCs w:val="21"/>
                <w:lang w:eastAsia="zh-CN"/>
              </w:rPr>
              <w:t>增强</w:t>
            </w:r>
            <w:r>
              <w:rPr>
                <w:rFonts w:hint="default" w:ascii="Times New Roman" w:hAnsi="Times New Roman" w:eastAsia="宋体" w:cs="Times New Roman"/>
                <w:color w:val="auto"/>
                <w:szCs w:val="21"/>
              </w:rPr>
              <w:t>保护矿区生态环境的意识。</w:t>
            </w:r>
          </w:p>
        </w:tc>
        <w:tc>
          <w:tcPr>
            <w:tcW w:w="1474" w:type="dxa"/>
            <w:noWrap w:val="0"/>
            <w:vAlign w:val="center"/>
          </w:tcPr>
          <w:p w14:paraId="0B1684E8">
            <w:pPr>
              <w:pStyle w:val="76"/>
              <w:spacing w:line="240" w:lineRule="auto"/>
              <w:ind w:right="89" w:rightChars="0"/>
              <w:jc w:val="center"/>
              <w:rPr>
                <w:rFonts w:hint="default" w:ascii="Times New Roman" w:hAnsi="Times New Roman" w:eastAsia="宋体" w:cs="Times New Roman"/>
                <w:color w:val="auto"/>
                <w:sz w:val="21"/>
                <w:szCs w:val="21"/>
              </w:rPr>
            </w:pPr>
            <w:r>
              <w:rPr>
                <w:rFonts w:hint="default" w:ascii="Times New Roman" w:hAnsi="Times New Roman" w:eastAsia="仿宋_GB2312" w:cs="Times New Roman"/>
                <w:color w:val="auto"/>
                <w:sz w:val="24"/>
                <w:szCs w:val="24"/>
              </w:rPr>
              <w:t>/</w:t>
            </w:r>
          </w:p>
        </w:tc>
      </w:tr>
      <w:tr w14:paraId="290B8F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315" w:type="dxa"/>
            <w:noWrap w:val="0"/>
            <w:vAlign w:val="center"/>
          </w:tcPr>
          <w:p w14:paraId="4A2E365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水生生态</w:t>
            </w:r>
          </w:p>
        </w:tc>
        <w:tc>
          <w:tcPr>
            <w:tcW w:w="1219" w:type="dxa"/>
            <w:noWrap w:val="0"/>
            <w:vAlign w:val="center"/>
          </w:tcPr>
          <w:p w14:paraId="1FCC90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仿宋_GB2312" w:cs="Times New Roman"/>
                <w:color w:val="auto"/>
                <w:sz w:val="24"/>
                <w:szCs w:val="24"/>
              </w:rPr>
              <w:t>/</w:t>
            </w:r>
          </w:p>
        </w:tc>
        <w:tc>
          <w:tcPr>
            <w:tcW w:w="1170" w:type="dxa"/>
            <w:noWrap w:val="0"/>
            <w:vAlign w:val="center"/>
          </w:tcPr>
          <w:p w14:paraId="3441EA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仿宋_GB2312" w:cs="Times New Roman"/>
                <w:color w:val="auto"/>
                <w:sz w:val="24"/>
                <w:szCs w:val="24"/>
              </w:rPr>
              <w:t>/</w:t>
            </w:r>
          </w:p>
        </w:tc>
        <w:tc>
          <w:tcPr>
            <w:tcW w:w="3344" w:type="dxa"/>
            <w:noWrap w:val="0"/>
            <w:vAlign w:val="center"/>
          </w:tcPr>
          <w:p w14:paraId="40D8CB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仿宋_GB2312" w:cs="Times New Roman"/>
                <w:color w:val="auto"/>
                <w:sz w:val="24"/>
                <w:szCs w:val="24"/>
              </w:rPr>
              <w:t>/</w:t>
            </w:r>
          </w:p>
        </w:tc>
        <w:tc>
          <w:tcPr>
            <w:tcW w:w="1474" w:type="dxa"/>
            <w:noWrap w:val="0"/>
            <w:vAlign w:val="center"/>
          </w:tcPr>
          <w:p w14:paraId="1BC56804">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仿宋_GB2312" w:cs="Times New Roman"/>
                <w:color w:val="auto"/>
                <w:sz w:val="24"/>
                <w:szCs w:val="24"/>
              </w:rPr>
              <w:t>/</w:t>
            </w:r>
          </w:p>
        </w:tc>
      </w:tr>
      <w:tr w14:paraId="4A00A8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315" w:type="dxa"/>
            <w:noWrap w:val="0"/>
            <w:vAlign w:val="center"/>
          </w:tcPr>
          <w:p w14:paraId="7C5C7E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eastAsia="zh-CN"/>
              </w:rPr>
              <w:t>地表水环境</w:t>
            </w:r>
          </w:p>
        </w:tc>
        <w:tc>
          <w:tcPr>
            <w:tcW w:w="1219" w:type="dxa"/>
            <w:noWrap w:val="0"/>
            <w:vAlign w:val="center"/>
          </w:tcPr>
          <w:p w14:paraId="2DD4F426">
            <w:pPr>
              <w:adjustRightInd w:val="0"/>
              <w:snapToGrid w:val="0"/>
              <w:ind w:left="0" w:leftChars="0" w:right="0" w:rightChars="0" w:firstLine="0" w:firstLineChars="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宋体"/>
                <w:strike w:val="0"/>
                <w:dstrike w:val="0"/>
                <w:color w:val="auto"/>
                <w:szCs w:val="21"/>
                <w:lang w:val="en-US" w:eastAsia="zh-CN"/>
              </w:rPr>
              <w:t>/</w:t>
            </w:r>
          </w:p>
        </w:tc>
        <w:tc>
          <w:tcPr>
            <w:tcW w:w="1170" w:type="dxa"/>
            <w:noWrap w:val="0"/>
            <w:vAlign w:val="center"/>
          </w:tcPr>
          <w:p w14:paraId="2F5EDADE">
            <w:pPr>
              <w:adjustRightInd w:val="0"/>
              <w:snapToGrid w:val="0"/>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宋体"/>
                <w:strike w:val="0"/>
                <w:dstrike w:val="0"/>
                <w:color w:val="auto"/>
                <w:szCs w:val="21"/>
                <w:lang w:val="en-US" w:eastAsia="zh-CN"/>
              </w:rPr>
              <w:t>/</w:t>
            </w:r>
          </w:p>
        </w:tc>
        <w:tc>
          <w:tcPr>
            <w:tcW w:w="3344" w:type="dxa"/>
            <w:noWrap w:val="0"/>
            <w:vAlign w:val="center"/>
          </w:tcPr>
          <w:p w14:paraId="3C2AC54E">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szCs w:val="21"/>
                <w:highlight w:val="yellow"/>
                <w:lang w:val="en-US" w:eastAsia="zh-CN"/>
              </w:rPr>
            </w:pPr>
            <w:r>
              <w:rPr>
                <w:rFonts w:hint="default" w:ascii="Times New Roman" w:hAnsi="Times New Roman" w:eastAsia="宋体" w:cs="Times New Roman"/>
                <w:color w:val="auto"/>
                <w:szCs w:val="21"/>
                <w:highlight w:val="none"/>
                <w:lang w:val="en-US" w:eastAsia="zh-CN"/>
              </w:rPr>
              <w:t>生活污水排入化粪池定期拉运至吐鲁番市高昌区污水处理厂处理。</w:t>
            </w:r>
          </w:p>
        </w:tc>
        <w:tc>
          <w:tcPr>
            <w:tcW w:w="1474" w:type="dxa"/>
            <w:noWrap w:val="0"/>
            <w:vAlign w:val="center"/>
          </w:tcPr>
          <w:p w14:paraId="7FEADD8C">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szCs w:val="21"/>
                <w:highlight w:val="yellow"/>
                <w:lang w:val="en-US" w:eastAsia="zh-CN"/>
              </w:rPr>
            </w:pPr>
            <w:r>
              <w:rPr>
                <w:rFonts w:hint="default" w:ascii="Times New Roman" w:hAnsi="Times New Roman" w:eastAsia="仿宋_GB2312" w:cs="Times New Roman"/>
                <w:color w:val="auto"/>
                <w:sz w:val="24"/>
                <w:szCs w:val="24"/>
              </w:rPr>
              <w:t>/</w:t>
            </w:r>
          </w:p>
        </w:tc>
      </w:tr>
      <w:tr w14:paraId="41C13A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315" w:type="dxa"/>
            <w:noWrap w:val="0"/>
            <w:vAlign w:val="center"/>
          </w:tcPr>
          <w:p w14:paraId="6E0F318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地下水及土壤环境</w:t>
            </w:r>
          </w:p>
        </w:tc>
        <w:tc>
          <w:tcPr>
            <w:tcW w:w="1219" w:type="dxa"/>
            <w:noWrap w:val="0"/>
            <w:vAlign w:val="center"/>
          </w:tcPr>
          <w:p w14:paraId="53751E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仿宋_GB2312" w:cs="Times New Roman"/>
                <w:color w:val="auto"/>
                <w:sz w:val="24"/>
                <w:szCs w:val="24"/>
              </w:rPr>
              <w:t>/</w:t>
            </w:r>
          </w:p>
        </w:tc>
        <w:tc>
          <w:tcPr>
            <w:tcW w:w="1170" w:type="dxa"/>
            <w:noWrap w:val="0"/>
            <w:vAlign w:val="center"/>
          </w:tcPr>
          <w:p w14:paraId="79D4A5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仿宋_GB2312" w:cs="Times New Roman"/>
                <w:color w:val="auto"/>
                <w:sz w:val="24"/>
                <w:szCs w:val="24"/>
              </w:rPr>
              <w:t>/</w:t>
            </w:r>
          </w:p>
        </w:tc>
        <w:tc>
          <w:tcPr>
            <w:tcW w:w="3344" w:type="dxa"/>
            <w:noWrap w:val="0"/>
            <w:vAlign w:val="center"/>
          </w:tcPr>
          <w:p w14:paraId="7799EE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分区防渗</w:t>
            </w:r>
          </w:p>
        </w:tc>
        <w:tc>
          <w:tcPr>
            <w:tcW w:w="1474" w:type="dxa"/>
            <w:noWrap w:val="0"/>
            <w:vAlign w:val="center"/>
          </w:tcPr>
          <w:p w14:paraId="0058AF99">
            <w:pPr>
              <w:adjustRightInd w:val="0"/>
              <w:snapToGrid w:val="0"/>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r>
      <w:tr w14:paraId="5A33FE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1315" w:type="dxa"/>
            <w:noWrap w:val="0"/>
            <w:vAlign w:val="center"/>
          </w:tcPr>
          <w:p w14:paraId="7A5DB0E9">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声环境</w:t>
            </w:r>
          </w:p>
        </w:tc>
        <w:tc>
          <w:tcPr>
            <w:tcW w:w="1219" w:type="dxa"/>
            <w:noWrap w:val="0"/>
            <w:vAlign w:val="center"/>
          </w:tcPr>
          <w:p w14:paraId="2181287B">
            <w:pPr>
              <w:adjustRightInd w:val="0"/>
              <w:snapToGrid w:val="0"/>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宋体"/>
                <w:strike w:val="0"/>
                <w:dstrike w:val="0"/>
                <w:color w:val="auto"/>
                <w:szCs w:val="21"/>
                <w:lang w:val="en-US" w:eastAsia="zh-CN"/>
              </w:rPr>
              <w:t>/</w:t>
            </w:r>
          </w:p>
        </w:tc>
        <w:tc>
          <w:tcPr>
            <w:tcW w:w="1170" w:type="dxa"/>
            <w:noWrap w:val="0"/>
            <w:vAlign w:val="center"/>
          </w:tcPr>
          <w:p w14:paraId="194392EE">
            <w:pPr>
              <w:adjustRightInd w:val="0"/>
              <w:snapToGrid w:val="0"/>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宋体"/>
                <w:strike w:val="0"/>
                <w:dstrike w:val="0"/>
                <w:color w:val="auto"/>
                <w:szCs w:val="21"/>
                <w:lang w:val="en-US" w:eastAsia="zh-CN"/>
              </w:rPr>
              <w:t>/</w:t>
            </w:r>
          </w:p>
        </w:tc>
        <w:tc>
          <w:tcPr>
            <w:tcW w:w="3344" w:type="dxa"/>
            <w:noWrap w:val="0"/>
            <w:vAlign w:val="center"/>
          </w:tcPr>
          <w:p w14:paraId="64683C54">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尽量选用低噪声、低振动机械设备，或带有消声、隔音等附属设施设备的机械；加强设备维护保养，确保其高效运行，适时添加润滑油防止机械磨损；运输车辆少鸣笛或者不鸣笛，减少运输车辆对道路两侧的</w:t>
            </w:r>
            <w:r>
              <w:rPr>
                <w:rFonts w:hint="eastAsia" w:ascii="Times New Roman" w:hAnsi="Times New Roman" w:eastAsia="宋体" w:cs="Times New Roman"/>
                <w:color w:val="auto"/>
                <w:kern w:val="2"/>
                <w:sz w:val="21"/>
                <w:szCs w:val="21"/>
                <w:lang w:val="en-US" w:eastAsia="zh-CN" w:bidi="ar-SA"/>
              </w:rPr>
              <w:t>影响</w:t>
            </w:r>
            <w:r>
              <w:rPr>
                <w:rFonts w:hint="default" w:ascii="Times New Roman" w:hAnsi="Times New Roman" w:eastAsia="宋体" w:cs="Times New Roman"/>
                <w:color w:val="auto"/>
                <w:kern w:val="2"/>
                <w:sz w:val="21"/>
                <w:szCs w:val="21"/>
                <w:lang w:val="en-US" w:eastAsia="zh-CN" w:bidi="ar-SA"/>
              </w:rPr>
              <w:t>；加强矿区管理，合理安排作业时间，避免在晨昏进行高噪声作业活动。</w:t>
            </w:r>
          </w:p>
        </w:tc>
        <w:tc>
          <w:tcPr>
            <w:tcW w:w="1474" w:type="dxa"/>
            <w:noWrap w:val="0"/>
            <w:vAlign w:val="center"/>
          </w:tcPr>
          <w:p w14:paraId="625D4164">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《工业企业厂界环境噪声排放标准》（GB12348-2008）中2类标准</w:t>
            </w:r>
          </w:p>
        </w:tc>
      </w:tr>
      <w:tr w14:paraId="4E9A43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315" w:type="dxa"/>
            <w:noWrap w:val="0"/>
            <w:vAlign w:val="center"/>
          </w:tcPr>
          <w:p w14:paraId="5A30A71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振动</w:t>
            </w:r>
          </w:p>
        </w:tc>
        <w:tc>
          <w:tcPr>
            <w:tcW w:w="1219" w:type="dxa"/>
            <w:noWrap w:val="0"/>
            <w:vAlign w:val="center"/>
          </w:tcPr>
          <w:p w14:paraId="2817018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仿宋_GB2312" w:cs="Times New Roman"/>
                <w:color w:val="auto"/>
                <w:sz w:val="24"/>
                <w:szCs w:val="24"/>
              </w:rPr>
              <w:t>/</w:t>
            </w:r>
          </w:p>
        </w:tc>
        <w:tc>
          <w:tcPr>
            <w:tcW w:w="1170" w:type="dxa"/>
            <w:noWrap w:val="0"/>
            <w:vAlign w:val="center"/>
          </w:tcPr>
          <w:p w14:paraId="2B90B2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仿宋_GB2312" w:cs="Times New Roman"/>
                <w:color w:val="auto"/>
                <w:sz w:val="24"/>
                <w:szCs w:val="24"/>
              </w:rPr>
              <w:t>/</w:t>
            </w:r>
          </w:p>
        </w:tc>
        <w:tc>
          <w:tcPr>
            <w:tcW w:w="3344" w:type="dxa"/>
            <w:noWrap w:val="0"/>
            <w:vAlign w:val="center"/>
          </w:tcPr>
          <w:p w14:paraId="53C5A3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仿宋_GB2312" w:cs="Times New Roman"/>
                <w:color w:val="auto"/>
                <w:sz w:val="24"/>
                <w:szCs w:val="24"/>
              </w:rPr>
              <w:t>/</w:t>
            </w:r>
          </w:p>
        </w:tc>
        <w:tc>
          <w:tcPr>
            <w:tcW w:w="1474" w:type="dxa"/>
            <w:noWrap w:val="0"/>
            <w:vAlign w:val="center"/>
          </w:tcPr>
          <w:p w14:paraId="24E754A0">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仿宋_GB2312" w:cs="Times New Roman"/>
                <w:color w:val="auto"/>
                <w:sz w:val="24"/>
                <w:szCs w:val="24"/>
              </w:rPr>
              <w:t>/</w:t>
            </w:r>
          </w:p>
        </w:tc>
      </w:tr>
      <w:tr w14:paraId="1524B3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315" w:type="dxa"/>
            <w:noWrap w:val="0"/>
            <w:vAlign w:val="center"/>
          </w:tcPr>
          <w:p w14:paraId="401B6316">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大气环境</w:t>
            </w:r>
          </w:p>
        </w:tc>
        <w:tc>
          <w:tcPr>
            <w:tcW w:w="1219" w:type="dxa"/>
            <w:noWrap w:val="0"/>
            <w:vAlign w:val="center"/>
          </w:tcPr>
          <w:p w14:paraId="56D270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仿宋_GB2312" w:cs="Times New Roman"/>
                <w:color w:val="auto"/>
                <w:sz w:val="24"/>
                <w:szCs w:val="24"/>
              </w:rPr>
              <w:t>/</w:t>
            </w:r>
          </w:p>
        </w:tc>
        <w:tc>
          <w:tcPr>
            <w:tcW w:w="1170" w:type="dxa"/>
            <w:noWrap w:val="0"/>
            <w:vAlign w:val="center"/>
          </w:tcPr>
          <w:p w14:paraId="513FB4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仿宋_GB2312" w:cs="Times New Roman"/>
                <w:color w:val="auto"/>
                <w:sz w:val="24"/>
                <w:szCs w:val="24"/>
              </w:rPr>
              <w:t>/</w:t>
            </w:r>
          </w:p>
        </w:tc>
        <w:tc>
          <w:tcPr>
            <w:tcW w:w="3344" w:type="dxa"/>
            <w:noWrap w:val="0"/>
            <w:vAlign w:val="center"/>
          </w:tcPr>
          <w:p w14:paraId="43FDD5CE">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本项目开采粉尘采用洒水降尘措施；筛分有组织粉尘采用集气罩+布袋除尘器，处理后由15m排气筒（DA001）排放。筛分机头及砂石料输送走廊均做密闭处理等措施；砂石料堆场四周设置严密围挡，并采取密闭防尘网及时苫盖进行防尘，非作业情况下覆盖率需达到100%。砂石料堆场需定期洒水降尘；废石堆场遮盖防风抑尘网和洒水降尘；道路扬尘通过道路上</w:t>
            </w:r>
            <w:r>
              <w:rPr>
                <w:rFonts w:hint="eastAsia" w:cs="Times New Roman"/>
                <w:color w:val="auto"/>
                <w:kern w:val="2"/>
                <w:sz w:val="21"/>
                <w:szCs w:val="21"/>
                <w:highlight w:val="none"/>
                <w:lang w:val="en-US" w:eastAsia="zh-CN" w:bidi="ar-SA"/>
              </w:rPr>
              <w:t>覆盖</w:t>
            </w:r>
            <w:r>
              <w:rPr>
                <w:rFonts w:hint="default" w:ascii="Times New Roman" w:hAnsi="Times New Roman" w:eastAsia="宋体" w:cs="Times New Roman"/>
                <w:color w:val="auto"/>
                <w:kern w:val="2"/>
                <w:sz w:val="21"/>
                <w:szCs w:val="21"/>
                <w:highlight w:val="none"/>
                <w:lang w:val="en-US" w:eastAsia="zh-CN" w:bidi="ar-SA"/>
              </w:rPr>
              <w:t>碎石、鹅卵石并及时洒水抑尘。</w:t>
            </w:r>
          </w:p>
        </w:tc>
        <w:tc>
          <w:tcPr>
            <w:tcW w:w="1474" w:type="dxa"/>
            <w:noWrap w:val="0"/>
            <w:vAlign w:val="center"/>
          </w:tcPr>
          <w:p w14:paraId="2D17D04A">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项目</w:t>
            </w:r>
            <w:r>
              <w:rPr>
                <w:rFonts w:hint="default" w:ascii="Times New Roman" w:hAnsi="Times New Roman" w:eastAsia="宋体" w:cs="Times New Roman"/>
                <w:color w:val="auto"/>
                <w:kern w:val="2"/>
                <w:sz w:val="21"/>
                <w:szCs w:val="21"/>
                <w:lang w:val="en-US" w:eastAsia="zh-CN" w:bidi="ar-SA"/>
              </w:rPr>
              <w:t>粉尘</w:t>
            </w:r>
            <w:r>
              <w:rPr>
                <w:rFonts w:hint="eastAsia" w:ascii="Times New Roman" w:hAnsi="Times New Roman" w:eastAsia="宋体" w:cs="Times New Roman"/>
                <w:color w:val="auto"/>
                <w:kern w:val="2"/>
                <w:sz w:val="21"/>
                <w:szCs w:val="21"/>
                <w:lang w:val="en-US" w:eastAsia="zh-CN" w:bidi="ar-SA"/>
              </w:rPr>
              <w:t>执行《大气污染物综合排放标准》（GB16297-1996）表2排放限值</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sz w:val="21"/>
                <w:szCs w:val="21"/>
                <w:highlight w:val="none"/>
                <w:lang w:eastAsia="zh-CN"/>
              </w:rPr>
              <w:t>《大气污染物综合排放标准》（GB16297-1996）中表2中无组织排放监控浓度限值标准</w:t>
            </w:r>
          </w:p>
        </w:tc>
      </w:tr>
      <w:tr w14:paraId="3F0779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315" w:type="dxa"/>
            <w:noWrap w:val="0"/>
            <w:vAlign w:val="center"/>
          </w:tcPr>
          <w:p w14:paraId="52956285">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固体废物</w:t>
            </w:r>
          </w:p>
        </w:tc>
        <w:tc>
          <w:tcPr>
            <w:tcW w:w="1219" w:type="dxa"/>
            <w:noWrap w:val="0"/>
            <w:vAlign w:val="center"/>
          </w:tcPr>
          <w:p w14:paraId="480F1EC0">
            <w:pPr>
              <w:adjustRightInd w:val="0"/>
              <w:snapToGrid w:val="0"/>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宋体"/>
                <w:strike w:val="0"/>
                <w:dstrike w:val="0"/>
                <w:color w:val="auto"/>
                <w:szCs w:val="21"/>
                <w:lang w:val="en-US" w:eastAsia="zh-CN"/>
              </w:rPr>
              <w:t>/</w:t>
            </w:r>
          </w:p>
        </w:tc>
        <w:tc>
          <w:tcPr>
            <w:tcW w:w="1170" w:type="dxa"/>
            <w:noWrap w:val="0"/>
            <w:vAlign w:val="center"/>
          </w:tcPr>
          <w:p w14:paraId="49ACFC14">
            <w:pPr>
              <w:adjustRightInd w:val="0"/>
              <w:snapToGrid w:val="0"/>
              <w:ind w:left="0" w:leftChars="0" w:right="0" w:righ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宋体"/>
                <w:strike w:val="0"/>
                <w:dstrike w:val="0"/>
                <w:color w:val="auto"/>
                <w:szCs w:val="21"/>
                <w:lang w:val="en-US" w:eastAsia="zh-CN"/>
              </w:rPr>
              <w:t>/</w:t>
            </w:r>
          </w:p>
        </w:tc>
        <w:tc>
          <w:tcPr>
            <w:tcW w:w="3344" w:type="dxa"/>
            <w:noWrap w:val="0"/>
            <w:vAlign w:val="center"/>
          </w:tcPr>
          <w:p w14:paraId="2EB95A28">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废石储存在废石堆场，废石用于筑坡处理，筑坡剩余废石回填采坑</w:t>
            </w:r>
            <w:r>
              <w:rPr>
                <w:rFonts w:hint="eastAsia" w:cs="Times New Roman"/>
                <w:color w:val="auto"/>
                <w:kern w:val="2"/>
                <w:sz w:val="21"/>
                <w:szCs w:val="21"/>
                <w:highlight w:val="none"/>
                <w:lang w:val="en-US" w:eastAsia="zh-CN" w:bidi="ar-SA"/>
              </w:rPr>
              <w:t>；沉淀池底泥定期清掏干化后回填采坑；员工产生的生活垃圾暂存于垃圾桶由高昌区葡萄沟镇环卫部门定期拉运。</w:t>
            </w:r>
            <w:r>
              <w:rPr>
                <w:rFonts w:hint="default" w:ascii="Times New Roman" w:hAnsi="Times New Roman" w:eastAsia="宋体" w:cs="Times New Roman"/>
                <w:color w:val="auto"/>
                <w:kern w:val="2"/>
                <w:sz w:val="21"/>
                <w:szCs w:val="21"/>
                <w:lang w:val="en-US" w:eastAsia="zh-CN" w:bidi="ar-SA"/>
              </w:rPr>
              <w:t>废</w:t>
            </w:r>
            <w:r>
              <w:rPr>
                <w:rFonts w:hint="eastAsia" w:cs="Times New Roman"/>
                <w:color w:val="auto"/>
                <w:kern w:val="2"/>
                <w:sz w:val="21"/>
                <w:szCs w:val="21"/>
                <w:lang w:val="en-US" w:eastAsia="zh-CN" w:bidi="ar-SA"/>
              </w:rPr>
              <w:t>润滑油</w:t>
            </w:r>
            <w:r>
              <w:rPr>
                <w:rFonts w:hint="default" w:ascii="Times New Roman" w:hAnsi="Times New Roman" w:eastAsia="宋体" w:cs="Times New Roman"/>
                <w:color w:val="auto"/>
                <w:kern w:val="2"/>
                <w:sz w:val="21"/>
                <w:szCs w:val="21"/>
                <w:lang w:val="en-US" w:eastAsia="zh-CN" w:bidi="ar-SA"/>
              </w:rPr>
              <w:t>暂存在</w:t>
            </w:r>
            <w:r>
              <w:rPr>
                <w:rFonts w:hint="eastAsia" w:cs="Times New Roman"/>
                <w:color w:val="auto"/>
                <w:kern w:val="2"/>
                <w:sz w:val="21"/>
                <w:szCs w:val="21"/>
                <w:lang w:val="en-US" w:eastAsia="zh-CN" w:bidi="ar-SA"/>
              </w:rPr>
              <w:t>危废贮存点</w:t>
            </w:r>
            <w:r>
              <w:rPr>
                <w:rFonts w:hint="default" w:ascii="Times New Roman" w:hAnsi="Times New Roman" w:eastAsia="宋体" w:cs="Times New Roman"/>
                <w:color w:val="auto"/>
                <w:kern w:val="2"/>
                <w:sz w:val="21"/>
                <w:szCs w:val="21"/>
                <w:lang w:val="en-US" w:eastAsia="zh-CN" w:bidi="ar-SA"/>
              </w:rPr>
              <w:t>，定期委托具有危险废物处置资质的单位进行处置</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除尘器收集的粉尘作为产品外售</w:t>
            </w:r>
            <w:r>
              <w:rPr>
                <w:rFonts w:hint="eastAsia" w:cs="Times New Roman"/>
                <w:color w:val="auto"/>
                <w:kern w:val="2"/>
                <w:sz w:val="21"/>
                <w:szCs w:val="21"/>
                <w:lang w:val="en-US" w:eastAsia="zh-CN" w:bidi="ar-SA"/>
              </w:rPr>
              <w:t>；废布袋产生后暂存在一般固废暂存区，定期由除尘器设备厂家回收。</w:t>
            </w:r>
          </w:p>
        </w:tc>
        <w:tc>
          <w:tcPr>
            <w:tcW w:w="1474" w:type="dxa"/>
            <w:noWrap w:val="0"/>
            <w:vAlign w:val="center"/>
          </w:tcPr>
          <w:p w14:paraId="50760559">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《一般工业固体废物贮存和填埋污染控制标准》</w:t>
            </w:r>
          </w:p>
          <w:p w14:paraId="1CC6654C">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（GB18599-2020）；《危险废物贮存污染控制标准》（GB18597-2023）</w:t>
            </w:r>
          </w:p>
        </w:tc>
      </w:tr>
      <w:tr w14:paraId="270BD3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315" w:type="dxa"/>
            <w:noWrap w:val="0"/>
            <w:vAlign w:val="center"/>
          </w:tcPr>
          <w:p w14:paraId="7986BA7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电磁环境</w:t>
            </w:r>
          </w:p>
        </w:tc>
        <w:tc>
          <w:tcPr>
            <w:tcW w:w="1219" w:type="dxa"/>
            <w:noWrap w:val="0"/>
            <w:vAlign w:val="center"/>
          </w:tcPr>
          <w:p w14:paraId="5376A0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仿宋_GB2312" w:cs="Times New Roman"/>
                <w:color w:val="auto"/>
                <w:sz w:val="24"/>
                <w:szCs w:val="24"/>
              </w:rPr>
              <w:t>/</w:t>
            </w:r>
          </w:p>
        </w:tc>
        <w:tc>
          <w:tcPr>
            <w:tcW w:w="1170" w:type="dxa"/>
            <w:noWrap w:val="0"/>
            <w:vAlign w:val="center"/>
          </w:tcPr>
          <w:p w14:paraId="54940A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仿宋_GB2312" w:cs="Times New Roman"/>
                <w:color w:val="auto"/>
                <w:sz w:val="24"/>
                <w:szCs w:val="24"/>
              </w:rPr>
              <w:t>/</w:t>
            </w:r>
          </w:p>
        </w:tc>
        <w:tc>
          <w:tcPr>
            <w:tcW w:w="3344" w:type="dxa"/>
            <w:noWrap w:val="0"/>
            <w:vAlign w:val="center"/>
          </w:tcPr>
          <w:p w14:paraId="49A6D05D">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仿宋_GB2312" w:cs="Times New Roman"/>
                <w:color w:val="auto"/>
                <w:sz w:val="24"/>
                <w:szCs w:val="24"/>
              </w:rPr>
              <w:t>/</w:t>
            </w:r>
          </w:p>
        </w:tc>
        <w:tc>
          <w:tcPr>
            <w:tcW w:w="1474" w:type="dxa"/>
            <w:noWrap w:val="0"/>
            <w:vAlign w:val="center"/>
          </w:tcPr>
          <w:p w14:paraId="22BC9672">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仿宋_GB2312" w:cs="Times New Roman"/>
                <w:color w:val="auto"/>
                <w:sz w:val="24"/>
                <w:szCs w:val="24"/>
              </w:rPr>
              <w:t>/</w:t>
            </w:r>
          </w:p>
        </w:tc>
      </w:tr>
      <w:tr w14:paraId="077302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315" w:type="dxa"/>
            <w:noWrap w:val="0"/>
            <w:vAlign w:val="center"/>
          </w:tcPr>
          <w:p w14:paraId="4B203EAC">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环境风险</w:t>
            </w:r>
          </w:p>
        </w:tc>
        <w:tc>
          <w:tcPr>
            <w:tcW w:w="1219" w:type="dxa"/>
            <w:noWrap w:val="0"/>
            <w:vAlign w:val="center"/>
          </w:tcPr>
          <w:p w14:paraId="00895B55">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1170" w:type="dxa"/>
            <w:noWrap w:val="0"/>
            <w:vAlign w:val="center"/>
          </w:tcPr>
          <w:p w14:paraId="08CA6429">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3344" w:type="dxa"/>
            <w:noWrap w:val="0"/>
            <w:vAlign w:val="center"/>
          </w:tcPr>
          <w:p w14:paraId="237A5A6C">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制定环境风险应急预案</w:t>
            </w:r>
          </w:p>
        </w:tc>
        <w:tc>
          <w:tcPr>
            <w:tcW w:w="1474" w:type="dxa"/>
            <w:noWrap w:val="0"/>
            <w:vAlign w:val="center"/>
          </w:tcPr>
          <w:p w14:paraId="027B8B18">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有无应急预案演练，</w:t>
            </w:r>
            <w:r>
              <w:rPr>
                <w:rFonts w:hint="eastAsia" w:cs="Times New Roman"/>
                <w:color w:val="auto"/>
                <w:kern w:val="2"/>
                <w:sz w:val="21"/>
                <w:szCs w:val="21"/>
                <w:lang w:val="en-US" w:eastAsia="zh-CN" w:bidi="ar-SA"/>
              </w:rPr>
              <w:t>设置</w:t>
            </w:r>
            <w:r>
              <w:rPr>
                <w:rFonts w:hint="default" w:ascii="Times New Roman" w:hAnsi="Times New Roman" w:eastAsia="宋体" w:cs="Times New Roman"/>
                <w:color w:val="auto"/>
                <w:kern w:val="2"/>
                <w:sz w:val="21"/>
                <w:szCs w:val="21"/>
                <w:lang w:val="en-US" w:eastAsia="zh-CN" w:bidi="ar-SA"/>
              </w:rPr>
              <w:t>警示标志</w:t>
            </w:r>
            <w:r>
              <w:rPr>
                <w:rFonts w:hint="eastAsia" w:cs="Times New Roman"/>
                <w:color w:val="auto"/>
                <w:kern w:val="2"/>
                <w:sz w:val="21"/>
                <w:szCs w:val="21"/>
                <w:lang w:val="en-US" w:eastAsia="zh-CN" w:bidi="ar-SA"/>
              </w:rPr>
              <w:t>。</w:t>
            </w:r>
          </w:p>
        </w:tc>
      </w:tr>
      <w:tr w14:paraId="26C514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15" w:type="dxa"/>
            <w:noWrap w:val="0"/>
            <w:vAlign w:val="center"/>
          </w:tcPr>
          <w:p w14:paraId="74A822E8">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环境监测</w:t>
            </w:r>
          </w:p>
        </w:tc>
        <w:tc>
          <w:tcPr>
            <w:tcW w:w="1219" w:type="dxa"/>
            <w:noWrap w:val="0"/>
            <w:vAlign w:val="center"/>
          </w:tcPr>
          <w:p w14:paraId="77817336">
            <w:pPr>
              <w:adjustRightInd w:val="0"/>
              <w:snapToGrid w:val="0"/>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宋体"/>
                <w:strike w:val="0"/>
                <w:dstrike w:val="0"/>
                <w:color w:val="auto"/>
                <w:szCs w:val="21"/>
                <w:lang w:val="en-US" w:eastAsia="zh-CN"/>
              </w:rPr>
              <w:t>/</w:t>
            </w:r>
          </w:p>
        </w:tc>
        <w:tc>
          <w:tcPr>
            <w:tcW w:w="1170" w:type="dxa"/>
            <w:noWrap w:val="0"/>
            <w:vAlign w:val="center"/>
          </w:tcPr>
          <w:p w14:paraId="493FF09C">
            <w:pPr>
              <w:adjustRightInd w:val="0"/>
              <w:snapToGrid w:val="0"/>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宋体"/>
                <w:strike w:val="0"/>
                <w:dstrike w:val="0"/>
                <w:color w:val="auto"/>
                <w:szCs w:val="21"/>
                <w:lang w:val="en-US" w:eastAsia="zh-CN"/>
              </w:rPr>
              <w:t>/</w:t>
            </w:r>
          </w:p>
        </w:tc>
        <w:tc>
          <w:tcPr>
            <w:tcW w:w="3344" w:type="dxa"/>
            <w:noWrap w:val="0"/>
            <w:vAlign w:val="center"/>
          </w:tcPr>
          <w:p w14:paraId="1D06FB96">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厂界噪声</w:t>
            </w:r>
            <w:r>
              <w:rPr>
                <w:rFonts w:hint="eastAsia" w:ascii="Times New Roman" w:hAnsi="Times New Roman" w:eastAsia="宋体" w:cs="Times New Roman"/>
                <w:color w:val="auto"/>
                <w:kern w:val="2"/>
                <w:sz w:val="21"/>
                <w:szCs w:val="21"/>
                <w:highlight w:val="none"/>
                <w:lang w:val="en-US" w:eastAsia="zh-CN" w:bidi="ar-SA"/>
              </w:rPr>
              <w:t>、扬尘</w:t>
            </w:r>
          </w:p>
        </w:tc>
        <w:tc>
          <w:tcPr>
            <w:tcW w:w="1474" w:type="dxa"/>
            <w:noWrap w:val="0"/>
            <w:vAlign w:val="center"/>
          </w:tcPr>
          <w:p w14:paraId="74591677">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《工业企业厂界环境噪声排放标准》（GB12348-2008）中2类标准</w:t>
            </w:r>
            <w:r>
              <w:rPr>
                <w:rFonts w:hint="eastAsia"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lang w:val="en-US" w:eastAsia="zh-CN" w:bidi="ar-SA"/>
              </w:rPr>
              <w:t>《大气污染物综合排放标准》（GB16297-1996）表2排放限值</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highlight w:val="none"/>
                <w:lang w:val="en-US" w:eastAsia="zh-CN" w:bidi="ar-SA"/>
              </w:rPr>
              <w:t>《大气污染物综合排放标准》（GB16297-1996）</w:t>
            </w:r>
            <w:r>
              <w:rPr>
                <w:rFonts w:hint="default" w:ascii="Times New Roman" w:hAnsi="Times New Roman" w:eastAsia="宋体" w:cs="Times New Roman"/>
                <w:color w:val="auto"/>
                <w:sz w:val="21"/>
                <w:szCs w:val="21"/>
                <w:highlight w:val="none"/>
                <w:lang w:eastAsia="zh-CN"/>
              </w:rPr>
              <w:t>中表2中无组织排放监控浓度限值标准</w:t>
            </w:r>
          </w:p>
        </w:tc>
      </w:tr>
      <w:tr w14:paraId="2F382F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315" w:type="dxa"/>
            <w:noWrap w:val="0"/>
            <w:vAlign w:val="center"/>
          </w:tcPr>
          <w:p w14:paraId="3FF742EE">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其他</w:t>
            </w:r>
          </w:p>
        </w:tc>
        <w:tc>
          <w:tcPr>
            <w:tcW w:w="1219" w:type="dxa"/>
            <w:noWrap w:val="0"/>
            <w:vAlign w:val="center"/>
          </w:tcPr>
          <w:p w14:paraId="6BE7CDA5">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仿宋_GB2312" w:cs="Times New Roman"/>
                <w:color w:val="auto"/>
                <w:sz w:val="24"/>
                <w:szCs w:val="24"/>
              </w:rPr>
              <w:t>/</w:t>
            </w:r>
          </w:p>
        </w:tc>
        <w:tc>
          <w:tcPr>
            <w:tcW w:w="1170" w:type="dxa"/>
            <w:noWrap w:val="0"/>
            <w:vAlign w:val="center"/>
          </w:tcPr>
          <w:p w14:paraId="2D78302A">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仿宋_GB2312" w:cs="Times New Roman"/>
                <w:color w:val="auto"/>
                <w:sz w:val="24"/>
                <w:szCs w:val="24"/>
              </w:rPr>
              <w:t>/</w:t>
            </w:r>
          </w:p>
        </w:tc>
        <w:tc>
          <w:tcPr>
            <w:tcW w:w="3344" w:type="dxa"/>
            <w:noWrap w:val="0"/>
            <w:vAlign w:val="center"/>
          </w:tcPr>
          <w:p w14:paraId="6A9702E9">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1474" w:type="dxa"/>
            <w:noWrap w:val="0"/>
            <w:vAlign w:val="center"/>
          </w:tcPr>
          <w:p w14:paraId="7EC935FA">
            <w:pPr>
              <w:pStyle w:val="7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Times New Roman" w:hAnsi="Times New Roman" w:eastAsia="宋体" w:cs="Times New Roman"/>
                <w:color w:val="auto"/>
                <w:kern w:val="2"/>
                <w:sz w:val="21"/>
                <w:szCs w:val="21"/>
                <w:lang w:val="en-US" w:eastAsia="zh-CN" w:bidi="ar-SA"/>
              </w:rPr>
            </w:pPr>
          </w:p>
        </w:tc>
      </w:tr>
    </w:tbl>
    <w:p w14:paraId="31F221DD">
      <w:pPr>
        <w:pStyle w:val="29"/>
        <w:spacing w:before="192" w:beforeLines="80" w:beforeAutospacing="0"/>
        <w:jc w:val="center"/>
        <w:outlineLvl w:val="0"/>
        <w:rPr>
          <w:rFonts w:hint="default" w:ascii="Times New Roman" w:hAnsi="Times New Roman" w:eastAsia="宋体" w:cs="Times New Roman"/>
          <w:snapToGrid w:val="0"/>
          <w:color w:val="auto"/>
          <w:sz w:val="30"/>
          <w:szCs w:val="30"/>
        </w:rPr>
      </w:pPr>
    </w:p>
    <w:p w14:paraId="11842CFE">
      <w:pPr>
        <w:pStyle w:val="29"/>
        <w:spacing w:before="192" w:beforeLines="80" w:beforeAutospacing="0"/>
        <w:jc w:val="center"/>
        <w:outlineLvl w:val="0"/>
        <w:rPr>
          <w:rFonts w:hint="default" w:ascii="Times New Roman" w:hAnsi="Times New Roman" w:eastAsia="宋体" w:cs="Times New Roman"/>
          <w:snapToGrid w:val="0"/>
          <w:color w:val="auto"/>
          <w:sz w:val="30"/>
          <w:szCs w:val="30"/>
        </w:rPr>
      </w:pPr>
    </w:p>
    <w:p w14:paraId="7AB40658">
      <w:pPr>
        <w:pStyle w:val="29"/>
        <w:spacing w:before="192" w:beforeLines="80" w:beforeAutospacing="0"/>
        <w:jc w:val="center"/>
        <w:outlineLvl w:val="0"/>
        <w:rPr>
          <w:rFonts w:hint="default" w:ascii="Times New Roman" w:hAnsi="Times New Roman" w:eastAsia="宋体" w:cs="Times New Roman"/>
          <w:snapToGrid w:val="0"/>
          <w:color w:val="auto"/>
          <w:sz w:val="30"/>
          <w:szCs w:val="30"/>
        </w:rPr>
      </w:pPr>
    </w:p>
    <w:p w14:paraId="4F405328">
      <w:pPr>
        <w:pStyle w:val="29"/>
        <w:spacing w:before="192" w:beforeLines="80" w:beforeAutospacing="0"/>
        <w:jc w:val="center"/>
        <w:outlineLvl w:val="0"/>
        <w:rPr>
          <w:rFonts w:hint="default" w:ascii="Times New Roman" w:hAnsi="Times New Roman" w:eastAsia="宋体" w:cs="Times New Roman"/>
          <w:snapToGrid w:val="0"/>
          <w:color w:val="auto"/>
          <w:sz w:val="30"/>
          <w:szCs w:val="30"/>
        </w:rPr>
      </w:pPr>
    </w:p>
    <w:p w14:paraId="4E66BADD">
      <w:pPr>
        <w:pStyle w:val="29"/>
        <w:spacing w:before="192" w:beforeLines="80" w:beforeAutospacing="0"/>
        <w:jc w:val="center"/>
        <w:outlineLvl w:val="0"/>
        <w:rPr>
          <w:rFonts w:hint="default" w:ascii="Times New Roman" w:hAnsi="Times New Roman" w:eastAsia="宋体" w:cs="Times New Roman"/>
          <w:snapToGrid w:val="0"/>
          <w:color w:val="auto"/>
          <w:sz w:val="30"/>
          <w:szCs w:val="30"/>
        </w:rPr>
      </w:pPr>
    </w:p>
    <w:p w14:paraId="3FFEEC52">
      <w:pPr>
        <w:pStyle w:val="29"/>
        <w:spacing w:before="192" w:beforeLines="80" w:beforeAutospacing="0"/>
        <w:jc w:val="center"/>
        <w:outlineLvl w:val="0"/>
        <w:rPr>
          <w:rFonts w:hint="default" w:ascii="Times New Roman" w:hAnsi="Times New Roman" w:eastAsia="宋体" w:cs="Times New Roman"/>
          <w:snapToGrid w:val="0"/>
          <w:color w:val="auto"/>
          <w:sz w:val="30"/>
          <w:szCs w:val="30"/>
        </w:rPr>
      </w:pPr>
    </w:p>
    <w:p w14:paraId="20E5A29C">
      <w:pPr>
        <w:pStyle w:val="29"/>
        <w:spacing w:before="192" w:beforeLines="80" w:beforeAutospacing="0"/>
        <w:jc w:val="center"/>
        <w:outlineLvl w:val="0"/>
        <w:rPr>
          <w:rFonts w:hint="default" w:ascii="Times New Roman" w:hAnsi="Times New Roman" w:eastAsia="宋体" w:cs="Times New Roman"/>
          <w:snapToGrid w:val="0"/>
          <w:color w:val="auto"/>
          <w:sz w:val="30"/>
          <w:szCs w:val="30"/>
        </w:rPr>
      </w:pPr>
    </w:p>
    <w:p w14:paraId="1056BB9F">
      <w:pPr>
        <w:pStyle w:val="29"/>
        <w:spacing w:before="192" w:beforeLines="80" w:beforeAutospacing="0"/>
        <w:jc w:val="center"/>
        <w:outlineLvl w:val="0"/>
        <w:rPr>
          <w:rFonts w:hint="default" w:ascii="Times New Roman" w:hAnsi="Times New Roman" w:eastAsia="宋体" w:cs="Times New Roman"/>
          <w:snapToGrid w:val="0"/>
          <w:color w:val="auto"/>
          <w:sz w:val="30"/>
          <w:szCs w:val="30"/>
        </w:rPr>
      </w:pPr>
    </w:p>
    <w:p w14:paraId="6902A350">
      <w:pPr>
        <w:pStyle w:val="29"/>
        <w:spacing w:before="192" w:beforeLines="80" w:beforeAutospacing="0"/>
        <w:jc w:val="center"/>
        <w:outlineLvl w:val="0"/>
        <w:rPr>
          <w:rFonts w:hint="eastAsia" w:ascii="黑体" w:hAnsi="黑体" w:eastAsia="黑体" w:cs="黑体"/>
          <w:snapToGrid w:val="0"/>
          <w:color w:val="auto"/>
          <w:sz w:val="30"/>
          <w:szCs w:val="30"/>
        </w:rPr>
      </w:pPr>
      <w:r>
        <w:rPr>
          <w:rFonts w:hint="eastAsia" w:ascii="黑体" w:hAnsi="黑体" w:eastAsia="黑体" w:cs="黑体"/>
          <w:snapToGrid w:val="0"/>
          <w:color w:val="auto"/>
          <w:sz w:val="30"/>
          <w:szCs w:val="30"/>
        </w:rPr>
        <w:t>七、结论</w:t>
      </w:r>
    </w:p>
    <w:tbl>
      <w:tblPr>
        <w:tblStyle w:val="3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14:paraId="37B9DD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9" w:hRule="atLeast"/>
          <w:jc w:val="center"/>
        </w:trPr>
        <w:tc>
          <w:tcPr>
            <w:tcW w:w="9289" w:type="dxa"/>
            <w:noWrap w:val="0"/>
            <w:vAlign w:val="top"/>
          </w:tcPr>
          <w:p w14:paraId="5FA5342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本项目的建设符合国家有关产业政策的要求，项目的实施有利于合理利用有效资源，在按评价提出的污染治理措施和生态恢复措施完善后，符合项目的建设特点和环境保护要求，具有良好的经济效益、社会效益和环境效益。建设单位在落实评价提出的各项污染防治措施及生态保护措施后，严格执行“三同时”，各项污染物可实现达标排放，生态恢复治理可实现预期效果。从环保角度分析，</w:t>
            </w:r>
            <w:bookmarkStart w:id="0" w:name="_GoBack"/>
            <w:r>
              <w:rPr>
                <w:rFonts w:hint="eastAsia" w:cs="Times New Roman"/>
                <w:color w:val="auto"/>
                <w:kern w:val="0"/>
                <w:sz w:val="24"/>
                <w:szCs w:val="24"/>
                <w:lang w:val="en-US" w:eastAsia="zh-CN" w:bidi="ar"/>
              </w:rPr>
              <w:t>项目</w:t>
            </w:r>
            <w:bookmarkEnd w:id="0"/>
            <w:r>
              <w:rPr>
                <w:rFonts w:hint="default" w:ascii="Times New Roman" w:hAnsi="Times New Roman" w:eastAsia="宋体" w:cs="Times New Roman"/>
                <w:color w:val="auto"/>
                <w:kern w:val="0"/>
                <w:sz w:val="24"/>
                <w:szCs w:val="24"/>
                <w:lang w:val="en-US" w:eastAsia="zh-CN" w:bidi="ar"/>
              </w:rPr>
              <w:t>建设可行。</w:t>
            </w:r>
          </w:p>
          <w:p w14:paraId="79519000">
            <w:pPr>
              <w:adjustRightInd w:val="0"/>
              <w:snapToGrid w:val="0"/>
              <w:ind w:firstLine="315"/>
              <w:jc w:val="both"/>
              <w:rPr>
                <w:rFonts w:hint="default" w:ascii="Times New Roman" w:hAnsi="Times New Roman" w:eastAsia="宋体" w:cs="Times New Roman"/>
                <w:color w:val="auto"/>
                <w:szCs w:val="21"/>
              </w:rPr>
            </w:pPr>
          </w:p>
          <w:p w14:paraId="3088FF78">
            <w:pPr>
              <w:pStyle w:val="5"/>
              <w:rPr>
                <w:rFonts w:hint="default"/>
                <w:color w:val="auto"/>
              </w:rPr>
            </w:pPr>
          </w:p>
        </w:tc>
      </w:tr>
    </w:tbl>
    <w:p w14:paraId="35EC76E7">
      <w:pPr>
        <w:bidi w:val="0"/>
        <w:rPr>
          <w:rFonts w:hint="default" w:ascii="Times New Roman" w:hAnsi="Times New Roman" w:eastAsia="宋体" w:cs="Times New Roman"/>
          <w:color w:val="auto"/>
          <w:highlight w:val="none"/>
        </w:rPr>
      </w:pPr>
    </w:p>
    <w:p w14:paraId="6C304892">
      <w:pPr>
        <w:bidi w:val="0"/>
        <w:rPr>
          <w:rFonts w:hint="default" w:ascii="Times New Roman" w:hAnsi="Times New Roman" w:eastAsia="宋体" w:cs="Times New Roman"/>
          <w:color w:val="auto"/>
          <w:highlight w:val="none"/>
        </w:rPr>
      </w:pPr>
    </w:p>
    <w:p w14:paraId="3105C504">
      <w:pPr>
        <w:tabs>
          <w:tab w:val="left" w:pos="11322"/>
        </w:tabs>
        <w:bidi w:val="0"/>
        <w:jc w:val="left"/>
        <w:rPr>
          <w:rFonts w:hint="default"/>
          <w:lang w:val="en-US" w:eastAsia="zh-CN"/>
        </w:rPr>
      </w:pPr>
      <w:r>
        <w:rPr>
          <w:rFonts w:hint="default" w:ascii="Times New Roman" w:hAnsi="Times New Roman" w:eastAsia="宋体" w:cs="Times New Roman"/>
          <w:color w:val="auto"/>
          <w:sz w:val="21"/>
          <w:highlight w:val="none"/>
        </w:rPr>
        <mc:AlternateContent>
          <mc:Choice Requires="wps">
            <w:drawing>
              <wp:anchor distT="0" distB="0" distL="114300" distR="114300" simplePos="0" relativeHeight="251661312" behindDoc="0" locked="0" layoutInCell="1" allowOverlap="1">
                <wp:simplePos x="0" y="0"/>
                <wp:positionH relativeFrom="column">
                  <wp:posOffset>1177925</wp:posOffset>
                </wp:positionH>
                <wp:positionV relativeFrom="paragraph">
                  <wp:posOffset>3583940</wp:posOffset>
                </wp:positionV>
                <wp:extent cx="2818765" cy="375285"/>
                <wp:effectExtent l="0" t="0" r="0" b="0"/>
                <wp:wrapNone/>
                <wp:docPr id="3" name="文本框 97"/>
                <wp:cNvGraphicFramePr/>
                <a:graphic xmlns:a="http://schemas.openxmlformats.org/drawingml/2006/main">
                  <a:graphicData uri="http://schemas.microsoft.com/office/word/2010/wordprocessingShape">
                    <wps:wsp>
                      <wps:cNvSpPr txBox="1"/>
                      <wps:spPr>
                        <a:xfrm>
                          <a:off x="0" y="0"/>
                          <a:ext cx="2818765" cy="375285"/>
                        </a:xfrm>
                        <a:prstGeom prst="rect">
                          <a:avLst/>
                        </a:prstGeom>
                        <a:noFill/>
                        <a:ln>
                          <a:noFill/>
                        </a:ln>
                      </wps:spPr>
                      <wps:txbx>
                        <w:txbxContent>
                          <w:p w14:paraId="5A72FF37">
                            <w:pPr>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eastAsia="zh-CN"/>
                              </w:rPr>
                              <w:t>附图</w:t>
                            </w:r>
                            <w:r>
                              <w:rPr>
                                <w:rFonts w:hint="default" w:ascii="Times New Roman" w:hAnsi="Times New Roman" w:eastAsia="仿宋_GB2312" w:cs="Times New Roman"/>
                                <w:b/>
                                <w:bCs/>
                                <w:sz w:val="24"/>
                                <w:szCs w:val="24"/>
                                <w:lang w:val="en-US" w:eastAsia="zh-CN"/>
                              </w:rPr>
                              <w:t xml:space="preserve">1  </w:t>
                            </w:r>
                            <w:r>
                              <w:rPr>
                                <w:rFonts w:hint="eastAsia" w:ascii="Times New Roman" w:hAnsi="Times New Roman" w:eastAsia="仿宋_GB2312" w:cs="Times New Roman"/>
                                <w:b/>
                                <w:bCs/>
                                <w:sz w:val="24"/>
                                <w:szCs w:val="24"/>
                                <w:lang w:val="en-US" w:eastAsia="zh-CN"/>
                              </w:rPr>
                              <w:t>本项目所在管控单元位置图</w:t>
                            </w:r>
                          </w:p>
                        </w:txbxContent>
                      </wps:txbx>
                      <wps:bodyPr upright="1"/>
                    </wps:wsp>
                  </a:graphicData>
                </a:graphic>
              </wp:anchor>
            </w:drawing>
          </mc:Choice>
          <mc:Fallback>
            <w:pict>
              <v:shape id="文本框 97" o:spid="_x0000_s1026" o:spt="202" type="#_x0000_t202" style="position:absolute;left:0pt;margin-left:92.75pt;margin-top:282.2pt;height:29.55pt;width:221.95pt;z-index:251661312;mso-width-relative:page;mso-height-relative:page;" filled="f" stroked="f" coordsize="21600,21600" o:gfxdata="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uMKZZtYA&#10;AAALAQAADwAAAAAAAAABACAAAAAiAAAAZHJzL2Rvd25yZXYueG1sUEsBAhQAFAAAAAgAh07iQIIK&#10;wCuvAQAATwMAAA4AAAAAAAAAAQAgAAAAJQEAAGRycy9lMm9Eb2MueG1sUEsFBgAAAAAGAAYAWQEA&#10;AEYFAAAAAA==&#10;">
                <v:fill on="f" focussize="0,0"/>
                <v:stroke on="f"/>
                <v:imagedata o:title=""/>
                <o:lock v:ext="edit" aspectratio="f"/>
                <v:textbox>
                  <w:txbxContent>
                    <w:p w14:paraId="5A72FF37">
                      <w:pPr>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eastAsia="zh-CN"/>
                        </w:rPr>
                        <w:t>附图</w:t>
                      </w:r>
                      <w:r>
                        <w:rPr>
                          <w:rFonts w:hint="default" w:ascii="Times New Roman" w:hAnsi="Times New Roman" w:eastAsia="仿宋_GB2312" w:cs="Times New Roman"/>
                          <w:b/>
                          <w:bCs/>
                          <w:sz w:val="24"/>
                          <w:szCs w:val="24"/>
                          <w:lang w:val="en-US" w:eastAsia="zh-CN"/>
                        </w:rPr>
                        <w:t xml:space="preserve">1  </w:t>
                      </w:r>
                      <w:r>
                        <w:rPr>
                          <w:rFonts w:hint="eastAsia" w:ascii="Times New Roman" w:hAnsi="Times New Roman" w:eastAsia="仿宋_GB2312" w:cs="Times New Roman"/>
                          <w:b/>
                          <w:bCs/>
                          <w:sz w:val="24"/>
                          <w:szCs w:val="24"/>
                          <w:lang w:val="en-US" w:eastAsia="zh-CN"/>
                        </w:rPr>
                        <w:t>本项目所在管控单元位置图</w:t>
                      </w:r>
                    </w:p>
                  </w:txbxContent>
                </v:textbox>
              </v:shape>
            </w:pict>
          </mc:Fallback>
        </mc:AlternateContent>
      </w:r>
      <w:r>
        <w:rPr>
          <w:rFonts w:hint="default" w:ascii="Times New Roman" w:hAnsi="Times New Roman" w:eastAsia="宋体" w:cs="Times New Roman"/>
          <w:color w:val="auto"/>
          <w:sz w:val="21"/>
          <w:highlight w:val="none"/>
        </w:rPr>
        <mc:AlternateContent>
          <mc:Choice Requires="wps">
            <w:drawing>
              <wp:anchor distT="0" distB="0" distL="114300" distR="114300" simplePos="0" relativeHeight="251663360" behindDoc="0" locked="0" layoutInCell="1" allowOverlap="1">
                <wp:simplePos x="0" y="0"/>
                <wp:positionH relativeFrom="column">
                  <wp:posOffset>1988820</wp:posOffset>
                </wp:positionH>
                <wp:positionV relativeFrom="paragraph">
                  <wp:posOffset>3246120</wp:posOffset>
                </wp:positionV>
                <wp:extent cx="2818765" cy="375285"/>
                <wp:effectExtent l="0" t="0" r="0" b="0"/>
                <wp:wrapNone/>
                <wp:docPr id="49" name="文本框 636"/>
                <wp:cNvGraphicFramePr/>
                <a:graphic xmlns:a="http://schemas.openxmlformats.org/drawingml/2006/main">
                  <a:graphicData uri="http://schemas.microsoft.com/office/word/2010/wordprocessingShape">
                    <wps:wsp>
                      <wps:cNvSpPr txBox="1"/>
                      <wps:spPr>
                        <a:xfrm>
                          <a:off x="0" y="0"/>
                          <a:ext cx="2818765" cy="375285"/>
                        </a:xfrm>
                        <a:prstGeom prst="rect">
                          <a:avLst/>
                        </a:prstGeom>
                        <a:noFill/>
                        <a:ln>
                          <a:noFill/>
                        </a:ln>
                      </wps:spPr>
                      <wps:txbx>
                        <w:txbxContent>
                          <w:p w14:paraId="05694C91">
                            <w:pPr>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eastAsia="zh-CN"/>
                              </w:rPr>
                              <w:t>附图</w:t>
                            </w:r>
                            <w:r>
                              <w:rPr>
                                <w:rFonts w:hint="eastAsia" w:ascii="Times New Roman" w:hAnsi="Times New Roman" w:eastAsia="仿宋_GB2312" w:cs="Times New Roman"/>
                                <w:b/>
                                <w:bCs/>
                                <w:sz w:val="24"/>
                                <w:szCs w:val="24"/>
                                <w:lang w:val="en-US" w:eastAsia="zh-CN"/>
                              </w:rPr>
                              <w:t xml:space="preserve">2 </w:t>
                            </w:r>
                            <w:r>
                              <w:rPr>
                                <w:rFonts w:hint="default" w:ascii="Times New Roman" w:hAnsi="Times New Roman" w:eastAsia="仿宋_GB2312" w:cs="Times New Roman"/>
                                <w:b/>
                                <w:bCs/>
                                <w:sz w:val="24"/>
                                <w:szCs w:val="24"/>
                                <w:lang w:val="en-US" w:eastAsia="zh-CN"/>
                              </w:rPr>
                              <w:t xml:space="preserve"> 项目区地理位置图</w:t>
                            </w:r>
                          </w:p>
                        </w:txbxContent>
                      </wps:txbx>
                      <wps:bodyPr upright="1"/>
                    </wps:wsp>
                  </a:graphicData>
                </a:graphic>
              </wp:anchor>
            </w:drawing>
          </mc:Choice>
          <mc:Fallback>
            <w:pict>
              <v:shape id="文本框 636" o:spid="_x0000_s1026" o:spt="202" type="#_x0000_t202" style="position:absolute;left:0pt;margin-left:156.6pt;margin-top:255.6pt;height:29.55pt;width:221.95pt;z-index:251663360;mso-width-relative:page;mso-height-relative:page;" filled="f" stroked="f" coordsize="21600,21600" o:gfxdata="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dZR9&#10;9dcAAAALAQAADwAAAAAAAAABACAAAAAiAAAAZHJzL2Rvd25yZXYueG1sUEsBAhQAFAAAAAgAh07i&#10;QFLvTMOxAQAAUQMAAA4AAAAAAAAAAQAgAAAAJgEAAGRycy9lMm9Eb2MueG1sUEsFBgAAAAAGAAYA&#10;WQEAAEkFAAAAAA==&#10;">
                <v:fill on="f" focussize="0,0"/>
                <v:stroke on="f"/>
                <v:imagedata o:title=""/>
                <o:lock v:ext="edit" aspectratio="f"/>
                <v:textbox>
                  <w:txbxContent>
                    <w:p w14:paraId="05694C91">
                      <w:pPr>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eastAsia="zh-CN"/>
                        </w:rPr>
                        <w:t>附图</w:t>
                      </w:r>
                      <w:r>
                        <w:rPr>
                          <w:rFonts w:hint="eastAsia" w:ascii="Times New Roman" w:hAnsi="Times New Roman" w:eastAsia="仿宋_GB2312" w:cs="Times New Roman"/>
                          <w:b/>
                          <w:bCs/>
                          <w:sz w:val="24"/>
                          <w:szCs w:val="24"/>
                          <w:lang w:val="en-US" w:eastAsia="zh-CN"/>
                        </w:rPr>
                        <w:t xml:space="preserve">2 </w:t>
                      </w:r>
                      <w:r>
                        <w:rPr>
                          <w:rFonts w:hint="default" w:ascii="Times New Roman" w:hAnsi="Times New Roman" w:eastAsia="仿宋_GB2312" w:cs="Times New Roman"/>
                          <w:b/>
                          <w:bCs/>
                          <w:sz w:val="24"/>
                          <w:szCs w:val="24"/>
                          <w:lang w:val="en-US" w:eastAsia="zh-CN"/>
                        </w:rPr>
                        <w:t xml:space="preserve"> 项目区地理位置图</w:t>
                      </w:r>
                    </w:p>
                  </w:txbxContent>
                </v:textbox>
              </v:shape>
            </w:pict>
          </mc:Fallback>
        </mc:AlternateContent>
      </w:r>
      <w:r>
        <w:rPr>
          <w:rFonts w:hint="default" w:ascii="Times New Roman" w:hAnsi="Times New Roman" w:eastAsia="宋体" w:cs="Times New Roman"/>
          <w:color w:val="auto"/>
          <w:sz w:val="21"/>
          <w:highlight w:val="none"/>
        </w:rPr>
        <mc:AlternateContent>
          <mc:Choice Requires="wps">
            <w:drawing>
              <wp:anchor distT="0" distB="0" distL="114300" distR="114300" simplePos="0" relativeHeight="251662336" behindDoc="0" locked="0" layoutInCell="1" allowOverlap="1">
                <wp:simplePos x="0" y="0"/>
                <wp:positionH relativeFrom="column">
                  <wp:posOffset>1760220</wp:posOffset>
                </wp:positionH>
                <wp:positionV relativeFrom="paragraph">
                  <wp:posOffset>8457565</wp:posOffset>
                </wp:positionV>
                <wp:extent cx="2818765" cy="375285"/>
                <wp:effectExtent l="0" t="0" r="0" b="0"/>
                <wp:wrapNone/>
                <wp:docPr id="4" name="文本框 98"/>
                <wp:cNvGraphicFramePr/>
                <a:graphic xmlns:a="http://schemas.openxmlformats.org/drawingml/2006/main">
                  <a:graphicData uri="http://schemas.microsoft.com/office/word/2010/wordprocessingShape">
                    <wps:wsp>
                      <wps:cNvSpPr txBox="1"/>
                      <wps:spPr>
                        <a:xfrm>
                          <a:off x="0" y="0"/>
                          <a:ext cx="2818765" cy="375285"/>
                        </a:xfrm>
                        <a:prstGeom prst="rect">
                          <a:avLst/>
                        </a:prstGeom>
                        <a:noFill/>
                        <a:ln>
                          <a:noFill/>
                        </a:ln>
                      </wps:spPr>
                      <wps:txbx>
                        <w:txbxContent>
                          <w:p w14:paraId="2D3EB1A2">
                            <w:pPr>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eastAsia="zh-CN"/>
                              </w:rPr>
                              <w:t>附图</w:t>
                            </w:r>
                            <w:r>
                              <w:rPr>
                                <w:rFonts w:hint="eastAsia" w:ascii="Times New Roman" w:hAnsi="Times New Roman" w:eastAsia="仿宋_GB2312" w:cs="Times New Roman"/>
                                <w:b/>
                                <w:bCs/>
                                <w:sz w:val="24"/>
                                <w:szCs w:val="24"/>
                                <w:lang w:val="en-US" w:eastAsia="zh-CN"/>
                              </w:rPr>
                              <w:t xml:space="preserve">2 </w:t>
                            </w:r>
                            <w:r>
                              <w:rPr>
                                <w:rFonts w:hint="default" w:ascii="Times New Roman" w:hAnsi="Times New Roman" w:eastAsia="仿宋_GB2312" w:cs="Times New Roman"/>
                                <w:b/>
                                <w:bCs/>
                                <w:sz w:val="24"/>
                                <w:szCs w:val="24"/>
                                <w:lang w:val="en-US" w:eastAsia="zh-CN"/>
                              </w:rPr>
                              <w:t xml:space="preserve"> 项目区地理位置图</w:t>
                            </w:r>
                          </w:p>
                        </w:txbxContent>
                      </wps:txbx>
                      <wps:bodyPr upright="1"/>
                    </wps:wsp>
                  </a:graphicData>
                </a:graphic>
              </wp:anchor>
            </w:drawing>
          </mc:Choice>
          <mc:Fallback>
            <w:pict>
              <v:shape id="文本框 98" o:spid="_x0000_s1026" o:spt="202" type="#_x0000_t202" style="position:absolute;left:0pt;margin-left:138.6pt;margin-top:665.95pt;height:29.55pt;width:221.95pt;z-index:251662336;mso-width-relative:page;mso-height-relative:page;" filled="f" stroked="f" coordsize="21600,21600" o:gfxdata="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6f6iB&#10;2AAAAA0BAAAPAAAAAAAAAAEAIAAAACIAAABkcnMvZG93bnJldi54bWxQSwECFAAUAAAACACHTuJA&#10;FkWU568BAABPAwAADgAAAAAAAAABACAAAAAnAQAAZHJzL2Uyb0RvYy54bWxQSwUGAAAAAAYABgBZ&#10;AQAASAUAAAAA&#10;">
                <v:fill on="f" focussize="0,0"/>
                <v:stroke on="f"/>
                <v:imagedata o:title=""/>
                <o:lock v:ext="edit" aspectratio="f"/>
                <v:textbox>
                  <w:txbxContent>
                    <w:p w14:paraId="2D3EB1A2">
                      <w:pPr>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eastAsia="zh-CN"/>
                        </w:rPr>
                        <w:t>附图</w:t>
                      </w:r>
                      <w:r>
                        <w:rPr>
                          <w:rFonts w:hint="eastAsia" w:ascii="Times New Roman" w:hAnsi="Times New Roman" w:eastAsia="仿宋_GB2312" w:cs="Times New Roman"/>
                          <w:b/>
                          <w:bCs/>
                          <w:sz w:val="24"/>
                          <w:szCs w:val="24"/>
                          <w:lang w:val="en-US" w:eastAsia="zh-CN"/>
                        </w:rPr>
                        <w:t xml:space="preserve">2 </w:t>
                      </w:r>
                      <w:r>
                        <w:rPr>
                          <w:rFonts w:hint="default" w:ascii="Times New Roman" w:hAnsi="Times New Roman" w:eastAsia="仿宋_GB2312" w:cs="Times New Roman"/>
                          <w:b/>
                          <w:bCs/>
                          <w:sz w:val="24"/>
                          <w:szCs w:val="24"/>
                          <w:lang w:val="en-US" w:eastAsia="zh-CN"/>
                        </w:rPr>
                        <w:t xml:space="preserve"> 项目区地理位置图</w:t>
                      </w:r>
                    </w:p>
                  </w:txbxContent>
                </v:textbox>
              </v:shape>
            </w:pict>
          </mc:Fallback>
        </mc:AlternateContent>
      </w:r>
    </w:p>
    <w:sectPr>
      <w:footerReference r:id="rId4" w:type="default"/>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MingLiU">
    <w:altName w:val="PMingLiU-ExtB"/>
    <w:panose1 w:val="02020509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B8627">
    <w:pPr>
      <w:pStyle w:val="20"/>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071DD0">
                          <w:pPr>
                            <w:pStyle w:val="2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f6ruMoBAACb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cROurylx3OLIzz9/nH/9Of/+&#10;TpZZoD5AjXn3ATPT8M4PmDz7AZ2Z96CizV9kRDCO8p4u8sohEZEfrZarVYUhgbH5gvjs4XmIkN5L&#10;b0k2GhpxfkVWfvwIaUydU3I15++0MWWGxv3jQMzsYbn3scdspWE3TIR2vj0hnx5H31CHm06J+eBQ&#10;2bwlsxFnYzcbhxD1vitrlOtBuD0kbKL0liuMsFNhnFlhN+1XXorH95L18E9t/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0f6ruMoBAACbAwAADgAAAAAAAAABACAAAAAeAQAAZHJzL2Uyb0Rv&#10;Yy54bWxQSwUGAAAAAAYABgBZAQAAWgUAAAAA&#10;">
              <v:fill on="f" focussize="0,0"/>
              <v:stroke on="f"/>
              <v:imagedata o:title=""/>
              <o:lock v:ext="edit" aspectratio="f"/>
              <v:textbox inset="0mm,0mm,0mm,0mm" style="mso-fit-shape-to-text:t;">
                <w:txbxContent>
                  <w:p w14:paraId="6E071DD0">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F2475">
    <w:pPr>
      <w:pStyle w:val="20"/>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7" name="文本框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C5942A">
                          <w:pPr>
                            <w:pStyle w:val="20"/>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lt3+k0AgAAZQ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G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pbd/pNAIAAGUEAAAOAAAAAAAAAAEAIAAAAB8BAABkcnMvZTJvRG9jLnhtbFBL&#10;BQYAAAAABgAGAFkBAADFBQAAAAA=&#10;">
              <v:fill on="f" focussize="0,0"/>
              <v:stroke on="f" weight="0.5pt"/>
              <v:imagedata o:title=""/>
              <o:lock v:ext="edit" aspectratio="f"/>
              <v:textbox inset="0mm,0mm,0mm,0mm" style="mso-fit-shape-to-text:t;">
                <w:txbxContent>
                  <w:p w14:paraId="79C5942A">
                    <w:pPr>
                      <w:pStyle w:val="20"/>
                    </w:pPr>
                    <w:r>
                      <w:fldChar w:fldCharType="begin"/>
                    </w:r>
                    <w:r>
                      <w:instrText xml:space="preserve"> PAGE  \* MERGEFORMAT </w:instrText>
                    </w:r>
                    <w:r>
                      <w:fldChar w:fldCharType="separate"/>
                    </w:r>
                    <w:r>
                      <w:t>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26FF6C"/>
    <w:multiLevelType w:val="singleLevel"/>
    <w:tmpl w:val="2626FF6C"/>
    <w:lvl w:ilvl="0" w:tentative="0">
      <w:start w:val="1"/>
      <w:numFmt w:val="decimal"/>
      <w:pStyle w:val="26"/>
      <w:lvlText w:val="%1."/>
      <w:lvlJc w:val="left"/>
      <w:pPr>
        <w:tabs>
          <w:tab w:val="left" w:pos="2040"/>
        </w:tabs>
        <w:ind w:left="2040" w:hanging="360"/>
      </w:pPr>
    </w:lvl>
  </w:abstractNum>
  <w:abstractNum w:abstractNumId="1">
    <w:nsid w:val="62D1F68E"/>
    <w:multiLevelType w:val="singleLevel"/>
    <w:tmpl w:val="62D1F68E"/>
    <w:lvl w:ilvl="0" w:tentative="0">
      <w:start w:val="1"/>
      <w:numFmt w:val="bullet"/>
      <w:pStyle w:val="15"/>
      <w:lvlText w:val=""/>
      <w:lvlJc w:val="left"/>
      <w:pPr>
        <w:tabs>
          <w:tab w:val="left" w:pos="2040"/>
        </w:tabs>
        <w:ind w:left="204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mODAwMzk0MDEyOTVjYTI5ZGUwZmRmODJjOTMxZTMifQ=="/>
  </w:docVars>
  <w:rsids>
    <w:rsidRoot w:val="00A14947"/>
    <w:rsid w:val="00001CED"/>
    <w:rsid w:val="00001E67"/>
    <w:rsid w:val="00003CD8"/>
    <w:rsid w:val="00014965"/>
    <w:rsid w:val="0001523A"/>
    <w:rsid w:val="00016ECB"/>
    <w:rsid w:val="000269F6"/>
    <w:rsid w:val="00031939"/>
    <w:rsid w:val="00032D25"/>
    <w:rsid w:val="0005219D"/>
    <w:rsid w:val="0005568F"/>
    <w:rsid w:val="0006153D"/>
    <w:rsid w:val="00061B1F"/>
    <w:rsid w:val="000664DB"/>
    <w:rsid w:val="0007127D"/>
    <w:rsid w:val="00071AE5"/>
    <w:rsid w:val="00074783"/>
    <w:rsid w:val="000801E0"/>
    <w:rsid w:val="00082A29"/>
    <w:rsid w:val="0008331D"/>
    <w:rsid w:val="00083C18"/>
    <w:rsid w:val="00092899"/>
    <w:rsid w:val="000A178E"/>
    <w:rsid w:val="000A557E"/>
    <w:rsid w:val="000B058F"/>
    <w:rsid w:val="000B693F"/>
    <w:rsid w:val="000C09AC"/>
    <w:rsid w:val="000C0A63"/>
    <w:rsid w:val="000C437E"/>
    <w:rsid w:val="000E5F16"/>
    <w:rsid w:val="000F4452"/>
    <w:rsid w:val="000F6DA1"/>
    <w:rsid w:val="000F701B"/>
    <w:rsid w:val="001056A0"/>
    <w:rsid w:val="00115279"/>
    <w:rsid w:val="00117459"/>
    <w:rsid w:val="0011749A"/>
    <w:rsid w:val="00127A68"/>
    <w:rsid w:val="00140B13"/>
    <w:rsid w:val="00141B68"/>
    <w:rsid w:val="001466DA"/>
    <w:rsid w:val="00154DE1"/>
    <w:rsid w:val="00155B40"/>
    <w:rsid w:val="00157435"/>
    <w:rsid w:val="00163EEA"/>
    <w:rsid w:val="00167A07"/>
    <w:rsid w:val="0017046A"/>
    <w:rsid w:val="001704A3"/>
    <w:rsid w:val="0017504D"/>
    <w:rsid w:val="00177422"/>
    <w:rsid w:val="00184F10"/>
    <w:rsid w:val="00185546"/>
    <w:rsid w:val="0019146B"/>
    <w:rsid w:val="00194398"/>
    <w:rsid w:val="001A2B7E"/>
    <w:rsid w:val="001A7D2A"/>
    <w:rsid w:val="001B574C"/>
    <w:rsid w:val="001C0AF9"/>
    <w:rsid w:val="001C155A"/>
    <w:rsid w:val="001C48C0"/>
    <w:rsid w:val="001D6726"/>
    <w:rsid w:val="001F3347"/>
    <w:rsid w:val="001F4440"/>
    <w:rsid w:val="001F69E4"/>
    <w:rsid w:val="00206A65"/>
    <w:rsid w:val="00212D31"/>
    <w:rsid w:val="002130C7"/>
    <w:rsid w:val="002218A8"/>
    <w:rsid w:val="0022306D"/>
    <w:rsid w:val="00226574"/>
    <w:rsid w:val="002278EC"/>
    <w:rsid w:val="002357C7"/>
    <w:rsid w:val="002367C4"/>
    <w:rsid w:val="0025679E"/>
    <w:rsid w:val="00260C68"/>
    <w:rsid w:val="002648B0"/>
    <w:rsid w:val="00275271"/>
    <w:rsid w:val="0027535E"/>
    <w:rsid w:val="00275AA6"/>
    <w:rsid w:val="002807D5"/>
    <w:rsid w:val="00282CCD"/>
    <w:rsid w:val="002A168C"/>
    <w:rsid w:val="002A2C48"/>
    <w:rsid w:val="002A3EED"/>
    <w:rsid w:val="002A4A39"/>
    <w:rsid w:val="002A5A17"/>
    <w:rsid w:val="002A6425"/>
    <w:rsid w:val="002B2EDD"/>
    <w:rsid w:val="002B49E2"/>
    <w:rsid w:val="002B7B00"/>
    <w:rsid w:val="002B7C44"/>
    <w:rsid w:val="002C1388"/>
    <w:rsid w:val="002C3C6A"/>
    <w:rsid w:val="002D42DB"/>
    <w:rsid w:val="002E1F3A"/>
    <w:rsid w:val="002E298A"/>
    <w:rsid w:val="002F02A4"/>
    <w:rsid w:val="002F272B"/>
    <w:rsid w:val="002F7C6D"/>
    <w:rsid w:val="003027E4"/>
    <w:rsid w:val="0030332C"/>
    <w:rsid w:val="00312296"/>
    <w:rsid w:val="0031340E"/>
    <w:rsid w:val="00316464"/>
    <w:rsid w:val="0032073A"/>
    <w:rsid w:val="00321D8E"/>
    <w:rsid w:val="00334996"/>
    <w:rsid w:val="00336969"/>
    <w:rsid w:val="00336C52"/>
    <w:rsid w:val="00341B3E"/>
    <w:rsid w:val="00341B42"/>
    <w:rsid w:val="00345154"/>
    <w:rsid w:val="0034560E"/>
    <w:rsid w:val="00350523"/>
    <w:rsid w:val="00352975"/>
    <w:rsid w:val="00356868"/>
    <w:rsid w:val="0036485B"/>
    <w:rsid w:val="00373B0D"/>
    <w:rsid w:val="00376988"/>
    <w:rsid w:val="00381A72"/>
    <w:rsid w:val="003A1948"/>
    <w:rsid w:val="003A6E32"/>
    <w:rsid w:val="003B152A"/>
    <w:rsid w:val="003B545B"/>
    <w:rsid w:val="003D3EE9"/>
    <w:rsid w:val="003E7681"/>
    <w:rsid w:val="003F0809"/>
    <w:rsid w:val="003F611C"/>
    <w:rsid w:val="003F755C"/>
    <w:rsid w:val="00406F01"/>
    <w:rsid w:val="00411B36"/>
    <w:rsid w:val="004121D7"/>
    <w:rsid w:val="00416D50"/>
    <w:rsid w:val="00417772"/>
    <w:rsid w:val="00420E6A"/>
    <w:rsid w:val="00433CA9"/>
    <w:rsid w:val="0043521D"/>
    <w:rsid w:val="00442024"/>
    <w:rsid w:val="0044254C"/>
    <w:rsid w:val="00443F6A"/>
    <w:rsid w:val="00450A17"/>
    <w:rsid w:val="00466321"/>
    <w:rsid w:val="004672AF"/>
    <w:rsid w:val="004727B0"/>
    <w:rsid w:val="00480247"/>
    <w:rsid w:val="0048081D"/>
    <w:rsid w:val="0048117E"/>
    <w:rsid w:val="004855F6"/>
    <w:rsid w:val="00486F0C"/>
    <w:rsid w:val="00494670"/>
    <w:rsid w:val="004A0EB4"/>
    <w:rsid w:val="004A3823"/>
    <w:rsid w:val="004A59BB"/>
    <w:rsid w:val="004B43A3"/>
    <w:rsid w:val="004B4C49"/>
    <w:rsid w:val="004B58A5"/>
    <w:rsid w:val="004B63D9"/>
    <w:rsid w:val="004C0882"/>
    <w:rsid w:val="004C55BE"/>
    <w:rsid w:val="004E5B30"/>
    <w:rsid w:val="004F0779"/>
    <w:rsid w:val="004F1230"/>
    <w:rsid w:val="004F173F"/>
    <w:rsid w:val="004F177C"/>
    <w:rsid w:val="004F2DCE"/>
    <w:rsid w:val="005039CB"/>
    <w:rsid w:val="0050558F"/>
    <w:rsid w:val="005057E0"/>
    <w:rsid w:val="00506286"/>
    <w:rsid w:val="00510813"/>
    <w:rsid w:val="00511DE0"/>
    <w:rsid w:val="00517F02"/>
    <w:rsid w:val="00524547"/>
    <w:rsid w:val="005258A2"/>
    <w:rsid w:val="00530F7C"/>
    <w:rsid w:val="00534567"/>
    <w:rsid w:val="00534F43"/>
    <w:rsid w:val="00535A84"/>
    <w:rsid w:val="00536889"/>
    <w:rsid w:val="00542E07"/>
    <w:rsid w:val="00554A7B"/>
    <w:rsid w:val="0055572C"/>
    <w:rsid w:val="0056064F"/>
    <w:rsid w:val="00561B84"/>
    <w:rsid w:val="00571D98"/>
    <w:rsid w:val="005720AE"/>
    <w:rsid w:val="0058030D"/>
    <w:rsid w:val="00582045"/>
    <w:rsid w:val="00590AE3"/>
    <w:rsid w:val="005918F1"/>
    <w:rsid w:val="005A06B7"/>
    <w:rsid w:val="005A1759"/>
    <w:rsid w:val="005D0369"/>
    <w:rsid w:val="005D53FE"/>
    <w:rsid w:val="005D7A0F"/>
    <w:rsid w:val="005E0438"/>
    <w:rsid w:val="005E1791"/>
    <w:rsid w:val="005E2CE6"/>
    <w:rsid w:val="005E6324"/>
    <w:rsid w:val="005F228B"/>
    <w:rsid w:val="005F29CD"/>
    <w:rsid w:val="005F4DFB"/>
    <w:rsid w:val="005F6CC0"/>
    <w:rsid w:val="006034C6"/>
    <w:rsid w:val="00603E5B"/>
    <w:rsid w:val="00604BC8"/>
    <w:rsid w:val="00615B4C"/>
    <w:rsid w:val="00615B5D"/>
    <w:rsid w:val="0062146F"/>
    <w:rsid w:val="006343AF"/>
    <w:rsid w:val="0063634A"/>
    <w:rsid w:val="00640C91"/>
    <w:rsid w:val="0064250D"/>
    <w:rsid w:val="006535EB"/>
    <w:rsid w:val="00663016"/>
    <w:rsid w:val="00674605"/>
    <w:rsid w:val="006748B8"/>
    <w:rsid w:val="0067722F"/>
    <w:rsid w:val="0068535B"/>
    <w:rsid w:val="0068736E"/>
    <w:rsid w:val="0069290A"/>
    <w:rsid w:val="00697032"/>
    <w:rsid w:val="006975AC"/>
    <w:rsid w:val="006A15FB"/>
    <w:rsid w:val="006A72BF"/>
    <w:rsid w:val="006B332A"/>
    <w:rsid w:val="006B33BD"/>
    <w:rsid w:val="006C3F75"/>
    <w:rsid w:val="006D170E"/>
    <w:rsid w:val="006E06AF"/>
    <w:rsid w:val="006F1789"/>
    <w:rsid w:val="00706C5D"/>
    <w:rsid w:val="007118E6"/>
    <w:rsid w:val="007225C9"/>
    <w:rsid w:val="00735CD7"/>
    <w:rsid w:val="00754034"/>
    <w:rsid w:val="00754BF1"/>
    <w:rsid w:val="00755A30"/>
    <w:rsid w:val="00755E1C"/>
    <w:rsid w:val="00756556"/>
    <w:rsid w:val="0076132B"/>
    <w:rsid w:val="007623AE"/>
    <w:rsid w:val="00770B19"/>
    <w:rsid w:val="00774FA0"/>
    <w:rsid w:val="00776620"/>
    <w:rsid w:val="00777B6D"/>
    <w:rsid w:val="00784855"/>
    <w:rsid w:val="00784F39"/>
    <w:rsid w:val="0078545C"/>
    <w:rsid w:val="007906C4"/>
    <w:rsid w:val="007940EA"/>
    <w:rsid w:val="007967E8"/>
    <w:rsid w:val="007A63F2"/>
    <w:rsid w:val="007B68DE"/>
    <w:rsid w:val="007C1857"/>
    <w:rsid w:val="007C514F"/>
    <w:rsid w:val="007D0F95"/>
    <w:rsid w:val="007D7ECB"/>
    <w:rsid w:val="007E25A1"/>
    <w:rsid w:val="007E4BD2"/>
    <w:rsid w:val="007E7145"/>
    <w:rsid w:val="007F3916"/>
    <w:rsid w:val="00801179"/>
    <w:rsid w:val="00802479"/>
    <w:rsid w:val="00805372"/>
    <w:rsid w:val="00805B7B"/>
    <w:rsid w:val="0081293E"/>
    <w:rsid w:val="00814FFB"/>
    <w:rsid w:val="00820568"/>
    <w:rsid w:val="00831A80"/>
    <w:rsid w:val="008332C8"/>
    <w:rsid w:val="00833743"/>
    <w:rsid w:val="008340A4"/>
    <w:rsid w:val="00836799"/>
    <w:rsid w:val="00837028"/>
    <w:rsid w:val="00837131"/>
    <w:rsid w:val="00845F57"/>
    <w:rsid w:val="008521E0"/>
    <w:rsid w:val="008525B0"/>
    <w:rsid w:val="00867CBC"/>
    <w:rsid w:val="00876C30"/>
    <w:rsid w:val="00877017"/>
    <w:rsid w:val="008773C0"/>
    <w:rsid w:val="00880364"/>
    <w:rsid w:val="00886C4C"/>
    <w:rsid w:val="0088711C"/>
    <w:rsid w:val="00892ECF"/>
    <w:rsid w:val="00892F06"/>
    <w:rsid w:val="00894285"/>
    <w:rsid w:val="008A40AE"/>
    <w:rsid w:val="008A4E19"/>
    <w:rsid w:val="008A67C5"/>
    <w:rsid w:val="008B22E1"/>
    <w:rsid w:val="008B3C78"/>
    <w:rsid w:val="008B4AE9"/>
    <w:rsid w:val="008C30AD"/>
    <w:rsid w:val="008D068E"/>
    <w:rsid w:val="008D0F7A"/>
    <w:rsid w:val="008D63BE"/>
    <w:rsid w:val="008E0CFF"/>
    <w:rsid w:val="008E5D6B"/>
    <w:rsid w:val="008E689B"/>
    <w:rsid w:val="008E76F0"/>
    <w:rsid w:val="008F15FE"/>
    <w:rsid w:val="008F2A94"/>
    <w:rsid w:val="008F5187"/>
    <w:rsid w:val="008F709C"/>
    <w:rsid w:val="0090312B"/>
    <w:rsid w:val="00904961"/>
    <w:rsid w:val="0091736D"/>
    <w:rsid w:val="00931001"/>
    <w:rsid w:val="00931863"/>
    <w:rsid w:val="00933524"/>
    <w:rsid w:val="0094278D"/>
    <w:rsid w:val="0095308A"/>
    <w:rsid w:val="00953D9C"/>
    <w:rsid w:val="00955AEE"/>
    <w:rsid w:val="00956F14"/>
    <w:rsid w:val="009620FD"/>
    <w:rsid w:val="0096247A"/>
    <w:rsid w:val="00965F4B"/>
    <w:rsid w:val="00970F8A"/>
    <w:rsid w:val="00971FB5"/>
    <w:rsid w:val="00972D2A"/>
    <w:rsid w:val="00975CC5"/>
    <w:rsid w:val="00976328"/>
    <w:rsid w:val="00976B4E"/>
    <w:rsid w:val="00984458"/>
    <w:rsid w:val="00985283"/>
    <w:rsid w:val="00987322"/>
    <w:rsid w:val="009A0F3B"/>
    <w:rsid w:val="009A72C7"/>
    <w:rsid w:val="009B0897"/>
    <w:rsid w:val="009D0852"/>
    <w:rsid w:val="009D1FBF"/>
    <w:rsid w:val="009E399C"/>
    <w:rsid w:val="009E43C1"/>
    <w:rsid w:val="009E7E95"/>
    <w:rsid w:val="009F116F"/>
    <w:rsid w:val="009F329E"/>
    <w:rsid w:val="009F7ED3"/>
    <w:rsid w:val="00A03607"/>
    <w:rsid w:val="00A047FF"/>
    <w:rsid w:val="00A04FEF"/>
    <w:rsid w:val="00A122CD"/>
    <w:rsid w:val="00A12A32"/>
    <w:rsid w:val="00A14248"/>
    <w:rsid w:val="00A14947"/>
    <w:rsid w:val="00A23DC5"/>
    <w:rsid w:val="00A34028"/>
    <w:rsid w:val="00A35568"/>
    <w:rsid w:val="00A37056"/>
    <w:rsid w:val="00A4358F"/>
    <w:rsid w:val="00A46F67"/>
    <w:rsid w:val="00A54AA1"/>
    <w:rsid w:val="00A568FF"/>
    <w:rsid w:val="00A61496"/>
    <w:rsid w:val="00A6166B"/>
    <w:rsid w:val="00A61833"/>
    <w:rsid w:val="00A624C6"/>
    <w:rsid w:val="00A63CEC"/>
    <w:rsid w:val="00A7031E"/>
    <w:rsid w:val="00A728B1"/>
    <w:rsid w:val="00A763DE"/>
    <w:rsid w:val="00A803D6"/>
    <w:rsid w:val="00A81282"/>
    <w:rsid w:val="00A8713F"/>
    <w:rsid w:val="00A91167"/>
    <w:rsid w:val="00A9171C"/>
    <w:rsid w:val="00A92FFD"/>
    <w:rsid w:val="00A95975"/>
    <w:rsid w:val="00A9708D"/>
    <w:rsid w:val="00AA2C17"/>
    <w:rsid w:val="00AA4172"/>
    <w:rsid w:val="00AB1914"/>
    <w:rsid w:val="00AB5330"/>
    <w:rsid w:val="00AB7747"/>
    <w:rsid w:val="00AC2532"/>
    <w:rsid w:val="00AD1507"/>
    <w:rsid w:val="00AD5A70"/>
    <w:rsid w:val="00AD738B"/>
    <w:rsid w:val="00AE1BF4"/>
    <w:rsid w:val="00AE5D97"/>
    <w:rsid w:val="00AE6794"/>
    <w:rsid w:val="00B01110"/>
    <w:rsid w:val="00B02262"/>
    <w:rsid w:val="00B03CEC"/>
    <w:rsid w:val="00B1209F"/>
    <w:rsid w:val="00B12AD0"/>
    <w:rsid w:val="00B24F30"/>
    <w:rsid w:val="00B31ABF"/>
    <w:rsid w:val="00B335AE"/>
    <w:rsid w:val="00B37CE1"/>
    <w:rsid w:val="00B40ACF"/>
    <w:rsid w:val="00B46BAA"/>
    <w:rsid w:val="00B50B5F"/>
    <w:rsid w:val="00B54128"/>
    <w:rsid w:val="00B55826"/>
    <w:rsid w:val="00B60426"/>
    <w:rsid w:val="00B622DD"/>
    <w:rsid w:val="00B63522"/>
    <w:rsid w:val="00B76F1D"/>
    <w:rsid w:val="00B92A19"/>
    <w:rsid w:val="00B9544C"/>
    <w:rsid w:val="00BA29E9"/>
    <w:rsid w:val="00BB3618"/>
    <w:rsid w:val="00BC0C9E"/>
    <w:rsid w:val="00BC32DC"/>
    <w:rsid w:val="00BD1B51"/>
    <w:rsid w:val="00BD47F6"/>
    <w:rsid w:val="00BE312D"/>
    <w:rsid w:val="00BE3FCA"/>
    <w:rsid w:val="00C05719"/>
    <w:rsid w:val="00C10578"/>
    <w:rsid w:val="00C17D62"/>
    <w:rsid w:val="00C21FDC"/>
    <w:rsid w:val="00C24EE7"/>
    <w:rsid w:val="00C2596A"/>
    <w:rsid w:val="00C271BE"/>
    <w:rsid w:val="00C27425"/>
    <w:rsid w:val="00C328FE"/>
    <w:rsid w:val="00C33A05"/>
    <w:rsid w:val="00C42500"/>
    <w:rsid w:val="00C4409D"/>
    <w:rsid w:val="00C455BE"/>
    <w:rsid w:val="00C51E5F"/>
    <w:rsid w:val="00C61E4B"/>
    <w:rsid w:val="00C62E3A"/>
    <w:rsid w:val="00C64503"/>
    <w:rsid w:val="00C64A1F"/>
    <w:rsid w:val="00C64BFF"/>
    <w:rsid w:val="00C763C9"/>
    <w:rsid w:val="00C80057"/>
    <w:rsid w:val="00C82C79"/>
    <w:rsid w:val="00C84753"/>
    <w:rsid w:val="00C91611"/>
    <w:rsid w:val="00CA3585"/>
    <w:rsid w:val="00CA3D5A"/>
    <w:rsid w:val="00CA4C7C"/>
    <w:rsid w:val="00CB0183"/>
    <w:rsid w:val="00CB1EA3"/>
    <w:rsid w:val="00CB552C"/>
    <w:rsid w:val="00CB6A9E"/>
    <w:rsid w:val="00CC6181"/>
    <w:rsid w:val="00CD2BCD"/>
    <w:rsid w:val="00CD36AA"/>
    <w:rsid w:val="00CD3791"/>
    <w:rsid w:val="00CD65B0"/>
    <w:rsid w:val="00CE02CD"/>
    <w:rsid w:val="00CE10E9"/>
    <w:rsid w:val="00D0072E"/>
    <w:rsid w:val="00D15727"/>
    <w:rsid w:val="00D16332"/>
    <w:rsid w:val="00D24972"/>
    <w:rsid w:val="00D2515E"/>
    <w:rsid w:val="00D308ED"/>
    <w:rsid w:val="00D56178"/>
    <w:rsid w:val="00D56CF0"/>
    <w:rsid w:val="00D56F5C"/>
    <w:rsid w:val="00D704B1"/>
    <w:rsid w:val="00D70B63"/>
    <w:rsid w:val="00D72B92"/>
    <w:rsid w:val="00D72ED4"/>
    <w:rsid w:val="00D73F61"/>
    <w:rsid w:val="00D754C0"/>
    <w:rsid w:val="00D776A2"/>
    <w:rsid w:val="00D801C4"/>
    <w:rsid w:val="00D90836"/>
    <w:rsid w:val="00D95896"/>
    <w:rsid w:val="00D95CC6"/>
    <w:rsid w:val="00DA2DA3"/>
    <w:rsid w:val="00DA6615"/>
    <w:rsid w:val="00DA76AE"/>
    <w:rsid w:val="00DB181E"/>
    <w:rsid w:val="00DB1C7A"/>
    <w:rsid w:val="00DB2983"/>
    <w:rsid w:val="00DB343D"/>
    <w:rsid w:val="00DB5579"/>
    <w:rsid w:val="00DB5CFE"/>
    <w:rsid w:val="00DC72A6"/>
    <w:rsid w:val="00DD2113"/>
    <w:rsid w:val="00DD265E"/>
    <w:rsid w:val="00DF1930"/>
    <w:rsid w:val="00DF514A"/>
    <w:rsid w:val="00E0358D"/>
    <w:rsid w:val="00E06327"/>
    <w:rsid w:val="00E2064B"/>
    <w:rsid w:val="00E25239"/>
    <w:rsid w:val="00E265B1"/>
    <w:rsid w:val="00E275B0"/>
    <w:rsid w:val="00E412D0"/>
    <w:rsid w:val="00E47CDB"/>
    <w:rsid w:val="00E52F76"/>
    <w:rsid w:val="00E566BC"/>
    <w:rsid w:val="00E60982"/>
    <w:rsid w:val="00E60C8D"/>
    <w:rsid w:val="00E6162F"/>
    <w:rsid w:val="00E6311B"/>
    <w:rsid w:val="00E65D97"/>
    <w:rsid w:val="00E67EFD"/>
    <w:rsid w:val="00E702DC"/>
    <w:rsid w:val="00E71FFB"/>
    <w:rsid w:val="00E76D1D"/>
    <w:rsid w:val="00E806F8"/>
    <w:rsid w:val="00E87752"/>
    <w:rsid w:val="00E8793B"/>
    <w:rsid w:val="00E90F81"/>
    <w:rsid w:val="00E91A6D"/>
    <w:rsid w:val="00E9242D"/>
    <w:rsid w:val="00EB041C"/>
    <w:rsid w:val="00EC5874"/>
    <w:rsid w:val="00ED192D"/>
    <w:rsid w:val="00ED30B4"/>
    <w:rsid w:val="00ED31F5"/>
    <w:rsid w:val="00EF2759"/>
    <w:rsid w:val="00EF45EB"/>
    <w:rsid w:val="00EF5099"/>
    <w:rsid w:val="00EF5E33"/>
    <w:rsid w:val="00F00075"/>
    <w:rsid w:val="00F07822"/>
    <w:rsid w:val="00F15C95"/>
    <w:rsid w:val="00F22985"/>
    <w:rsid w:val="00F241AB"/>
    <w:rsid w:val="00F31382"/>
    <w:rsid w:val="00F35829"/>
    <w:rsid w:val="00F42868"/>
    <w:rsid w:val="00F465A7"/>
    <w:rsid w:val="00F50B7C"/>
    <w:rsid w:val="00F5202D"/>
    <w:rsid w:val="00F52CF6"/>
    <w:rsid w:val="00F54496"/>
    <w:rsid w:val="00F61097"/>
    <w:rsid w:val="00F74345"/>
    <w:rsid w:val="00F74441"/>
    <w:rsid w:val="00F77F30"/>
    <w:rsid w:val="00F82589"/>
    <w:rsid w:val="00F82B19"/>
    <w:rsid w:val="00F90AA7"/>
    <w:rsid w:val="00F9212D"/>
    <w:rsid w:val="00FA301A"/>
    <w:rsid w:val="00FA406A"/>
    <w:rsid w:val="00FA5CB6"/>
    <w:rsid w:val="00FC66AC"/>
    <w:rsid w:val="00FD18F4"/>
    <w:rsid w:val="00FD74B4"/>
    <w:rsid w:val="00FF6FCE"/>
    <w:rsid w:val="00FF7518"/>
    <w:rsid w:val="00FF7FD8"/>
    <w:rsid w:val="013D4B60"/>
    <w:rsid w:val="01600318"/>
    <w:rsid w:val="01666D2E"/>
    <w:rsid w:val="016707FB"/>
    <w:rsid w:val="016A6FD7"/>
    <w:rsid w:val="017A4974"/>
    <w:rsid w:val="017D5777"/>
    <w:rsid w:val="018104CB"/>
    <w:rsid w:val="01C761D7"/>
    <w:rsid w:val="02092C94"/>
    <w:rsid w:val="023927BE"/>
    <w:rsid w:val="027D6F46"/>
    <w:rsid w:val="02805DB6"/>
    <w:rsid w:val="028A5C5E"/>
    <w:rsid w:val="028B2CBE"/>
    <w:rsid w:val="029A742D"/>
    <w:rsid w:val="02A91DD5"/>
    <w:rsid w:val="02BE6F98"/>
    <w:rsid w:val="02C17155"/>
    <w:rsid w:val="02E90A19"/>
    <w:rsid w:val="02EB1AC0"/>
    <w:rsid w:val="03092820"/>
    <w:rsid w:val="03173029"/>
    <w:rsid w:val="03381231"/>
    <w:rsid w:val="036D4EC2"/>
    <w:rsid w:val="03AF21CA"/>
    <w:rsid w:val="03CA565C"/>
    <w:rsid w:val="03F82FC0"/>
    <w:rsid w:val="04230132"/>
    <w:rsid w:val="042B17C3"/>
    <w:rsid w:val="043B0F66"/>
    <w:rsid w:val="046319D0"/>
    <w:rsid w:val="049E2DF5"/>
    <w:rsid w:val="04B63D80"/>
    <w:rsid w:val="04B6775E"/>
    <w:rsid w:val="04BE2C19"/>
    <w:rsid w:val="04C645AF"/>
    <w:rsid w:val="04D96EE6"/>
    <w:rsid w:val="04E158CC"/>
    <w:rsid w:val="04E723E0"/>
    <w:rsid w:val="04EB5F8C"/>
    <w:rsid w:val="04EF2EC4"/>
    <w:rsid w:val="053D5ADB"/>
    <w:rsid w:val="055C657B"/>
    <w:rsid w:val="05742AC8"/>
    <w:rsid w:val="05924D4E"/>
    <w:rsid w:val="059C16B8"/>
    <w:rsid w:val="05C067C4"/>
    <w:rsid w:val="05CA273A"/>
    <w:rsid w:val="05D15877"/>
    <w:rsid w:val="05D215EF"/>
    <w:rsid w:val="06013DB2"/>
    <w:rsid w:val="061C79F3"/>
    <w:rsid w:val="06233BF8"/>
    <w:rsid w:val="06352F05"/>
    <w:rsid w:val="063E7D85"/>
    <w:rsid w:val="067B1C86"/>
    <w:rsid w:val="06825185"/>
    <w:rsid w:val="06865D19"/>
    <w:rsid w:val="06935222"/>
    <w:rsid w:val="06BA7F39"/>
    <w:rsid w:val="06C0762B"/>
    <w:rsid w:val="06C35109"/>
    <w:rsid w:val="06E40EEC"/>
    <w:rsid w:val="06F23CF7"/>
    <w:rsid w:val="07034156"/>
    <w:rsid w:val="070457D8"/>
    <w:rsid w:val="070875E0"/>
    <w:rsid w:val="07091040"/>
    <w:rsid w:val="071874D5"/>
    <w:rsid w:val="071E0F8F"/>
    <w:rsid w:val="07293586"/>
    <w:rsid w:val="07295285"/>
    <w:rsid w:val="07396BD4"/>
    <w:rsid w:val="075E1961"/>
    <w:rsid w:val="0775613A"/>
    <w:rsid w:val="07770C56"/>
    <w:rsid w:val="07817AA9"/>
    <w:rsid w:val="07881CFF"/>
    <w:rsid w:val="07987456"/>
    <w:rsid w:val="07A15D7B"/>
    <w:rsid w:val="07A42E2C"/>
    <w:rsid w:val="07BB1D2E"/>
    <w:rsid w:val="07C0495B"/>
    <w:rsid w:val="07E44B1C"/>
    <w:rsid w:val="080F2686"/>
    <w:rsid w:val="081B3F39"/>
    <w:rsid w:val="081F224D"/>
    <w:rsid w:val="08253086"/>
    <w:rsid w:val="083C0BDE"/>
    <w:rsid w:val="085B067D"/>
    <w:rsid w:val="086B305E"/>
    <w:rsid w:val="088A5FAE"/>
    <w:rsid w:val="089815BC"/>
    <w:rsid w:val="08A83123"/>
    <w:rsid w:val="08F63846"/>
    <w:rsid w:val="09155A79"/>
    <w:rsid w:val="092217DD"/>
    <w:rsid w:val="092C69DC"/>
    <w:rsid w:val="093A7294"/>
    <w:rsid w:val="09461CD6"/>
    <w:rsid w:val="095F2A75"/>
    <w:rsid w:val="09697314"/>
    <w:rsid w:val="096B1B3E"/>
    <w:rsid w:val="09727371"/>
    <w:rsid w:val="097906FF"/>
    <w:rsid w:val="0992531D"/>
    <w:rsid w:val="09AD65FB"/>
    <w:rsid w:val="09BB7189"/>
    <w:rsid w:val="09C50A30"/>
    <w:rsid w:val="09D74F07"/>
    <w:rsid w:val="09E3160E"/>
    <w:rsid w:val="09F11770"/>
    <w:rsid w:val="0A006108"/>
    <w:rsid w:val="0A0F28F4"/>
    <w:rsid w:val="0A232419"/>
    <w:rsid w:val="0A2A5778"/>
    <w:rsid w:val="0A447993"/>
    <w:rsid w:val="0A5F1A8C"/>
    <w:rsid w:val="0AA158C2"/>
    <w:rsid w:val="0AA25A34"/>
    <w:rsid w:val="0AC0101D"/>
    <w:rsid w:val="0AC2231C"/>
    <w:rsid w:val="0AC309C6"/>
    <w:rsid w:val="0AC413A1"/>
    <w:rsid w:val="0ACD3712"/>
    <w:rsid w:val="0AD424AB"/>
    <w:rsid w:val="0AD42B6C"/>
    <w:rsid w:val="0AEF6B22"/>
    <w:rsid w:val="0B1A0653"/>
    <w:rsid w:val="0B2E629C"/>
    <w:rsid w:val="0B3F412B"/>
    <w:rsid w:val="0B414AD3"/>
    <w:rsid w:val="0B512DF0"/>
    <w:rsid w:val="0B5807E8"/>
    <w:rsid w:val="0B6D2A1E"/>
    <w:rsid w:val="0B723278"/>
    <w:rsid w:val="0BBA6DAD"/>
    <w:rsid w:val="0BC33B18"/>
    <w:rsid w:val="0BC35C62"/>
    <w:rsid w:val="0BC64388"/>
    <w:rsid w:val="0BD27BF6"/>
    <w:rsid w:val="0BD460C1"/>
    <w:rsid w:val="0BD54713"/>
    <w:rsid w:val="0BE34A57"/>
    <w:rsid w:val="0BE82232"/>
    <w:rsid w:val="0C032502"/>
    <w:rsid w:val="0C0579A5"/>
    <w:rsid w:val="0C0C1FEB"/>
    <w:rsid w:val="0C0D6BFB"/>
    <w:rsid w:val="0C1741FF"/>
    <w:rsid w:val="0C561852"/>
    <w:rsid w:val="0C595248"/>
    <w:rsid w:val="0C5E2165"/>
    <w:rsid w:val="0C6B0BE6"/>
    <w:rsid w:val="0C721436"/>
    <w:rsid w:val="0CA93F03"/>
    <w:rsid w:val="0CC31C91"/>
    <w:rsid w:val="0CD67C16"/>
    <w:rsid w:val="0CE709D1"/>
    <w:rsid w:val="0D232783"/>
    <w:rsid w:val="0D335069"/>
    <w:rsid w:val="0D8B0A01"/>
    <w:rsid w:val="0DA40B84"/>
    <w:rsid w:val="0DB5274A"/>
    <w:rsid w:val="0DC65EDD"/>
    <w:rsid w:val="0DCB26EF"/>
    <w:rsid w:val="0E042561"/>
    <w:rsid w:val="0E110D06"/>
    <w:rsid w:val="0E464596"/>
    <w:rsid w:val="0E5969E0"/>
    <w:rsid w:val="0E62280C"/>
    <w:rsid w:val="0E883192"/>
    <w:rsid w:val="0E94005C"/>
    <w:rsid w:val="0E944DFB"/>
    <w:rsid w:val="0EAD731F"/>
    <w:rsid w:val="0EB9334C"/>
    <w:rsid w:val="0EC17E21"/>
    <w:rsid w:val="0EE3661B"/>
    <w:rsid w:val="0EF600FC"/>
    <w:rsid w:val="0EFB5712"/>
    <w:rsid w:val="0F064DFB"/>
    <w:rsid w:val="0F107021"/>
    <w:rsid w:val="0F13775A"/>
    <w:rsid w:val="0F3B6457"/>
    <w:rsid w:val="0F5219E9"/>
    <w:rsid w:val="0F551ED4"/>
    <w:rsid w:val="0F5D45EF"/>
    <w:rsid w:val="0F9A112B"/>
    <w:rsid w:val="0FA14F53"/>
    <w:rsid w:val="0FB737A9"/>
    <w:rsid w:val="0FD47995"/>
    <w:rsid w:val="0FF02D9D"/>
    <w:rsid w:val="10046849"/>
    <w:rsid w:val="1008257A"/>
    <w:rsid w:val="10091C47"/>
    <w:rsid w:val="101175B4"/>
    <w:rsid w:val="10141392"/>
    <w:rsid w:val="104024BB"/>
    <w:rsid w:val="104363C4"/>
    <w:rsid w:val="104677F8"/>
    <w:rsid w:val="104B26C9"/>
    <w:rsid w:val="104D0A54"/>
    <w:rsid w:val="105570A4"/>
    <w:rsid w:val="105C229D"/>
    <w:rsid w:val="106D2F64"/>
    <w:rsid w:val="10944070"/>
    <w:rsid w:val="10B63710"/>
    <w:rsid w:val="10CC6309"/>
    <w:rsid w:val="111C2F7A"/>
    <w:rsid w:val="113013DE"/>
    <w:rsid w:val="113942C0"/>
    <w:rsid w:val="114943D9"/>
    <w:rsid w:val="11733CDC"/>
    <w:rsid w:val="117D6326"/>
    <w:rsid w:val="11936FD1"/>
    <w:rsid w:val="11B5604C"/>
    <w:rsid w:val="11BB562D"/>
    <w:rsid w:val="11C223EB"/>
    <w:rsid w:val="11E579A3"/>
    <w:rsid w:val="11ED1B1E"/>
    <w:rsid w:val="11FC7730"/>
    <w:rsid w:val="120B4CC4"/>
    <w:rsid w:val="12117383"/>
    <w:rsid w:val="121C52D8"/>
    <w:rsid w:val="122B06C2"/>
    <w:rsid w:val="12380A2C"/>
    <w:rsid w:val="124054BE"/>
    <w:rsid w:val="12642EF4"/>
    <w:rsid w:val="127A0CEB"/>
    <w:rsid w:val="128F2D41"/>
    <w:rsid w:val="129B7938"/>
    <w:rsid w:val="12A10CC7"/>
    <w:rsid w:val="12BD09B5"/>
    <w:rsid w:val="12BD75A9"/>
    <w:rsid w:val="12C3266C"/>
    <w:rsid w:val="12C65A18"/>
    <w:rsid w:val="12DE15D3"/>
    <w:rsid w:val="12E0534B"/>
    <w:rsid w:val="12E76303"/>
    <w:rsid w:val="1300176E"/>
    <w:rsid w:val="130A2B31"/>
    <w:rsid w:val="13281A6D"/>
    <w:rsid w:val="135E4148"/>
    <w:rsid w:val="13861A17"/>
    <w:rsid w:val="1393490E"/>
    <w:rsid w:val="13951726"/>
    <w:rsid w:val="139B20B6"/>
    <w:rsid w:val="13D03B50"/>
    <w:rsid w:val="142E28C6"/>
    <w:rsid w:val="14396509"/>
    <w:rsid w:val="1447165C"/>
    <w:rsid w:val="144E63D5"/>
    <w:rsid w:val="14551D69"/>
    <w:rsid w:val="146744EC"/>
    <w:rsid w:val="14864462"/>
    <w:rsid w:val="149411C1"/>
    <w:rsid w:val="149F3BA2"/>
    <w:rsid w:val="14A03DDA"/>
    <w:rsid w:val="14B07968"/>
    <w:rsid w:val="14BB5941"/>
    <w:rsid w:val="14C625FC"/>
    <w:rsid w:val="14D05CA0"/>
    <w:rsid w:val="14FA6773"/>
    <w:rsid w:val="152C0D1B"/>
    <w:rsid w:val="156D7172"/>
    <w:rsid w:val="15791A87"/>
    <w:rsid w:val="157D2467"/>
    <w:rsid w:val="158756D2"/>
    <w:rsid w:val="15A62D19"/>
    <w:rsid w:val="15B3530E"/>
    <w:rsid w:val="15BA707C"/>
    <w:rsid w:val="15D65B7E"/>
    <w:rsid w:val="15E11B06"/>
    <w:rsid w:val="15F87862"/>
    <w:rsid w:val="163A7468"/>
    <w:rsid w:val="163B6FFF"/>
    <w:rsid w:val="16422773"/>
    <w:rsid w:val="16473063"/>
    <w:rsid w:val="164E7C59"/>
    <w:rsid w:val="16767A1C"/>
    <w:rsid w:val="16783AEC"/>
    <w:rsid w:val="16881F81"/>
    <w:rsid w:val="16B97957"/>
    <w:rsid w:val="16FA2753"/>
    <w:rsid w:val="170519EB"/>
    <w:rsid w:val="170F772B"/>
    <w:rsid w:val="17105EE5"/>
    <w:rsid w:val="173A614F"/>
    <w:rsid w:val="17500C65"/>
    <w:rsid w:val="17735226"/>
    <w:rsid w:val="1788408B"/>
    <w:rsid w:val="17966920"/>
    <w:rsid w:val="17997EB4"/>
    <w:rsid w:val="17B61E80"/>
    <w:rsid w:val="17C55914"/>
    <w:rsid w:val="17D3547E"/>
    <w:rsid w:val="17E01D1C"/>
    <w:rsid w:val="18057602"/>
    <w:rsid w:val="183560C1"/>
    <w:rsid w:val="183C7B3A"/>
    <w:rsid w:val="18450C4A"/>
    <w:rsid w:val="18555653"/>
    <w:rsid w:val="185A32D4"/>
    <w:rsid w:val="186A5F7E"/>
    <w:rsid w:val="18887E1A"/>
    <w:rsid w:val="188B40FC"/>
    <w:rsid w:val="189302D0"/>
    <w:rsid w:val="189663DC"/>
    <w:rsid w:val="18AA2C88"/>
    <w:rsid w:val="18BC5D7D"/>
    <w:rsid w:val="18BD4F9A"/>
    <w:rsid w:val="18E4368A"/>
    <w:rsid w:val="18E5190D"/>
    <w:rsid w:val="18FC27B3"/>
    <w:rsid w:val="19102702"/>
    <w:rsid w:val="19163461"/>
    <w:rsid w:val="1941641F"/>
    <w:rsid w:val="196571B4"/>
    <w:rsid w:val="198E2E15"/>
    <w:rsid w:val="19A6660E"/>
    <w:rsid w:val="19C641C8"/>
    <w:rsid w:val="19CE05F3"/>
    <w:rsid w:val="19EB1787"/>
    <w:rsid w:val="19FE4810"/>
    <w:rsid w:val="1A1C66C0"/>
    <w:rsid w:val="1A275886"/>
    <w:rsid w:val="1A2B130E"/>
    <w:rsid w:val="1A366911"/>
    <w:rsid w:val="1A42393B"/>
    <w:rsid w:val="1A670D81"/>
    <w:rsid w:val="1A6973C7"/>
    <w:rsid w:val="1A6B02EB"/>
    <w:rsid w:val="1A6E7911"/>
    <w:rsid w:val="1A9567B5"/>
    <w:rsid w:val="1ABC669E"/>
    <w:rsid w:val="1AC62272"/>
    <w:rsid w:val="1AD75F02"/>
    <w:rsid w:val="1AE65DD9"/>
    <w:rsid w:val="1AF23662"/>
    <w:rsid w:val="1B046F80"/>
    <w:rsid w:val="1B1D6199"/>
    <w:rsid w:val="1B1E72B7"/>
    <w:rsid w:val="1B3267B5"/>
    <w:rsid w:val="1B382713"/>
    <w:rsid w:val="1B3B2C59"/>
    <w:rsid w:val="1B4D7E45"/>
    <w:rsid w:val="1B50403F"/>
    <w:rsid w:val="1B943177"/>
    <w:rsid w:val="1B97254D"/>
    <w:rsid w:val="1BBC26CD"/>
    <w:rsid w:val="1BC25DC8"/>
    <w:rsid w:val="1BCC0B62"/>
    <w:rsid w:val="1BDC68CC"/>
    <w:rsid w:val="1BF52034"/>
    <w:rsid w:val="1BF65592"/>
    <w:rsid w:val="1C11441E"/>
    <w:rsid w:val="1C5E7925"/>
    <w:rsid w:val="1C6A7289"/>
    <w:rsid w:val="1C7B7E93"/>
    <w:rsid w:val="1C877C77"/>
    <w:rsid w:val="1C887FC8"/>
    <w:rsid w:val="1C9176B6"/>
    <w:rsid w:val="1CA23444"/>
    <w:rsid w:val="1CAC48B5"/>
    <w:rsid w:val="1CB3762C"/>
    <w:rsid w:val="1CE43C8A"/>
    <w:rsid w:val="1CE912A0"/>
    <w:rsid w:val="1D036806"/>
    <w:rsid w:val="1D0A0965"/>
    <w:rsid w:val="1D1C18FE"/>
    <w:rsid w:val="1D4C667C"/>
    <w:rsid w:val="1D507571"/>
    <w:rsid w:val="1D5F6196"/>
    <w:rsid w:val="1D6132A5"/>
    <w:rsid w:val="1D86038F"/>
    <w:rsid w:val="1D8E56D5"/>
    <w:rsid w:val="1D9072AF"/>
    <w:rsid w:val="1D922F06"/>
    <w:rsid w:val="1DAF3724"/>
    <w:rsid w:val="1DC07BAD"/>
    <w:rsid w:val="1DC86699"/>
    <w:rsid w:val="1DD7570D"/>
    <w:rsid w:val="1E267245"/>
    <w:rsid w:val="1E46433B"/>
    <w:rsid w:val="1E4C7D38"/>
    <w:rsid w:val="1E71779F"/>
    <w:rsid w:val="1E773F28"/>
    <w:rsid w:val="1E7A43DA"/>
    <w:rsid w:val="1E7C09C5"/>
    <w:rsid w:val="1E8111B6"/>
    <w:rsid w:val="1E8171B6"/>
    <w:rsid w:val="1E8B44AC"/>
    <w:rsid w:val="1E9A3732"/>
    <w:rsid w:val="1E9A76F6"/>
    <w:rsid w:val="1EB110F7"/>
    <w:rsid w:val="1EB277FE"/>
    <w:rsid w:val="1EB724A3"/>
    <w:rsid w:val="1EBE2496"/>
    <w:rsid w:val="1F053897"/>
    <w:rsid w:val="1F211FC4"/>
    <w:rsid w:val="1F226CEB"/>
    <w:rsid w:val="1F434CAD"/>
    <w:rsid w:val="1F5A5B2B"/>
    <w:rsid w:val="1F645A6E"/>
    <w:rsid w:val="1F875575"/>
    <w:rsid w:val="1F9F20EA"/>
    <w:rsid w:val="1FE0009D"/>
    <w:rsid w:val="1FE7539E"/>
    <w:rsid w:val="20047609"/>
    <w:rsid w:val="200A4B94"/>
    <w:rsid w:val="20101765"/>
    <w:rsid w:val="201B5C14"/>
    <w:rsid w:val="2021289A"/>
    <w:rsid w:val="20365F1E"/>
    <w:rsid w:val="203B2B87"/>
    <w:rsid w:val="204D7D98"/>
    <w:rsid w:val="20563C79"/>
    <w:rsid w:val="20592BE1"/>
    <w:rsid w:val="2061663D"/>
    <w:rsid w:val="207075F2"/>
    <w:rsid w:val="20730137"/>
    <w:rsid w:val="20853119"/>
    <w:rsid w:val="20963CB8"/>
    <w:rsid w:val="20A51982"/>
    <w:rsid w:val="20A60562"/>
    <w:rsid w:val="20B07FB6"/>
    <w:rsid w:val="20CE712B"/>
    <w:rsid w:val="20DB3A0A"/>
    <w:rsid w:val="20E45E70"/>
    <w:rsid w:val="20F01F24"/>
    <w:rsid w:val="213B74B1"/>
    <w:rsid w:val="2144471B"/>
    <w:rsid w:val="2152200F"/>
    <w:rsid w:val="21584C46"/>
    <w:rsid w:val="215A2310"/>
    <w:rsid w:val="215A39BD"/>
    <w:rsid w:val="216D63F8"/>
    <w:rsid w:val="218B1ADA"/>
    <w:rsid w:val="219043E0"/>
    <w:rsid w:val="219501D3"/>
    <w:rsid w:val="21A51EC6"/>
    <w:rsid w:val="21AD28F2"/>
    <w:rsid w:val="21AE4866"/>
    <w:rsid w:val="21DE318A"/>
    <w:rsid w:val="21EF5B80"/>
    <w:rsid w:val="21FB08FB"/>
    <w:rsid w:val="221072CF"/>
    <w:rsid w:val="222B5CCB"/>
    <w:rsid w:val="223604DD"/>
    <w:rsid w:val="224C6559"/>
    <w:rsid w:val="22576990"/>
    <w:rsid w:val="227317B0"/>
    <w:rsid w:val="228201CD"/>
    <w:rsid w:val="22851A6B"/>
    <w:rsid w:val="229C4EAB"/>
    <w:rsid w:val="229D2DC0"/>
    <w:rsid w:val="22BE3E9E"/>
    <w:rsid w:val="22E22F52"/>
    <w:rsid w:val="22F97C87"/>
    <w:rsid w:val="23045C17"/>
    <w:rsid w:val="232E22CB"/>
    <w:rsid w:val="23395B0A"/>
    <w:rsid w:val="23684B3F"/>
    <w:rsid w:val="237F64BA"/>
    <w:rsid w:val="238326EC"/>
    <w:rsid w:val="238A7DBA"/>
    <w:rsid w:val="23923EED"/>
    <w:rsid w:val="2398757C"/>
    <w:rsid w:val="23A83450"/>
    <w:rsid w:val="23B56380"/>
    <w:rsid w:val="23B73EA6"/>
    <w:rsid w:val="23C83988"/>
    <w:rsid w:val="23FD0015"/>
    <w:rsid w:val="24092201"/>
    <w:rsid w:val="241839D5"/>
    <w:rsid w:val="241D106E"/>
    <w:rsid w:val="242F3486"/>
    <w:rsid w:val="244B0E6B"/>
    <w:rsid w:val="244F4CF2"/>
    <w:rsid w:val="24584AC8"/>
    <w:rsid w:val="24743C46"/>
    <w:rsid w:val="248578CE"/>
    <w:rsid w:val="248D2E59"/>
    <w:rsid w:val="24AF0849"/>
    <w:rsid w:val="24B41EC1"/>
    <w:rsid w:val="24F41A4A"/>
    <w:rsid w:val="25010B70"/>
    <w:rsid w:val="250B3654"/>
    <w:rsid w:val="25152F9B"/>
    <w:rsid w:val="252D53FE"/>
    <w:rsid w:val="25382DC5"/>
    <w:rsid w:val="253E4BFC"/>
    <w:rsid w:val="25473008"/>
    <w:rsid w:val="25485291"/>
    <w:rsid w:val="25590207"/>
    <w:rsid w:val="255C45DD"/>
    <w:rsid w:val="256B4F23"/>
    <w:rsid w:val="25981AB5"/>
    <w:rsid w:val="25AC477A"/>
    <w:rsid w:val="25C75636"/>
    <w:rsid w:val="25CA3BA8"/>
    <w:rsid w:val="25DB004C"/>
    <w:rsid w:val="25E27233"/>
    <w:rsid w:val="25E6517D"/>
    <w:rsid w:val="25EC2D81"/>
    <w:rsid w:val="25ED7F37"/>
    <w:rsid w:val="25EE3AA0"/>
    <w:rsid w:val="25FC09DE"/>
    <w:rsid w:val="26435EC5"/>
    <w:rsid w:val="264528BD"/>
    <w:rsid w:val="26701180"/>
    <w:rsid w:val="26A5448A"/>
    <w:rsid w:val="26AE58FE"/>
    <w:rsid w:val="26C11862"/>
    <w:rsid w:val="26CF18B8"/>
    <w:rsid w:val="26D00595"/>
    <w:rsid w:val="26E2748C"/>
    <w:rsid w:val="26F86113"/>
    <w:rsid w:val="26FA337A"/>
    <w:rsid w:val="26FE280C"/>
    <w:rsid w:val="270218DC"/>
    <w:rsid w:val="270513CC"/>
    <w:rsid w:val="270C5FA8"/>
    <w:rsid w:val="271164CB"/>
    <w:rsid w:val="272D447F"/>
    <w:rsid w:val="273F36C5"/>
    <w:rsid w:val="274912B9"/>
    <w:rsid w:val="274A707D"/>
    <w:rsid w:val="275457B4"/>
    <w:rsid w:val="275507B4"/>
    <w:rsid w:val="275B28C6"/>
    <w:rsid w:val="276E2ACE"/>
    <w:rsid w:val="277D4B69"/>
    <w:rsid w:val="27826579"/>
    <w:rsid w:val="278A77CF"/>
    <w:rsid w:val="27D15DD1"/>
    <w:rsid w:val="27DA483A"/>
    <w:rsid w:val="27E502D5"/>
    <w:rsid w:val="27EA74FE"/>
    <w:rsid w:val="27F952DD"/>
    <w:rsid w:val="27FD20A3"/>
    <w:rsid w:val="28360166"/>
    <w:rsid w:val="284E1EAE"/>
    <w:rsid w:val="286F081D"/>
    <w:rsid w:val="287138BB"/>
    <w:rsid w:val="28793E20"/>
    <w:rsid w:val="28A76295"/>
    <w:rsid w:val="28B26133"/>
    <w:rsid w:val="28C65DA3"/>
    <w:rsid w:val="28EC45F2"/>
    <w:rsid w:val="28FC235B"/>
    <w:rsid w:val="29206EB8"/>
    <w:rsid w:val="293721F4"/>
    <w:rsid w:val="294A57BC"/>
    <w:rsid w:val="294A6DC7"/>
    <w:rsid w:val="29535E62"/>
    <w:rsid w:val="295C4FEB"/>
    <w:rsid w:val="29600B3C"/>
    <w:rsid w:val="296267FF"/>
    <w:rsid w:val="29776414"/>
    <w:rsid w:val="29A239C9"/>
    <w:rsid w:val="29BC4297"/>
    <w:rsid w:val="29CA67DB"/>
    <w:rsid w:val="29CD1AC3"/>
    <w:rsid w:val="29E325E0"/>
    <w:rsid w:val="29F40A6B"/>
    <w:rsid w:val="2A24600D"/>
    <w:rsid w:val="2A3A1AB3"/>
    <w:rsid w:val="2A426A5F"/>
    <w:rsid w:val="2A452503"/>
    <w:rsid w:val="2A5A2CEF"/>
    <w:rsid w:val="2AB9225B"/>
    <w:rsid w:val="2ABE3B6C"/>
    <w:rsid w:val="2ADF135E"/>
    <w:rsid w:val="2AE33847"/>
    <w:rsid w:val="2AF21F0F"/>
    <w:rsid w:val="2B0C4A0B"/>
    <w:rsid w:val="2B1240B8"/>
    <w:rsid w:val="2B246625"/>
    <w:rsid w:val="2B715282"/>
    <w:rsid w:val="2B746B64"/>
    <w:rsid w:val="2B7D203A"/>
    <w:rsid w:val="2B7E445E"/>
    <w:rsid w:val="2B8573C7"/>
    <w:rsid w:val="2B9351F9"/>
    <w:rsid w:val="2BA936A8"/>
    <w:rsid w:val="2BC61DC3"/>
    <w:rsid w:val="2BD33847"/>
    <w:rsid w:val="2BD73D63"/>
    <w:rsid w:val="2BDB3655"/>
    <w:rsid w:val="2BEF44BB"/>
    <w:rsid w:val="2C147130"/>
    <w:rsid w:val="2C1755DC"/>
    <w:rsid w:val="2C2063A3"/>
    <w:rsid w:val="2C275941"/>
    <w:rsid w:val="2C315A5A"/>
    <w:rsid w:val="2C701096"/>
    <w:rsid w:val="2C756AA3"/>
    <w:rsid w:val="2CA61159"/>
    <w:rsid w:val="2CAB0320"/>
    <w:rsid w:val="2CC80ED2"/>
    <w:rsid w:val="2CE24886"/>
    <w:rsid w:val="2CF60170"/>
    <w:rsid w:val="2D002E18"/>
    <w:rsid w:val="2D095047"/>
    <w:rsid w:val="2D0F244B"/>
    <w:rsid w:val="2D291C9D"/>
    <w:rsid w:val="2D352EF4"/>
    <w:rsid w:val="2D3F4B58"/>
    <w:rsid w:val="2D621DCA"/>
    <w:rsid w:val="2D627911"/>
    <w:rsid w:val="2D6E4813"/>
    <w:rsid w:val="2D8D7A26"/>
    <w:rsid w:val="2D9B0395"/>
    <w:rsid w:val="2D9E56F5"/>
    <w:rsid w:val="2DE51610"/>
    <w:rsid w:val="2DF6034B"/>
    <w:rsid w:val="2E1A730D"/>
    <w:rsid w:val="2E286341"/>
    <w:rsid w:val="2E29180C"/>
    <w:rsid w:val="2E3C2FDF"/>
    <w:rsid w:val="2E3D7387"/>
    <w:rsid w:val="2E667F96"/>
    <w:rsid w:val="2E782484"/>
    <w:rsid w:val="2E8226AB"/>
    <w:rsid w:val="2E875848"/>
    <w:rsid w:val="2E980D78"/>
    <w:rsid w:val="2EB73DDA"/>
    <w:rsid w:val="2EBA2574"/>
    <w:rsid w:val="2EC102CF"/>
    <w:rsid w:val="2ECD6C74"/>
    <w:rsid w:val="2EE11F76"/>
    <w:rsid w:val="2F2373D2"/>
    <w:rsid w:val="2F39519C"/>
    <w:rsid w:val="2F412617"/>
    <w:rsid w:val="2F4A4007"/>
    <w:rsid w:val="2F5707D5"/>
    <w:rsid w:val="2F607CD7"/>
    <w:rsid w:val="2F6649D2"/>
    <w:rsid w:val="2F832C79"/>
    <w:rsid w:val="2F843F1E"/>
    <w:rsid w:val="2F863D11"/>
    <w:rsid w:val="2F947791"/>
    <w:rsid w:val="2FC17E5A"/>
    <w:rsid w:val="2FC828D6"/>
    <w:rsid w:val="2FEF2D58"/>
    <w:rsid w:val="2FF3455A"/>
    <w:rsid w:val="30004E27"/>
    <w:rsid w:val="300F506A"/>
    <w:rsid w:val="30171CF5"/>
    <w:rsid w:val="301A051C"/>
    <w:rsid w:val="303013BE"/>
    <w:rsid w:val="3030536A"/>
    <w:rsid w:val="30580BC9"/>
    <w:rsid w:val="309916C6"/>
    <w:rsid w:val="30D64BC7"/>
    <w:rsid w:val="30E8538C"/>
    <w:rsid w:val="3102656E"/>
    <w:rsid w:val="311725EA"/>
    <w:rsid w:val="31175F84"/>
    <w:rsid w:val="311E2ED7"/>
    <w:rsid w:val="31383EAB"/>
    <w:rsid w:val="31522833"/>
    <w:rsid w:val="315C449C"/>
    <w:rsid w:val="31662A68"/>
    <w:rsid w:val="31717745"/>
    <w:rsid w:val="31717D8A"/>
    <w:rsid w:val="31827B83"/>
    <w:rsid w:val="31833619"/>
    <w:rsid w:val="318C4BC4"/>
    <w:rsid w:val="318D3A05"/>
    <w:rsid w:val="319B6BB5"/>
    <w:rsid w:val="31B3642B"/>
    <w:rsid w:val="31B82709"/>
    <w:rsid w:val="31B965A7"/>
    <w:rsid w:val="31EA18EB"/>
    <w:rsid w:val="31F167D5"/>
    <w:rsid w:val="32002B4E"/>
    <w:rsid w:val="320D794C"/>
    <w:rsid w:val="322829C1"/>
    <w:rsid w:val="32400B34"/>
    <w:rsid w:val="325B29F5"/>
    <w:rsid w:val="326126CF"/>
    <w:rsid w:val="326A3069"/>
    <w:rsid w:val="328543B9"/>
    <w:rsid w:val="328C72C2"/>
    <w:rsid w:val="328E2276"/>
    <w:rsid w:val="329E6876"/>
    <w:rsid w:val="329F4483"/>
    <w:rsid w:val="32A832B9"/>
    <w:rsid w:val="32DD144F"/>
    <w:rsid w:val="32E168F2"/>
    <w:rsid w:val="32ED4E4B"/>
    <w:rsid w:val="330662B0"/>
    <w:rsid w:val="33480F8C"/>
    <w:rsid w:val="334D5230"/>
    <w:rsid w:val="337C2A16"/>
    <w:rsid w:val="3385543D"/>
    <w:rsid w:val="339F1E29"/>
    <w:rsid w:val="33D934D4"/>
    <w:rsid w:val="33E22FCC"/>
    <w:rsid w:val="33FE2F6A"/>
    <w:rsid w:val="340622E0"/>
    <w:rsid w:val="344277BC"/>
    <w:rsid w:val="346C3DC3"/>
    <w:rsid w:val="34A40079"/>
    <w:rsid w:val="34AE6BFF"/>
    <w:rsid w:val="34C86E72"/>
    <w:rsid w:val="3509085C"/>
    <w:rsid w:val="35305866"/>
    <w:rsid w:val="355A0E7F"/>
    <w:rsid w:val="357778EE"/>
    <w:rsid w:val="35D46B3A"/>
    <w:rsid w:val="35D7351E"/>
    <w:rsid w:val="35EE175F"/>
    <w:rsid w:val="36053835"/>
    <w:rsid w:val="36074A7F"/>
    <w:rsid w:val="36232900"/>
    <w:rsid w:val="36317AE8"/>
    <w:rsid w:val="365B14ED"/>
    <w:rsid w:val="36922B60"/>
    <w:rsid w:val="36923549"/>
    <w:rsid w:val="36B75FBF"/>
    <w:rsid w:val="36CC05EB"/>
    <w:rsid w:val="36CD7548"/>
    <w:rsid w:val="36DF5796"/>
    <w:rsid w:val="36E92171"/>
    <w:rsid w:val="36FB00F6"/>
    <w:rsid w:val="36FB4891"/>
    <w:rsid w:val="37342AA4"/>
    <w:rsid w:val="374E46CA"/>
    <w:rsid w:val="37607F59"/>
    <w:rsid w:val="376478FF"/>
    <w:rsid w:val="376A32AB"/>
    <w:rsid w:val="37B3277F"/>
    <w:rsid w:val="37C5613F"/>
    <w:rsid w:val="37DC7264"/>
    <w:rsid w:val="37DF2069"/>
    <w:rsid w:val="38011185"/>
    <w:rsid w:val="380C0E5E"/>
    <w:rsid w:val="383E029A"/>
    <w:rsid w:val="3847148E"/>
    <w:rsid w:val="387329DC"/>
    <w:rsid w:val="388760E5"/>
    <w:rsid w:val="38CC03EE"/>
    <w:rsid w:val="38D521A9"/>
    <w:rsid w:val="38D97312"/>
    <w:rsid w:val="38DE1A7D"/>
    <w:rsid w:val="38DF7806"/>
    <w:rsid w:val="38E5091B"/>
    <w:rsid w:val="38F12CD3"/>
    <w:rsid w:val="38F35E73"/>
    <w:rsid w:val="38F94775"/>
    <w:rsid w:val="392971ED"/>
    <w:rsid w:val="394430FB"/>
    <w:rsid w:val="39470272"/>
    <w:rsid w:val="39671A73"/>
    <w:rsid w:val="39785A2E"/>
    <w:rsid w:val="397D65E7"/>
    <w:rsid w:val="39B17355"/>
    <w:rsid w:val="39E31FA1"/>
    <w:rsid w:val="39E45920"/>
    <w:rsid w:val="39FE23D7"/>
    <w:rsid w:val="3A0E1EEE"/>
    <w:rsid w:val="3A265CF7"/>
    <w:rsid w:val="3A502507"/>
    <w:rsid w:val="3A547980"/>
    <w:rsid w:val="3A810926"/>
    <w:rsid w:val="3A964955"/>
    <w:rsid w:val="3A985484"/>
    <w:rsid w:val="3AA8048C"/>
    <w:rsid w:val="3AB80498"/>
    <w:rsid w:val="3AC0694E"/>
    <w:rsid w:val="3AC62CF9"/>
    <w:rsid w:val="3ADB6274"/>
    <w:rsid w:val="3AEC592E"/>
    <w:rsid w:val="3AF37A62"/>
    <w:rsid w:val="3B0C0B24"/>
    <w:rsid w:val="3B183024"/>
    <w:rsid w:val="3B2406B4"/>
    <w:rsid w:val="3B3763D1"/>
    <w:rsid w:val="3B73237A"/>
    <w:rsid w:val="3BBA232E"/>
    <w:rsid w:val="3BCB002F"/>
    <w:rsid w:val="3BEF6D9B"/>
    <w:rsid w:val="3C017A86"/>
    <w:rsid w:val="3C047A4D"/>
    <w:rsid w:val="3C2105FF"/>
    <w:rsid w:val="3C277297"/>
    <w:rsid w:val="3C300842"/>
    <w:rsid w:val="3C7A476F"/>
    <w:rsid w:val="3C8623C3"/>
    <w:rsid w:val="3CA70281"/>
    <w:rsid w:val="3CB2768F"/>
    <w:rsid w:val="3CC922E8"/>
    <w:rsid w:val="3CCF5F01"/>
    <w:rsid w:val="3CD53147"/>
    <w:rsid w:val="3CDA245A"/>
    <w:rsid w:val="3CE50733"/>
    <w:rsid w:val="3CEE0A37"/>
    <w:rsid w:val="3CF646FE"/>
    <w:rsid w:val="3D000214"/>
    <w:rsid w:val="3D141F11"/>
    <w:rsid w:val="3D2B2F41"/>
    <w:rsid w:val="3D2C573F"/>
    <w:rsid w:val="3D356C89"/>
    <w:rsid w:val="3D3879AE"/>
    <w:rsid w:val="3D7A589B"/>
    <w:rsid w:val="3D93394A"/>
    <w:rsid w:val="3D94095C"/>
    <w:rsid w:val="3DB559CC"/>
    <w:rsid w:val="3DC01751"/>
    <w:rsid w:val="3DDC47DD"/>
    <w:rsid w:val="3DF14C86"/>
    <w:rsid w:val="3DFC7A04"/>
    <w:rsid w:val="3E073300"/>
    <w:rsid w:val="3E120E96"/>
    <w:rsid w:val="3E17729B"/>
    <w:rsid w:val="3E1C2E2C"/>
    <w:rsid w:val="3E5C76CC"/>
    <w:rsid w:val="3E6B3DB3"/>
    <w:rsid w:val="3E6F5F41"/>
    <w:rsid w:val="3E8D6660"/>
    <w:rsid w:val="3EBA394B"/>
    <w:rsid w:val="3ECD2378"/>
    <w:rsid w:val="3ECD4126"/>
    <w:rsid w:val="3ECE4C5D"/>
    <w:rsid w:val="3ED10CF6"/>
    <w:rsid w:val="3ED11DD2"/>
    <w:rsid w:val="3EE04355"/>
    <w:rsid w:val="3F0C10F2"/>
    <w:rsid w:val="3F3441C2"/>
    <w:rsid w:val="3F3936D6"/>
    <w:rsid w:val="3F463B37"/>
    <w:rsid w:val="3F660E74"/>
    <w:rsid w:val="3F6A406B"/>
    <w:rsid w:val="3F827606"/>
    <w:rsid w:val="3F934EDE"/>
    <w:rsid w:val="3FA31D06"/>
    <w:rsid w:val="3FBD063E"/>
    <w:rsid w:val="3FCD7BCE"/>
    <w:rsid w:val="3FCF3ECE"/>
    <w:rsid w:val="40130696"/>
    <w:rsid w:val="402F2A3B"/>
    <w:rsid w:val="405A40DF"/>
    <w:rsid w:val="406F60E2"/>
    <w:rsid w:val="40711188"/>
    <w:rsid w:val="407A6407"/>
    <w:rsid w:val="407F58F4"/>
    <w:rsid w:val="40850404"/>
    <w:rsid w:val="409404B4"/>
    <w:rsid w:val="40B30062"/>
    <w:rsid w:val="40B732E0"/>
    <w:rsid w:val="40C355D0"/>
    <w:rsid w:val="40FE08AC"/>
    <w:rsid w:val="40FE2B4E"/>
    <w:rsid w:val="410433FD"/>
    <w:rsid w:val="41054F50"/>
    <w:rsid w:val="41106A4A"/>
    <w:rsid w:val="411B56C4"/>
    <w:rsid w:val="41354204"/>
    <w:rsid w:val="414209F3"/>
    <w:rsid w:val="414B42B3"/>
    <w:rsid w:val="415C569C"/>
    <w:rsid w:val="416C2F7C"/>
    <w:rsid w:val="416D699B"/>
    <w:rsid w:val="418D5DEE"/>
    <w:rsid w:val="41A83DEF"/>
    <w:rsid w:val="41AE6491"/>
    <w:rsid w:val="41C2018E"/>
    <w:rsid w:val="41CA0DF1"/>
    <w:rsid w:val="41D5133D"/>
    <w:rsid w:val="41DB68B9"/>
    <w:rsid w:val="41EF0857"/>
    <w:rsid w:val="41F26F65"/>
    <w:rsid w:val="41F854C1"/>
    <w:rsid w:val="42157D2C"/>
    <w:rsid w:val="422875CB"/>
    <w:rsid w:val="423A3BCC"/>
    <w:rsid w:val="424D3EFC"/>
    <w:rsid w:val="424E1A22"/>
    <w:rsid w:val="425F30BA"/>
    <w:rsid w:val="42697592"/>
    <w:rsid w:val="42816DCC"/>
    <w:rsid w:val="428E1E11"/>
    <w:rsid w:val="42DA71E0"/>
    <w:rsid w:val="42EE6227"/>
    <w:rsid w:val="42EE7871"/>
    <w:rsid w:val="43102737"/>
    <w:rsid w:val="43317379"/>
    <w:rsid w:val="433A6FE6"/>
    <w:rsid w:val="434317D4"/>
    <w:rsid w:val="43457143"/>
    <w:rsid w:val="4348021F"/>
    <w:rsid w:val="4350713C"/>
    <w:rsid w:val="43516679"/>
    <w:rsid w:val="436653E0"/>
    <w:rsid w:val="436A0F12"/>
    <w:rsid w:val="43792ACE"/>
    <w:rsid w:val="43813088"/>
    <w:rsid w:val="43852784"/>
    <w:rsid w:val="43B41D58"/>
    <w:rsid w:val="43C5761E"/>
    <w:rsid w:val="43C60E82"/>
    <w:rsid w:val="43F415D2"/>
    <w:rsid w:val="44166EA6"/>
    <w:rsid w:val="4428603C"/>
    <w:rsid w:val="44472BCC"/>
    <w:rsid w:val="445E084E"/>
    <w:rsid w:val="446E4881"/>
    <w:rsid w:val="44815866"/>
    <w:rsid w:val="44B82E53"/>
    <w:rsid w:val="44B87626"/>
    <w:rsid w:val="44CD14E0"/>
    <w:rsid w:val="44DD5C6F"/>
    <w:rsid w:val="44EA5B84"/>
    <w:rsid w:val="44EE1B38"/>
    <w:rsid w:val="44FA2B8E"/>
    <w:rsid w:val="4504461A"/>
    <w:rsid w:val="452847AC"/>
    <w:rsid w:val="452937AA"/>
    <w:rsid w:val="458946E9"/>
    <w:rsid w:val="4597665D"/>
    <w:rsid w:val="45A81449"/>
    <w:rsid w:val="45ED0EB4"/>
    <w:rsid w:val="45EE26F2"/>
    <w:rsid w:val="45F91CA4"/>
    <w:rsid w:val="46072613"/>
    <w:rsid w:val="46073B34"/>
    <w:rsid w:val="46296FA0"/>
    <w:rsid w:val="467852BF"/>
    <w:rsid w:val="46945A20"/>
    <w:rsid w:val="46AC0C71"/>
    <w:rsid w:val="46BC13D0"/>
    <w:rsid w:val="46C2487A"/>
    <w:rsid w:val="46C62084"/>
    <w:rsid w:val="46CB189D"/>
    <w:rsid w:val="46D13317"/>
    <w:rsid w:val="46D955A7"/>
    <w:rsid w:val="46F34BEB"/>
    <w:rsid w:val="46FB339E"/>
    <w:rsid w:val="470D0220"/>
    <w:rsid w:val="47133957"/>
    <w:rsid w:val="47470193"/>
    <w:rsid w:val="474D22FD"/>
    <w:rsid w:val="476A5CC2"/>
    <w:rsid w:val="476A66E4"/>
    <w:rsid w:val="4779329E"/>
    <w:rsid w:val="477A0BC3"/>
    <w:rsid w:val="477F53EE"/>
    <w:rsid w:val="47A07E0C"/>
    <w:rsid w:val="47D2657C"/>
    <w:rsid w:val="47E10C42"/>
    <w:rsid w:val="47E2084E"/>
    <w:rsid w:val="47EC04AA"/>
    <w:rsid w:val="48202ABC"/>
    <w:rsid w:val="48253225"/>
    <w:rsid w:val="482760A2"/>
    <w:rsid w:val="48311D25"/>
    <w:rsid w:val="483376F0"/>
    <w:rsid w:val="485E363F"/>
    <w:rsid w:val="48621D83"/>
    <w:rsid w:val="486D0453"/>
    <w:rsid w:val="4870272E"/>
    <w:rsid w:val="487D4F18"/>
    <w:rsid w:val="487D6656"/>
    <w:rsid w:val="488206B9"/>
    <w:rsid w:val="488D65CE"/>
    <w:rsid w:val="488E3E6F"/>
    <w:rsid w:val="489108BA"/>
    <w:rsid w:val="48931F3C"/>
    <w:rsid w:val="489425AA"/>
    <w:rsid w:val="48BD520B"/>
    <w:rsid w:val="48BE5420"/>
    <w:rsid w:val="48E00EFA"/>
    <w:rsid w:val="48F358ED"/>
    <w:rsid w:val="491777AA"/>
    <w:rsid w:val="491E5591"/>
    <w:rsid w:val="494801D5"/>
    <w:rsid w:val="495C0912"/>
    <w:rsid w:val="496168F1"/>
    <w:rsid w:val="497E2BEC"/>
    <w:rsid w:val="498457DD"/>
    <w:rsid w:val="49CA2E08"/>
    <w:rsid w:val="49DC7715"/>
    <w:rsid w:val="4A023139"/>
    <w:rsid w:val="4A3E5330"/>
    <w:rsid w:val="4A4A2ACF"/>
    <w:rsid w:val="4A4C6847"/>
    <w:rsid w:val="4A7B576F"/>
    <w:rsid w:val="4A800BE6"/>
    <w:rsid w:val="4A8D1966"/>
    <w:rsid w:val="4A8F0E29"/>
    <w:rsid w:val="4A9D46FE"/>
    <w:rsid w:val="4AA54826"/>
    <w:rsid w:val="4AAD305D"/>
    <w:rsid w:val="4ABD2153"/>
    <w:rsid w:val="4AF95B02"/>
    <w:rsid w:val="4B0420AD"/>
    <w:rsid w:val="4B0968DB"/>
    <w:rsid w:val="4B101F6A"/>
    <w:rsid w:val="4B104882"/>
    <w:rsid w:val="4B132359"/>
    <w:rsid w:val="4B150431"/>
    <w:rsid w:val="4B191291"/>
    <w:rsid w:val="4B1B69CE"/>
    <w:rsid w:val="4B442066"/>
    <w:rsid w:val="4B5D31B5"/>
    <w:rsid w:val="4B652C46"/>
    <w:rsid w:val="4B682863"/>
    <w:rsid w:val="4B6A5A46"/>
    <w:rsid w:val="4B7E3D60"/>
    <w:rsid w:val="4B807B28"/>
    <w:rsid w:val="4B986149"/>
    <w:rsid w:val="4BC44B03"/>
    <w:rsid w:val="4BC461C0"/>
    <w:rsid w:val="4BE25BED"/>
    <w:rsid w:val="4BF83183"/>
    <w:rsid w:val="4C1C1E18"/>
    <w:rsid w:val="4C41548E"/>
    <w:rsid w:val="4C46376A"/>
    <w:rsid w:val="4C4A0649"/>
    <w:rsid w:val="4C6D3388"/>
    <w:rsid w:val="4C8D29DE"/>
    <w:rsid w:val="4C977410"/>
    <w:rsid w:val="4CA80FE3"/>
    <w:rsid w:val="4CAC5D01"/>
    <w:rsid w:val="4CAF28EA"/>
    <w:rsid w:val="4CE11854"/>
    <w:rsid w:val="4CE216E4"/>
    <w:rsid w:val="4CE470D3"/>
    <w:rsid w:val="4CED5FDD"/>
    <w:rsid w:val="4CFB4554"/>
    <w:rsid w:val="4D12512E"/>
    <w:rsid w:val="4D3122B2"/>
    <w:rsid w:val="4D371A30"/>
    <w:rsid w:val="4D380F3C"/>
    <w:rsid w:val="4D537464"/>
    <w:rsid w:val="4D5565D7"/>
    <w:rsid w:val="4D6D5F10"/>
    <w:rsid w:val="4D957DB8"/>
    <w:rsid w:val="4D9D4C2B"/>
    <w:rsid w:val="4DCB5D3F"/>
    <w:rsid w:val="4DCD4C46"/>
    <w:rsid w:val="4DEC4FB0"/>
    <w:rsid w:val="4DED6C6E"/>
    <w:rsid w:val="4DF11282"/>
    <w:rsid w:val="4E0062C6"/>
    <w:rsid w:val="4E075D8A"/>
    <w:rsid w:val="4E1C6E78"/>
    <w:rsid w:val="4E2A19E9"/>
    <w:rsid w:val="4E3F770A"/>
    <w:rsid w:val="4E4454AB"/>
    <w:rsid w:val="4E4D0DDF"/>
    <w:rsid w:val="4E5E2FEC"/>
    <w:rsid w:val="4E6323B1"/>
    <w:rsid w:val="4E6F039B"/>
    <w:rsid w:val="4E712CA4"/>
    <w:rsid w:val="4E7A01FB"/>
    <w:rsid w:val="4E7D1579"/>
    <w:rsid w:val="4E810A89"/>
    <w:rsid w:val="4E950343"/>
    <w:rsid w:val="4EA372EC"/>
    <w:rsid w:val="4EA46C04"/>
    <w:rsid w:val="4EB26409"/>
    <w:rsid w:val="4EB65E91"/>
    <w:rsid w:val="4EB86BA1"/>
    <w:rsid w:val="4EBD3C7D"/>
    <w:rsid w:val="4EC65B38"/>
    <w:rsid w:val="4ECF5C98"/>
    <w:rsid w:val="4EE410F4"/>
    <w:rsid w:val="4EE73BBF"/>
    <w:rsid w:val="4EFE1D2F"/>
    <w:rsid w:val="4F035942"/>
    <w:rsid w:val="4F247D92"/>
    <w:rsid w:val="4FA84BB7"/>
    <w:rsid w:val="4FBB114F"/>
    <w:rsid w:val="4FBD5683"/>
    <w:rsid w:val="4FC1444E"/>
    <w:rsid w:val="4FC62A8C"/>
    <w:rsid w:val="4FE20F0D"/>
    <w:rsid w:val="4FE673CA"/>
    <w:rsid w:val="4FEA62BF"/>
    <w:rsid w:val="4FFF33E9"/>
    <w:rsid w:val="503C6D48"/>
    <w:rsid w:val="50504C4B"/>
    <w:rsid w:val="509C6E7C"/>
    <w:rsid w:val="50BE5FC4"/>
    <w:rsid w:val="50C431DE"/>
    <w:rsid w:val="50C507DC"/>
    <w:rsid w:val="50EB4D8E"/>
    <w:rsid w:val="50EC3E2B"/>
    <w:rsid w:val="50EC71E2"/>
    <w:rsid w:val="510B1E2B"/>
    <w:rsid w:val="51167D5F"/>
    <w:rsid w:val="511E11D1"/>
    <w:rsid w:val="513E47B4"/>
    <w:rsid w:val="5162104E"/>
    <w:rsid w:val="517F39A6"/>
    <w:rsid w:val="519C0D29"/>
    <w:rsid w:val="51A60B93"/>
    <w:rsid w:val="51D546C1"/>
    <w:rsid w:val="51F83758"/>
    <w:rsid w:val="51FE1F11"/>
    <w:rsid w:val="51FE5187"/>
    <w:rsid w:val="52283633"/>
    <w:rsid w:val="522B3DE7"/>
    <w:rsid w:val="522D3402"/>
    <w:rsid w:val="522D7CC3"/>
    <w:rsid w:val="526176D1"/>
    <w:rsid w:val="52637512"/>
    <w:rsid w:val="52705CA9"/>
    <w:rsid w:val="52775D76"/>
    <w:rsid w:val="52952888"/>
    <w:rsid w:val="52B07656"/>
    <w:rsid w:val="52EB5DFD"/>
    <w:rsid w:val="52FC41ED"/>
    <w:rsid w:val="530E3409"/>
    <w:rsid w:val="53163E96"/>
    <w:rsid w:val="5322283B"/>
    <w:rsid w:val="53226CDE"/>
    <w:rsid w:val="532464E3"/>
    <w:rsid w:val="533A0336"/>
    <w:rsid w:val="534D53DE"/>
    <w:rsid w:val="53633130"/>
    <w:rsid w:val="539B3F8B"/>
    <w:rsid w:val="539F20DD"/>
    <w:rsid w:val="53A039CC"/>
    <w:rsid w:val="53A1505A"/>
    <w:rsid w:val="53A52DF7"/>
    <w:rsid w:val="53FD13CD"/>
    <w:rsid w:val="53FD3A86"/>
    <w:rsid w:val="54063E08"/>
    <w:rsid w:val="540B4F52"/>
    <w:rsid w:val="54280325"/>
    <w:rsid w:val="54295A6D"/>
    <w:rsid w:val="543437E8"/>
    <w:rsid w:val="546F1A89"/>
    <w:rsid w:val="547D1CF3"/>
    <w:rsid w:val="54B94928"/>
    <w:rsid w:val="54C544DE"/>
    <w:rsid w:val="54D65655"/>
    <w:rsid w:val="54D81AFF"/>
    <w:rsid w:val="54EC75A4"/>
    <w:rsid w:val="54EF2BF0"/>
    <w:rsid w:val="54FE72D7"/>
    <w:rsid w:val="55171F21"/>
    <w:rsid w:val="552168CF"/>
    <w:rsid w:val="55314FB7"/>
    <w:rsid w:val="55432336"/>
    <w:rsid w:val="55583440"/>
    <w:rsid w:val="55604CE2"/>
    <w:rsid w:val="5579695E"/>
    <w:rsid w:val="557A282D"/>
    <w:rsid w:val="55850EFA"/>
    <w:rsid w:val="558570B1"/>
    <w:rsid w:val="5589777E"/>
    <w:rsid w:val="559B174B"/>
    <w:rsid w:val="55A21B63"/>
    <w:rsid w:val="55BA7EA9"/>
    <w:rsid w:val="55CE0CF4"/>
    <w:rsid w:val="55E935ED"/>
    <w:rsid w:val="560223A7"/>
    <w:rsid w:val="56051FA0"/>
    <w:rsid w:val="562260D0"/>
    <w:rsid w:val="562E7748"/>
    <w:rsid w:val="564205FD"/>
    <w:rsid w:val="56423362"/>
    <w:rsid w:val="565F54B6"/>
    <w:rsid w:val="56862B81"/>
    <w:rsid w:val="56925F29"/>
    <w:rsid w:val="569915E8"/>
    <w:rsid w:val="56A30DF7"/>
    <w:rsid w:val="56B22A9C"/>
    <w:rsid w:val="56DF0A43"/>
    <w:rsid w:val="56E37F83"/>
    <w:rsid w:val="57034731"/>
    <w:rsid w:val="570566FB"/>
    <w:rsid w:val="57064221"/>
    <w:rsid w:val="57077608"/>
    <w:rsid w:val="570A2D7E"/>
    <w:rsid w:val="57182169"/>
    <w:rsid w:val="571A483D"/>
    <w:rsid w:val="572904F0"/>
    <w:rsid w:val="573C54A3"/>
    <w:rsid w:val="57A66C3F"/>
    <w:rsid w:val="57B65C47"/>
    <w:rsid w:val="57B72A76"/>
    <w:rsid w:val="57CA6432"/>
    <w:rsid w:val="57CF2661"/>
    <w:rsid w:val="57F16C7F"/>
    <w:rsid w:val="57F64BE6"/>
    <w:rsid w:val="57F73222"/>
    <w:rsid w:val="58120662"/>
    <w:rsid w:val="583077A8"/>
    <w:rsid w:val="5837624B"/>
    <w:rsid w:val="585C1FC3"/>
    <w:rsid w:val="58614C93"/>
    <w:rsid w:val="587324F6"/>
    <w:rsid w:val="58734DE1"/>
    <w:rsid w:val="587D6765"/>
    <w:rsid w:val="589A3205"/>
    <w:rsid w:val="58B2640F"/>
    <w:rsid w:val="58BA2C69"/>
    <w:rsid w:val="58D067D5"/>
    <w:rsid w:val="58D5034F"/>
    <w:rsid w:val="58DC2B67"/>
    <w:rsid w:val="58F31C0A"/>
    <w:rsid w:val="58FF717A"/>
    <w:rsid w:val="591412CF"/>
    <w:rsid w:val="5924481C"/>
    <w:rsid w:val="59260BAB"/>
    <w:rsid w:val="592B4413"/>
    <w:rsid w:val="593F671C"/>
    <w:rsid w:val="594E1B48"/>
    <w:rsid w:val="5965329A"/>
    <w:rsid w:val="597E01B2"/>
    <w:rsid w:val="59BA6CC4"/>
    <w:rsid w:val="5A1B2694"/>
    <w:rsid w:val="5A3C747D"/>
    <w:rsid w:val="5A3E3CD2"/>
    <w:rsid w:val="5A59655A"/>
    <w:rsid w:val="5A764CB1"/>
    <w:rsid w:val="5A7A7B4A"/>
    <w:rsid w:val="5A7E331D"/>
    <w:rsid w:val="5A9164F8"/>
    <w:rsid w:val="5A9C6FC0"/>
    <w:rsid w:val="5AAD5D0B"/>
    <w:rsid w:val="5ABE2233"/>
    <w:rsid w:val="5AD53A0B"/>
    <w:rsid w:val="5B276D18"/>
    <w:rsid w:val="5B2D3225"/>
    <w:rsid w:val="5B30733C"/>
    <w:rsid w:val="5B431465"/>
    <w:rsid w:val="5B4C0A31"/>
    <w:rsid w:val="5B4C1C62"/>
    <w:rsid w:val="5B5412A7"/>
    <w:rsid w:val="5B63788A"/>
    <w:rsid w:val="5B841BB9"/>
    <w:rsid w:val="5B9E0ECC"/>
    <w:rsid w:val="5BC8419B"/>
    <w:rsid w:val="5BD46EBF"/>
    <w:rsid w:val="5BDF5D95"/>
    <w:rsid w:val="5BE11984"/>
    <w:rsid w:val="5BE70AC5"/>
    <w:rsid w:val="5BF979BC"/>
    <w:rsid w:val="5BFC461E"/>
    <w:rsid w:val="5BFF2315"/>
    <w:rsid w:val="5C0602CD"/>
    <w:rsid w:val="5C1B251D"/>
    <w:rsid w:val="5C2E5155"/>
    <w:rsid w:val="5C373A71"/>
    <w:rsid w:val="5C3853BC"/>
    <w:rsid w:val="5C3D152C"/>
    <w:rsid w:val="5C3F5203"/>
    <w:rsid w:val="5C4750C0"/>
    <w:rsid w:val="5C4D501B"/>
    <w:rsid w:val="5C504FB3"/>
    <w:rsid w:val="5C78796F"/>
    <w:rsid w:val="5C834354"/>
    <w:rsid w:val="5CB2472E"/>
    <w:rsid w:val="5CB600D6"/>
    <w:rsid w:val="5CE15806"/>
    <w:rsid w:val="5CFD0323"/>
    <w:rsid w:val="5CFE17D6"/>
    <w:rsid w:val="5D2837B0"/>
    <w:rsid w:val="5D2B49E2"/>
    <w:rsid w:val="5D3C7AA5"/>
    <w:rsid w:val="5D8D11F8"/>
    <w:rsid w:val="5D906E2E"/>
    <w:rsid w:val="5D9200D4"/>
    <w:rsid w:val="5DAE616B"/>
    <w:rsid w:val="5DBA3D3C"/>
    <w:rsid w:val="5DC866D4"/>
    <w:rsid w:val="5DF11FCA"/>
    <w:rsid w:val="5DF87A0F"/>
    <w:rsid w:val="5E5C5190"/>
    <w:rsid w:val="5E892624"/>
    <w:rsid w:val="5E8C3B32"/>
    <w:rsid w:val="5E8D2864"/>
    <w:rsid w:val="5EA336D3"/>
    <w:rsid w:val="5EAE07E6"/>
    <w:rsid w:val="5EC520EC"/>
    <w:rsid w:val="5ECE7F48"/>
    <w:rsid w:val="5EDA6373"/>
    <w:rsid w:val="5EF86B45"/>
    <w:rsid w:val="5EFD3E02"/>
    <w:rsid w:val="5F04667D"/>
    <w:rsid w:val="5F184C95"/>
    <w:rsid w:val="5F1A2B43"/>
    <w:rsid w:val="5F1A3805"/>
    <w:rsid w:val="5F275ED7"/>
    <w:rsid w:val="5F2C67EF"/>
    <w:rsid w:val="5F9A62A0"/>
    <w:rsid w:val="5FB837BB"/>
    <w:rsid w:val="5FC6410F"/>
    <w:rsid w:val="5FCA22E6"/>
    <w:rsid w:val="5FCC3237"/>
    <w:rsid w:val="5FD749AD"/>
    <w:rsid w:val="5FD924D3"/>
    <w:rsid w:val="5FFA069B"/>
    <w:rsid w:val="60074A45"/>
    <w:rsid w:val="600B28A8"/>
    <w:rsid w:val="600C7F2B"/>
    <w:rsid w:val="601D41E4"/>
    <w:rsid w:val="602120CC"/>
    <w:rsid w:val="60350178"/>
    <w:rsid w:val="603C5455"/>
    <w:rsid w:val="606E68BF"/>
    <w:rsid w:val="607634BE"/>
    <w:rsid w:val="60803296"/>
    <w:rsid w:val="60850531"/>
    <w:rsid w:val="608E137D"/>
    <w:rsid w:val="60931955"/>
    <w:rsid w:val="61020E65"/>
    <w:rsid w:val="61113265"/>
    <w:rsid w:val="6115028F"/>
    <w:rsid w:val="613E2F72"/>
    <w:rsid w:val="614A3DF5"/>
    <w:rsid w:val="61587C36"/>
    <w:rsid w:val="6166050D"/>
    <w:rsid w:val="61731EE4"/>
    <w:rsid w:val="617E209A"/>
    <w:rsid w:val="6198060A"/>
    <w:rsid w:val="61BE6511"/>
    <w:rsid w:val="61D01AEA"/>
    <w:rsid w:val="61D02B43"/>
    <w:rsid w:val="61E138C1"/>
    <w:rsid w:val="61F1298B"/>
    <w:rsid w:val="61F41846"/>
    <w:rsid w:val="61F85281"/>
    <w:rsid w:val="621517BC"/>
    <w:rsid w:val="621C2B4B"/>
    <w:rsid w:val="62364782"/>
    <w:rsid w:val="62562FC5"/>
    <w:rsid w:val="62662018"/>
    <w:rsid w:val="627D11E6"/>
    <w:rsid w:val="62AB76F8"/>
    <w:rsid w:val="62BB093A"/>
    <w:rsid w:val="62C80C3F"/>
    <w:rsid w:val="62CC1FD0"/>
    <w:rsid w:val="62CF16B7"/>
    <w:rsid w:val="62E0626E"/>
    <w:rsid w:val="62E83BFA"/>
    <w:rsid w:val="62EA41DC"/>
    <w:rsid w:val="631A252F"/>
    <w:rsid w:val="635019D4"/>
    <w:rsid w:val="63522B22"/>
    <w:rsid w:val="635E783D"/>
    <w:rsid w:val="63AB2D8C"/>
    <w:rsid w:val="63C57EE3"/>
    <w:rsid w:val="63D40BE9"/>
    <w:rsid w:val="63E0211F"/>
    <w:rsid w:val="63E90A95"/>
    <w:rsid w:val="63EB6861"/>
    <w:rsid w:val="63F2026A"/>
    <w:rsid w:val="641C0FFE"/>
    <w:rsid w:val="644C2A6B"/>
    <w:rsid w:val="64944E89"/>
    <w:rsid w:val="64980412"/>
    <w:rsid w:val="64AC14CD"/>
    <w:rsid w:val="64C11568"/>
    <w:rsid w:val="64C74AE8"/>
    <w:rsid w:val="64DF5969"/>
    <w:rsid w:val="650C60C3"/>
    <w:rsid w:val="651735C3"/>
    <w:rsid w:val="65174A46"/>
    <w:rsid w:val="653156F5"/>
    <w:rsid w:val="65373578"/>
    <w:rsid w:val="6545060B"/>
    <w:rsid w:val="6549747B"/>
    <w:rsid w:val="655B398A"/>
    <w:rsid w:val="65693BD2"/>
    <w:rsid w:val="656D3445"/>
    <w:rsid w:val="659A7FFB"/>
    <w:rsid w:val="65A610A9"/>
    <w:rsid w:val="65C60DEB"/>
    <w:rsid w:val="65DD416D"/>
    <w:rsid w:val="65E46075"/>
    <w:rsid w:val="65E94CD8"/>
    <w:rsid w:val="65E9543A"/>
    <w:rsid w:val="660B40E1"/>
    <w:rsid w:val="6622406E"/>
    <w:rsid w:val="663721A5"/>
    <w:rsid w:val="663A629F"/>
    <w:rsid w:val="665D2485"/>
    <w:rsid w:val="665E4931"/>
    <w:rsid w:val="66AB0941"/>
    <w:rsid w:val="66DA6FA9"/>
    <w:rsid w:val="66F5564D"/>
    <w:rsid w:val="6706591D"/>
    <w:rsid w:val="673F2C7A"/>
    <w:rsid w:val="674C3ED2"/>
    <w:rsid w:val="674E5834"/>
    <w:rsid w:val="675811CE"/>
    <w:rsid w:val="675F0B7B"/>
    <w:rsid w:val="676F57FC"/>
    <w:rsid w:val="67872A26"/>
    <w:rsid w:val="678C0F9B"/>
    <w:rsid w:val="67956A41"/>
    <w:rsid w:val="679B1933"/>
    <w:rsid w:val="679C6C08"/>
    <w:rsid w:val="67AF0A0A"/>
    <w:rsid w:val="67BD79D6"/>
    <w:rsid w:val="67C225DD"/>
    <w:rsid w:val="67D6217F"/>
    <w:rsid w:val="67DE72C0"/>
    <w:rsid w:val="67E11479"/>
    <w:rsid w:val="68070B84"/>
    <w:rsid w:val="681744E0"/>
    <w:rsid w:val="681F6961"/>
    <w:rsid w:val="68246351"/>
    <w:rsid w:val="685257B7"/>
    <w:rsid w:val="685C07A1"/>
    <w:rsid w:val="685E513A"/>
    <w:rsid w:val="68610A2F"/>
    <w:rsid w:val="68667019"/>
    <w:rsid w:val="68674C30"/>
    <w:rsid w:val="686E0536"/>
    <w:rsid w:val="68715B33"/>
    <w:rsid w:val="687612DB"/>
    <w:rsid w:val="687A681D"/>
    <w:rsid w:val="68805514"/>
    <w:rsid w:val="68CA3301"/>
    <w:rsid w:val="68CC197A"/>
    <w:rsid w:val="68D56FBB"/>
    <w:rsid w:val="68DE3A82"/>
    <w:rsid w:val="68E503E3"/>
    <w:rsid w:val="69083E29"/>
    <w:rsid w:val="690B103A"/>
    <w:rsid w:val="69156433"/>
    <w:rsid w:val="691B5AB4"/>
    <w:rsid w:val="692549DB"/>
    <w:rsid w:val="694E2071"/>
    <w:rsid w:val="695F25D1"/>
    <w:rsid w:val="696D221F"/>
    <w:rsid w:val="697A3B33"/>
    <w:rsid w:val="697F09A8"/>
    <w:rsid w:val="698011A2"/>
    <w:rsid w:val="699E2456"/>
    <w:rsid w:val="69B14CC3"/>
    <w:rsid w:val="69D16911"/>
    <w:rsid w:val="69D501AF"/>
    <w:rsid w:val="69EB24FD"/>
    <w:rsid w:val="6A0955AD"/>
    <w:rsid w:val="6A0F5D10"/>
    <w:rsid w:val="6A264379"/>
    <w:rsid w:val="6A342EDC"/>
    <w:rsid w:val="6A3B3D8A"/>
    <w:rsid w:val="6A3C518C"/>
    <w:rsid w:val="6A9F0B97"/>
    <w:rsid w:val="6AC424EC"/>
    <w:rsid w:val="6ACA6801"/>
    <w:rsid w:val="6AE17ED7"/>
    <w:rsid w:val="6AE35CFF"/>
    <w:rsid w:val="6AE6019A"/>
    <w:rsid w:val="6B014C93"/>
    <w:rsid w:val="6B0D41CC"/>
    <w:rsid w:val="6B1675CF"/>
    <w:rsid w:val="6B317667"/>
    <w:rsid w:val="6B322639"/>
    <w:rsid w:val="6B5E1AC7"/>
    <w:rsid w:val="6B68703D"/>
    <w:rsid w:val="6B6E7799"/>
    <w:rsid w:val="6B705E41"/>
    <w:rsid w:val="6B846D2E"/>
    <w:rsid w:val="6B87372B"/>
    <w:rsid w:val="6B963B0A"/>
    <w:rsid w:val="6B966DF8"/>
    <w:rsid w:val="6BAF4A30"/>
    <w:rsid w:val="6BDB5581"/>
    <w:rsid w:val="6BE244E0"/>
    <w:rsid w:val="6BE446D9"/>
    <w:rsid w:val="6BEA6FCE"/>
    <w:rsid w:val="6BF54B38"/>
    <w:rsid w:val="6C1F462C"/>
    <w:rsid w:val="6C2E3BA6"/>
    <w:rsid w:val="6C315445"/>
    <w:rsid w:val="6C3255AE"/>
    <w:rsid w:val="6C37174B"/>
    <w:rsid w:val="6C515AE7"/>
    <w:rsid w:val="6C636C38"/>
    <w:rsid w:val="6C9E6A9E"/>
    <w:rsid w:val="6C9F507C"/>
    <w:rsid w:val="6CA36342"/>
    <w:rsid w:val="6CA65E33"/>
    <w:rsid w:val="6CA742E1"/>
    <w:rsid w:val="6CA976D1"/>
    <w:rsid w:val="6CB93DB8"/>
    <w:rsid w:val="6CD10152"/>
    <w:rsid w:val="6CD96208"/>
    <w:rsid w:val="6CF0738E"/>
    <w:rsid w:val="6CFB410E"/>
    <w:rsid w:val="6D012EB4"/>
    <w:rsid w:val="6D09463B"/>
    <w:rsid w:val="6D0E6F8F"/>
    <w:rsid w:val="6D370525"/>
    <w:rsid w:val="6D455E49"/>
    <w:rsid w:val="6D521F5E"/>
    <w:rsid w:val="6D661B10"/>
    <w:rsid w:val="6DA51774"/>
    <w:rsid w:val="6DB34098"/>
    <w:rsid w:val="6DB545B6"/>
    <w:rsid w:val="6DB54928"/>
    <w:rsid w:val="6E1C5108"/>
    <w:rsid w:val="6E2A3097"/>
    <w:rsid w:val="6E3978F6"/>
    <w:rsid w:val="6E3C5272"/>
    <w:rsid w:val="6E417572"/>
    <w:rsid w:val="6E4375A0"/>
    <w:rsid w:val="6E464A20"/>
    <w:rsid w:val="6E514CED"/>
    <w:rsid w:val="6E79491A"/>
    <w:rsid w:val="6E9C573F"/>
    <w:rsid w:val="6EAA0EE0"/>
    <w:rsid w:val="6EB563D5"/>
    <w:rsid w:val="6EDC3D8E"/>
    <w:rsid w:val="6EFF182A"/>
    <w:rsid w:val="6F06705D"/>
    <w:rsid w:val="6F225983"/>
    <w:rsid w:val="6F3C3AC3"/>
    <w:rsid w:val="6F3E040D"/>
    <w:rsid w:val="6F50282E"/>
    <w:rsid w:val="6F6C3363"/>
    <w:rsid w:val="6F6E0333"/>
    <w:rsid w:val="6F827268"/>
    <w:rsid w:val="6FAB1612"/>
    <w:rsid w:val="6FB906E2"/>
    <w:rsid w:val="6FC869B5"/>
    <w:rsid w:val="6FCD1928"/>
    <w:rsid w:val="6FCF3E7D"/>
    <w:rsid w:val="6FFC5590"/>
    <w:rsid w:val="6FFF2C3F"/>
    <w:rsid w:val="70301DA3"/>
    <w:rsid w:val="703B528F"/>
    <w:rsid w:val="704F7102"/>
    <w:rsid w:val="70534214"/>
    <w:rsid w:val="706D1DD0"/>
    <w:rsid w:val="707C4579"/>
    <w:rsid w:val="70843152"/>
    <w:rsid w:val="70856B87"/>
    <w:rsid w:val="709E4AD7"/>
    <w:rsid w:val="70B8153B"/>
    <w:rsid w:val="70B94C28"/>
    <w:rsid w:val="70D527EE"/>
    <w:rsid w:val="70EC0E10"/>
    <w:rsid w:val="70EF1F9B"/>
    <w:rsid w:val="70F47283"/>
    <w:rsid w:val="70FF4742"/>
    <w:rsid w:val="71107D1F"/>
    <w:rsid w:val="7126664E"/>
    <w:rsid w:val="7148395C"/>
    <w:rsid w:val="715B5300"/>
    <w:rsid w:val="715F4BD7"/>
    <w:rsid w:val="717A14B1"/>
    <w:rsid w:val="71800DD9"/>
    <w:rsid w:val="71865B23"/>
    <w:rsid w:val="719C7804"/>
    <w:rsid w:val="71BB16F0"/>
    <w:rsid w:val="71C26CE0"/>
    <w:rsid w:val="71D24D0A"/>
    <w:rsid w:val="71D27F8A"/>
    <w:rsid w:val="71DC6AFC"/>
    <w:rsid w:val="71F744C6"/>
    <w:rsid w:val="71F960CF"/>
    <w:rsid w:val="71FB5066"/>
    <w:rsid w:val="72457D8B"/>
    <w:rsid w:val="72527E45"/>
    <w:rsid w:val="725956F5"/>
    <w:rsid w:val="725D27DC"/>
    <w:rsid w:val="727368EA"/>
    <w:rsid w:val="727F76D7"/>
    <w:rsid w:val="72856038"/>
    <w:rsid w:val="72BC42C5"/>
    <w:rsid w:val="72C25211"/>
    <w:rsid w:val="72CA4821"/>
    <w:rsid w:val="72F42FFF"/>
    <w:rsid w:val="7303749F"/>
    <w:rsid w:val="731955B0"/>
    <w:rsid w:val="731F5D5E"/>
    <w:rsid w:val="73441F01"/>
    <w:rsid w:val="735507A3"/>
    <w:rsid w:val="737A4A03"/>
    <w:rsid w:val="738C7376"/>
    <w:rsid w:val="7392114E"/>
    <w:rsid w:val="739357C1"/>
    <w:rsid w:val="739469C1"/>
    <w:rsid w:val="73A427ED"/>
    <w:rsid w:val="73B9469D"/>
    <w:rsid w:val="73C51294"/>
    <w:rsid w:val="73E70E18"/>
    <w:rsid w:val="73F16344"/>
    <w:rsid w:val="73F5613F"/>
    <w:rsid w:val="741E793C"/>
    <w:rsid w:val="74230CE5"/>
    <w:rsid w:val="746C131E"/>
    <w:rsid w:val="746E77A9"/>
    <w:rsid w:val="74700932"/>
    <w:rsid w:val="74736F42"/>
    <w:rsid w:val="7478069D"/>
    <w:rsid w:val="747C33AE"/>
    <w:rsid w:val="749068E5"/>
    <w:rsid w:val="74A55A4C"/>
    <w:rsid w:val="74AD7D25"/>
    <w:rsid w:val="74AE5E78"/>
    <w:rsid w:val="74AF784E"/>
    <w:rsid w:val="74BC1B1D"/>
    <w:rsid w:val="74CC6652"/>
    <w:rsid w:val="74CF49DA"/>
    <w:rsid w:val="750F1273"/>
    <w:rsid w:val="753C6617"/>
    <w:rsid w:val="758D75E2"/>
    <w:rsid w:val="7597451E"/>
    <w:rsid w:val="75C3416E"/>
    <w:rsid w:val="75DA61E0"/>
    <w:rsid w:val="75E00A51"/>
    <w:rsid w:val="75EF084A"/>
    <w:rsid w:val="75F06371"/>
    <w:rsid w:val="75F53987"/>
    <w:rsid w:val="761B75CE"/>
    <w:rsid w:val="76342701"/>
    <w:rsid w:val="765B525D"/>
    <w:rsid w:val="766F0A02"/>
    <w:rsid w:val="769D02A6"/>
    <w:rsid w:val="76B16BF0"/>
    <w:rsid w:val="76C216B6"/>
    <w:rsid w:val="76D25309"/>
    <w:rsid w:val="76F92072"/>
    <w:rsid w:val="77071BC4"/>
    <w:rsid w:val="772E1C4A"/>
    <w:rsid w:val="77703FA7"/>
    <w:rsid w:val="77762421"/>
    <w:rsid w:val="777B2B33"/>
    <w:rsid w:val="779364C7"/>
    <w:rsid w:val="77ED2391"/>
    <w:rsid w:val="77F2583E"/>
    <w:rsid w:val="780F09F4"/>
    <w:rsid w:val="781F3969"/>
    <w:rsid w:val="78232A2D"/>
    <w:rsid w:val="78232FAF"/>
    <w:rsid w:val="783A2F64"/>
    <w:rsid w:val="783E7094"/>
    <w:rsid w:val="784D5D55"/>
    <w:rsid w:val="786A124A"/>
    <w:rsid w:val="78706AB2"/>
    <w:rsid w:val="78897AB2"/>
    <w:rsid w:val="789C4F47"/>
    <w:rsid w:val="78A44F2C"/>
    <w:rsid w:val="78A90480"/>
    <w:rsid w:val="78AF1C85"/>
    <w:rsid w:val="78C25DA2"/>
    <w:rsid w:val="78C462FB"/>
    <w:rsid w:val="78F87052"/>
    <w:rsid w:val="79023E33"/>
    <w:rsid w:val="79135FBF"/>
    <w:rsid w:val="792A78B6"/>
    <w:rsid w:val="79366790"/>
    <w:rsid w:val="79492020"/>
    <w:rsid w:val="79502CD7"/>
    <w:rsid w:val="79590923"/>
    <w:rsid w:val="79596CFB"/>
    <w:rsid w:val="796F0BAE"/>
    <w:rsid w:val="797D45CF"/>
    <w:rsid w:val="79811327"/>
    <w:rsid w:val="799A6D1F"/>
    <w:rsid w:val="79BF1AED"/>
    <w:rsid w:val="79BF2155"/>
    <w:rsid w:val="79C96EB1"/>
    <w:rsid w:val="79DD3184"/>
    <w:rsid w:val="79FF1772"/>
    <w:rsid w:val="7A154FCB"/>
    <w:rsid w:val="7A173ECC"/>
    <w:rsid w:val="7A1864AB"/>
    <w:rsid w:val="7A1C498D"/>
    <w:rsid w:val="7A291E51"/>
    <w:rsid w:val="7A2A3F51"/>
    <w:rsid w:val="7A364017"/>
    <w:rsid w:val="7A46591A"/>
    <w:rsid w:val="7A6D7A1E"/>
    <w:rsid w:val="7A777060"/>
    <w:rsid w:val="7A8265E1"/>
    <w:rsid w:val="7A8544FB"/>
    <w:rsid w:val="7AAE7AB4"/>
    <w:rsid w:val="7ABA17E9"/>
    <w:rsid w:val="7AF83CFD"/>
    <w:rsid w:val="7AF92471"/>
    <w:rsid w:val="7AFC6787"/>
    <w:rsid w:val="7AFF5A8E"/>
    <w:rsid w:val="7B032A3A"/>
    <w:rsid w:val="7B05641A"/>
    <w:rsid w:val="7B0C1C63"/>
    <w:rsid w:val="7B1228E5"/>
    <w:rsid w:val="7B1308FB"/>
    <w:rsid w:val="7B151C4D"/>
    <w:rsid w:val="7B256559"/>
    <w:rsid w:val="7B2A3B2D"/>
    <w:rsid w:val="7B3459C8"/>
    <w:rsid w:val="7B403A55"/>
    <w:rsid w:val="7B4248A7"/>
    <w:rsid w:val="7B533629"/>
    <w:rsid w:val="7B5A3699"/>
    <w:rsid w:val="7B5B0758"/>
    <w:rsid w:val="7B686D42"/>
    <w:rsid w:val="7B7A118C"/>
    <w:rsid w:val="7B8053BB"/>
    <w:rsid w:val="7B841746"/>
    <w:rsid w:val="7B95154C"/>
    <w:rsid w:val="7BA3033B"/>
    <w:rsid w:val="7BA406A2"/>
    <w:rsid w:val="7BB045D8"/>
    <w:rsid w:val="7BB07E21"/>
    <w:rsid w:val="7BB15D01"/>
    <w:rsid w:val="7BC02341"/>
    <w:rsid w:val="7BCB7664"/>
    <w:rsid w:val="7BE158A4"/>
    <w:rsid w:val="7BFB6C23"/>
    <w:rsid w:val="7BFC0690"/>
    <w:rsid w:val="7C4241BA"/>
    <w:rsid w:val="7C494F22"/>
    <w:rsid w:val="7C5A34B2"/>
    <w:rsid w:val="7C753A60"/>
    <w:rsid w:val="7CD442F6"/>
    <w:rsid w:val="7CFF77EA"/>
    <w:rsid w:val="7D0239FF"/>
    <w:rsid w:val="7D0401AB"/>
    <w:rsid w:val="7D0C74AB"/>
    <w:rsid w:val="7D0F532E"/>
    <w:rsid w:val="7D317C24"/>
    <w:rsid w:val="7D42659E"/>
    <w:rsid w:val="7D5E40CD"/>
    <w:rsid w:val="7D693BED"/>
    <w:rsid w:val="7D8D1D6D"/>
    <w:rsid w:val="7D944820"/>
    <w:rsid w:val="7D9F372A"/>
    <w:rsid w:val="7DB119FE"/>
    <w:rsid w:val="7DBD122E"/>
    <w:rsid w:val="7DD02D0F"/>
    <w:rsid w:val="7DDF2F52"/>
    <w:rsid w:val="7DEE11AE"/>
    <w:rsid w:val="7DF056DA"/>
    <w:rsid w:val="7DF14EDD"/>
    <w:rsid w:val="7E0E5C00"/>
    <w:rsid w:val="7E1B59B2"/>
    <w:rsid w:val="7E4E3093"/>
    <w:rsid w:val="7E5C0A47"/>
    <w:rsid w:val="7E6727AA"/>
    <w:rsid w:val="7E7D055C"/>
    <w:rsid w:val="7EBA348B"/>
    <w:rsid w:val="7EE45826"/>
    <w:rsid w:val="7EFC5D86"/>
    <w:rsid w:val="7F043C8F"/>
    <w:rsid w:val="7F054C3B"/>
    <w:rsid w:val="7F26418F"/>
    <w:rsid w:val="7F3477B8"/>
    <w:rsid w:val="7F5636E8"/>
    <w:rsid w:val="7F617B4A"/>
    <w:rsid w:val="7F6C6565"/>
    <w:rsid w:val="7F6F1EFC"/>
    <w:rsid w:val="7F744857"/>
    <w:rsid w:val="7F761695"/>
    <w:rsid w:val="7F7B2D34"/>
    <w:rsid w:val="7F9B7307"/>
    <w:rsid w:val="7F9E0BEB"/>
    <w:rsid w:val="7FBC0DDD"/>
    <w:rsid w:val="7FCA6CF4"/>
    <w:rsid w:val="7FE47E50"/>
    <w:rsid w:val="7FEF5309"/>
    <w:rsid w:val="FFFC38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1" w:semiHidden="0" w:name="heading 2" w:locked="1"/>
    <w:lsdException w:qFormat="1" w:unhideWhenUsed="0" w:uiPriority="9" w:semiHidden="0" w:name="heading 3" w:locked="1"/>
    <w:lsdException w:qFormat="1" w:unhideWhenUsed="0" w:uiPriority="0" w:semiHidden="0" w:name="heading 4" w:locked="1"/>
    <w:lsdException w:qFormat="1" w:unhideWhenUsed="0" w:uiPriority="0" w:semiHidden="0" w:name="heading 5" w:locked="1"/>
    <w:lsdException w:unhideWhenUsed="0" w:uiPriority="0" w:semiHidden="0" w:name="heading 6" w:locked="1"/>
    <w:lsdException w:unhideWhenUsed="0" w:uiPriority="0" w:semiHidden="0" w:name="heading 7" w:locked="1"/>
    <w:lsdException w:unhideWhenUsed="0" w:uiPriority="0" w:semiHidden="0" w:name="heading 8" w:locked="1"/>
    <w:lsdException w:unhideWhenUsed="0" w:uiPriority="0" w:semiHidden="0" w:name="heading 9" w:locked="1"/>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99" w:semiHidden="0" w:name="index heading"/>
    <w:lsdException w:qFormat="1" w:unhideWhenUsed="0" w:uiPriority="0" w:semiHidden="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ocked="1"/>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ocked="1"/>
    <w:lsdException w:unhideWhenUsed="0" w:uiPriority="0" w:semiHidden="0" w:name="Emphasis" w:locked="1"/>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4">
    <w:name w:val="heading 2"/>
    <w:basedOn w:val="1"/>
    <w:next w:val="1"/>
    <w:autoRedefine/>
    <w:unhideWhenUsed/>
    <w:qFormat/>
    <w:locked/>
    <w:uiPriority w:val="1"/>
    <w:pPr>
      <w:spacing w:before="74" w:beforeLines="0" w:afterLines="0"/>
      <w:outlineLvl w:val="1"/>
    </w:pPr>
    <w:rPr>
      <w:rFonts w:hint="eastAsia"/>
      <w:b/>
      <w:sz w:val="24"/>
    </w:rPr>
  </w:style>
  <w:style w:type="paragraph" w:styleId="5">
    <w:name w:val="heading 3"/>
    <w:basedOn w:val="1"/>
    <w:next w:val="1"/>
    <w:autoRedefine/>
    <w:qFormat/>
    <w:locked/>
    <w:uiPriority w:val="9"/>
    <w:pPr>
      <w:keepNext/>
      <w:keepLines/>
      <w:spacing w:before="260" w:after="260" w:line="415" w:lineRule="auto"/>
      <w:outlineLvl w:val="2"/>
    </w:pPr>
    <w:rPr>
      <w:b/>
      <w:bCs/>
      <w:kern w:val="0"/>
      <w:sz w:val="32"/>
      <w:szCs w:val="32"/>
      <w:lang w:val="zh-CN"/>
    </w:rPr>
  </w:style>
  <w:style w:type="paragraph" w:styleId="2">
    <w:name w:val="heading 4"/>
    <w:basedOn w:val="1"/>
    <w:next w:val="1"/>
    <w:autoRedefine/>
    <w:qFormat/>
    <w:locked/>
    <w:uiPriority w:val="0"/>
    <w:pPr>
      <w:keepNext/>
      <w:keepLines/>
      <w:ind w:firstLine="0" w:firstLineChars="0"/>
      <w:outlineLvl w:val="3"/>
    </w:pPr>
    <w:rPr>
      <w:rFonts w:ascii="宋体" w:hAnsi="宋体" w:cs="宋体"/>
      <w:b/>
      <w:bCs/>
      <w:szCs w:val="28"/>
    </w:rPr>
  </w:style>
  <w:style w:type="paragraph" w:styleId="6">
    <w:name w:val="heading 5"/>
    <w:basedOn w:val="1"/>
    <w:next w:val="1"/>
    <w:autoRedefine/>
    <w:qFormat/>
    <w:locked/>
    <w:uiPriority w:val="0"/>
    <w:pPr>
      <w:keepNext/>
      <w:keepLines/>
      <w:spacing w:before="280" w:after="290" w:line="376" w:lineRule="auto"/>
      <w:outlineLvl w:val="4"/>
    </w:pPr>
    <w:rPr>
      <w:b/>
      <w:bCs/>
      <w:sz w:val="28"/>
      <w:szCs w:val="28"/>
    </w:rPr>
  </w:style>
  <w:style w:type="character" w:default="1" w:styleId="34">
    <w:name w:val="Default Paragraph Font"/>
    <w:autoRedefine/>
    <w:semiHidden/>
    <w:qFormat/>
    <w:uiPriority w:val="0"/>
  </w:style>
  <w:style w:type="table" w:default="1" w:styleId="32">
    <w:name w:val="Normal Table"/>
    <w:autoRedefine/>
    <w:semiHidden/>
    <w:qFormat/>
    <w:uiPriority w:val="0"/>
    <w:tblPr>
      <w:tblCellMar>
        <w:top w:w="0" w:type="dxa"/>
        <w:left w:w="108" w:type="dxa"/>
        <w:bottom w:w="0" w:type="dxa"/>
        <w:right w:w="108" w:type="dxa"/>
      </w:tblCellMar>
    </w:tblPr>
  </w:style>
  <w:style w:type="paragraph" w:styleId="7">
    <w:name w:val="table of authorities"/>
    <w:basedOn w:val="1"/>
    <w:next w:val="1"/>
    <w:unhideWhenUsed/>
    <w:qFormat/>
    <w:uiPriority w:val="99"/>
    <w:pPr>
      <w:ind w:left="420" w:leftChars="200"/>
    </w:pPr>
  </w:style>
  <w:style w:type="paragraph" w:styleId="8">
    <w:name w:val="Normal Indent"/>
    <w:basedOn w:val="1"/>
    <w:next w:val="1"/>
    <w:autoRedefine/>
    <w:qFormat/>
    <w:uiPriority w:val="0"/>
    <w:pPr>
      <w:ind w:firstLine="420" w:firstLineChars="200"/>
    </w:pPr>
  </w:style>
  <w:style w:type="paragraph" w:styleId="9">
    <w:name w:val="caption"/>
    <w:basedOn w:val="1"/>
    <w:next w:val="1"/>
    <w:qFormat/>
    <w:locked/>
    <w:uiPriority w:val="0"/>
    <w:pPr>
      <w:spacing w:line="240" w:lineRule="auto"/>
      <w:ind w:firstLine="0" w:firstLineChars="0"/>
      <w:jc w:val="right"/>
    </w:pPr>
    <w:rPr>
      <w:rFonts w:ascii="Times New Roman" w:hAnsi="Times New Roman" w:eastAsia="黑体"/>
      <w:sz w:val="20"/>
    </w:rPr>
  </w:style>
  <w:style w:type="paragraph" w:styleId="10">
    <w:name w:val="annotation text"/>
    <w:basedOn w:val="1"/>
    <w:link w:val="42"/>
    <w:autoRedefine/>
    <w:semiHidden/>
    <w:qFormat/>
    <w:uiPriority w:val="0"/>
    <w:pPr>
      <w:jc w:val="left"/>
    </w:pPr>
    <w:rPr>
      <w:kern w:val="0"/>
      <w:sz w:val="20"/>
    </w:rPr>
  </w:style>
  <w:style w:type="paragraph" w:styleId="11">
    <w:name w:val="Body Text"/>
    <w:basedOn w:val="1"/>
    <w:next w:val="1"/>
    <w:link w:val="43"/>
    <w:autoRedefine/>
    <w:qFormat/>
    <w:uiPriority w:val="0"/>
    <w:pPr>
      <w:widowControl/>
      <w:snapToGrid w:val="0"/>
      <w:spacing w:before="60" w:after="160" w:line="259" w:lineRule="auto"/>
      <w:ind w:right="113"/>
    </w:pPr>
    <w:rPr>
      <w:kern w:val="0"/>
      <w:sz w:val="18"/>
      <w:szCs w:val="18"/>
    </w:rPr>
  </w:style>
  <w:style w:type="paragraph" w:styleId="12">
    <w:name w:val="Body Text Indent"/>
    <w:basedOn w:val="1"/>
    <w:next w:val="11"/>
    <w:link w:val="44"/>
    <w:autoRedefine/>
    <w:semiHidden/>
    <w:qFormat/>
    <w:uiPriority w:val="0"/>
    <w:pPr>
      <w:spacing w:after="120"/>
      <w:ind w:left="420" w:leftChars="200"/>
    </w:pPr>
  </w:style>
  <w:style w:type="paragraph" w:styleId="13">
    <w:name w:val="Block Text"/>
    <w:basedOn w:val="1"/>
    <w:autoRedefine/>
    <w:qFormat/>
    <w:uiPriority w:val="0"/>
    <w:pPr>
      <w:spacing w:after="120"/>
      <w:ind w:left="1440" w:leftChars="700" w:right="1440" w:rightChars="700"/>
    </w:pPr>
    <w:rPr>
      <w:szCs w:val="20"/>
    </w:rPr>
  </w:style>
  <w:style w:type="paragraph" w:styleId="14">
    <w:name w:val="Plain Text"/>
    <w:basedOn w:val="1"/>
    <w:next w:val="11"/>
    <w:autoRedefine/>
    <w:qFormat/>
    <w:uiPriority w:val="0"/>
    <w:rPr>
      <w:rFonts w:ascii="宋体" w:hAnsi="Courier New" w:eastAsia="仿宋_GB2312"/>
      <w:sz w:val="28"/>
    </w:rPr>
  </w:style>
  <w:style w:type="paragraph" w:styleId="15">
    <w:name w:val="List Bullet 5"/>
    <w:basedOn w:val="1"/>
    <w:qFormat/>
    <w:uiPriority w:val="0"/>
    <w:pPr>
      <w:numPr>
        <w:ilvl w:val="0"/>
        <w:numId w:val="1"/>
      </w:numPr>
    </w:pPr>
  </w:style>
  <w:style w:type="paragraph" w:styleId="16">
    <w:name w:val="Date"/>
    <w:basedOn w:val="1"/>
    <w:next w:val="1"/>
    <w:link w:val="45"/>
    <w:autoRedefine/>
    <w:qFormat/>
    <w:uiPriority w:val="0"/>
    <w:pPr>
      <w:ind w:left="100" w:leftChars="2500"/>
    </w:pPr>
    <w:rPr>
      <w:kern w:val="0"/>
      <w:sz w:val="20"/>
    </w:rPr>
  </w:style>
  <w:style w:type="paragraph" w:styleId="17">
    <w:name w:val="Body Text Indent 2"/>
    <w:basedOn w:val="1"/>
    <w:next w:val="18"/>
    <w:autoRedefine/>
    <w:qFormat/>
    <w:uiPriority w:val="0"/>
    <w:pPr>
      <w:ind w:firstLine="560" w:firstLineChars="200"/>
    </w:pPr>
    <w:rPr>
      <w:sz w:val="28"/>
    </w:rPr>
  </w:style>
  <w:style w:type="paragraph" w:styleId="18">
    <w:name w:val="Body Text First Indent 2"/>
    <w:basedOn w:val="12"/>
    <w:next w:val="1"/>
    <w:autoRedefine/>
    <w:qFormat/>
    <w:uiPriority w:val="0"/>
    <w:pPr>
      <w:spacing w:line="360" w:lineRule="auto"/>
      <w:ind w:firstLine="420" w:firstLineChars="200"/>
    </w:pPr>
    <w:rPr>
      <w:sz w:val="24"/>
    </w:rPr>
  </w:style>
  <w:style w:type="paragraph" w:styleId="19">
    <w:name w:val="Balloon Text"/>
    <w:basedOn w:val="1"/>
    <w:link w:val="46"/>
    <w:autoRedefine/>
    <w:semiHidden/>
    <w:qFormat/>
    <w:uiPriority w:val="0"/>
    <w:rPr>
      <w:sz w:val="18"/>
      <w:szCs w:val="18"/>
    </w:rPr>
  </w:style>
  <w:style w:type="paragraph" w:styleId="20">
    <w:name w:val="footer"/>
    <w:basedOn w:val="1"/>
    <w:link w:val="47"/>
    <w:autoRedefine/>
    <w:qFormat/>
    <w:uiPriority w:val="0"/>
    <w:pPr>
      <w:tabs>
        <w:tab w:val="center" w:pos="4153"/>
        <w:tab w:val="right" w:pos="8306"/>
      </w:tabs>
      <w:snapToGrid w:val="0"/>
      <w:jc w:val="left"/>
    </w:pPr>
    <w:rPr>
      <w:sz w:val="18"/>
      <w:szCs w:val="18"/>
    </w:rPr>
  </w:style>
  <w:style w:type="paragraph" w:styleId="21">
    <w:name w:val="header"/>
    <w:basedOn w:val="1"/>
    <w:next w:val="1"/>
    <w:link w:val="48"/>
    <w:autoRedefine/>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locked/>
    <w:uiPriority w:val="0"/>
    <w:pPr>
      <w:tabs>
        <w:tab w:val="left" w:pos="5760"/>
      </w:tabs>
      <w:adjustRightInd w:val="0"/>
      <w:snapToGrid w:val="0"/>
      <w:jc w:val="center"/>
    </w:pPr>
  </w:style>
  <w:style w:type="paragraph" w:styleId="23">
    <w:name w:val="List Continue 4"/>
    <w:basedOn w:val="1"/>
    <w:next w:val="1"/>
    <w:autoRedefine/>
    <w:qFormat/>
    <w:uiPriority w:val="0"/>
    <w:pPr>
      <w:widowControl w:val="0"/>
      <w:autoSpaceDE/>
      <w:autoSpaceDN/>
      <w:spacing w:before="0" w:after="120" w:line="360" w:lineRule="auto"/>
      <w:ind w:left="1680" w:firstLine="480"/>
      <w:jc w:val="both"/>
    </w:pPr>
    <w:rPr>
      <w:rFonts w:ascii="宋体" w:eastAsia="宋体"/>
      <w:sz w:val="24"/>
    </w:rPr>
  </w:style>
  <w:style w:type="paragraph" w:styleId="24">
    <w:name w:val="index heading"/>
    <w:basedOn w:val="1"/>
    <w:next w:val="25"/>
    <w:autoRedefine/>
    <w:qFormat/>
    <w:uiPriority w:val="99"/>
    <w:pPr>
      <w:jc w:val="both"/>
    </w:pPr>
    <w:rPr>
      <w:rFonts w:hint="eastAsia" w:ascii="Cambria" w:hAnsi="Cambria"/>
      <w:b/>
      <w:szCs w:val="20"/>
    </w:rPr>
  </w:style>
  <w:style w:type="paragraph" w:styleId="25">
    <w:name w:val="index 1"/>
    <w:basedOn w:val="1"/>
    <w:next w:val="1"/>
    <w:autoRedefine/>
    <w:qFormat/>
    <w:uiPriority w:val="0"/>
  </w:style>
  <w:style w:type="paragraph" w:styleId="26">
    <w:name w:val="List Number 5"/>
    <w:basedOn w:val="1"/>
    <w:autoRedefine/>
    <w:qFormat/>
    <w:uiPriority w:val="0"/>
    <w:pPr>
      <w:numPr>
        <w:ilvl w:val="0"/>
        <w:numId w:val="2"/>
      </w:numPr>
    </w:pPr>
  </w:style>
  <w:style w:type="paragraph" w:styleId="27">
    <w:name w:val="List"/>
    <w:basedOn w:val="1"/>
    <w:autoRedefine/>
    <w:qFormat/>
    <w:uiPriority w:val="0"/>
    <w:pPr>
      <w:ind w:left="200" w:hanging="200" w:hangingChars="200"/>
    </w:pPr>
    <w:rPr>
      <w:szCs w:val="24"/>
    </w:rPr>
  </w:style>
  <w:style w:type="paragraph" w:styleId="28">
    <w:name w:val="Body Text 2"/>
    <w:basedOn w:val="1"/>
    <w:autoRedefine/>
    <w:qFormat/>
    <w:uiPriority w:val="0"/>
    <w:pPr>
      <w:spacing w:after="120" w:line="480" w:lineRule="auto"/>
    </w:pPr>
  </w:style>
  <w:style w:type="paragraph" w:styleId="29">
    <w:name w:val="Normal (Web)"/>
    <w:basedOn w:val="1"/>
    <w:link w:val="49"/>
    <w:autoRedefine/>
    <w:qFormat/>
    <w:uiPriority w:val="0"/>
    <w:pPr>
      <w:widowControl/>
      <w:spacing w:before="100" w:beforeAutospacing="1" w:after="100" w:afterAutospacing="1"/>
      <w:jc w:val="left"/>
    </w:pPr>
    <w:rPr>
      <w:rFonts w:ascii="宋体" w:hAnsi="宋体"/>
      <w:kern w:val="0"/>
      <w:sz w:val="24"/>
    </w:rPr>
  </w:style>
  <w:style w:type="paragraph" w:styleId="30">
    <w:name w:val="annotation subject"/>
    <w:basedOn w:val="10"/>
    <w:next w:val="10"/>
    <w:link w:val="50"/>
    <w:autoRedefine/>
    <w:semiHidden/>
    <w:qFormat/>
    <w:uiPriority w:val="0"/>
    <w:rPr>
      <w:b/>
      <w:bCs/>
    </w:rPr>
  </w:style>
  <w:style w:type="paragraph" w:styleId="31">
    <w:name w:val="Body Text First Indent"/>
    <w:basedOn w:val="1"/>
    <w:autoRedefine/>
    <w:qFormat/>
    <w:uiPriority w:val="0"/>
    <w:pPr>
      <w:widowControl w:val="0"/>
      <w:snapToGrid/>
      <w:spacing w:before="0" w:after="120" w:line="240" w:lineRule="auto"/>
      <w:ind w:right="0" w:firstLine="420" w:firstLineChars="100"/>
    </w:pPr>
    <w:rPr>
      <w:kern w:val="2"/>
      <w:sz w:val="21"/>
      <w:szCs w:val="24"/>
    </w:rPr>
  </w:style>
  <w:style w:type="table" w:styleId="33">
    <w:name w:val="Table Grid"/>
    <w:basedOn w:val="32"/>
    <w:autoRedefine/>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page number"/>
    <w:basedOn w:val="34"/>
    <w:autoRedefine/>
    <w:qFormat/>
    <w:uiPriority w:val="0"/>
  </w:style>
  <w:style w:type="character" w:styleId="36">
    <w:name w:val="annotation reference"/>
    <w:basedOn w:val="34"/>
    <w:autoRedefine/>
    <w:semiHidden/>
    <w:qFormat/>
    <w:uiPriority w:val="0"/>
    <w:rPr>
      <w:sz w:val="21"/>
    </w:rPr>
  </w:style>
  <w:style w:type="paragraph" w:customStyle="1" w:styleId="37">
    <w:name w:val="样式1"/>
    <w:basedOn w:val="6"/>
    <w:autoRedefine/>
    <w:qFormat/>
    <w:uiPriority w:val="0"/>
    <w:pPr>
      <w:spacing w:before="0" w:after="120" w:line="360" w:lineRule="auto"/>
      <w:jc w:val="both"/>
    </w:pPr>
    <w:rPr>
      <w:rFonts w:ascii="宋体" w:hAnsi="宋体"/>
    </w:rPr>
  </w:style>
  <w:style w:type="paragraph" w:customStyle="1" w:styleId="38">
    <w:name w:val="Default"/>
    <w:basedOn w:val="39"/>
    <w:next w:val="1"/>
    <w:autoRedefine/>
    <w:qFormat/>
    <w:uiPriority w:val="0"/>
    <w:pPr>
      <w:widowControl w:val="0"/>
      <w:tabs>
        <w:tab w:val="left" w:pos="1845"/>
      </w:tabs>
      <w:autoSpaceDE w:val="0"/>
      <w:autoSpaceDN w:val="0"/>
      <w:adjustRightInd w:val="0"/>
    </w:pPr>
    <w:rPr>
      <w:rFonts w:ascii="宋体" w:hAnsi="Times New Roman" w:eastAsia="宋体" w:cs="宋体"/>
      <w:color w:val="000000"/>
      <w:sz w:val="24"/>
      <w:szCs w:val="24"/>
      <w:lang w:val="en-US" w:eastAsia="zh-CN" w:bidi="ar-SA"/>
    </w:rPr>
  </w:style>
  <w:style w:type="paragraph" w:customStyle="1" w:styleId="39">
    <w:name w:val="纯文本1"/>
    <w:basedOn w:val="1"/>
    <w:autoRedefine/>
    <w:qFormat/>
    <w:uiPriority w:val="0"/>
    <w:pPr>
      <w:tabs>
        <w:tab w:val="left" w:pos="1845"/>
      </w:tabs>
      <w:spacing w:line="240" w:lineRule="exact"/>
      <w:jc w:val="center"/>
    </w:pPr>
    <w:rPr>
      <w:sz w:val="18"/>
    </w:rPr>
  </w:style>
  <w:style w:type="paragraph" w:customStyle="1" w:styleId="40">
    <w:name w:val="表格标题"/>
    <w:basedOn w:val="9"/>
    <w:qFormat/>
    <w:uiPriority w:val="0"/>
    <w:pPr>
      <w:adjustRightInd/>
      <w:snapToGrid/>
      <w:spacing w:line="360" w:lineRule="auto"/>
      <w:ind w:firstLine="0" w:firstLineChars="0"/>
      <w:jc w:val="center"/>
    </w:pPr>
    <w:rPr>
      <w:rFonts w:eastAsia="宋体" w:cs="Arial"/>
      <w:b/>
      <w:sz w:val="21"/>
    </w:rPr>
  </w:style>
  <w:style w:type="paragraph" w:customStyle="1" w:styleId="41">
    <w:name w:val="1 表头"/>
    <w:basedOn w:val="1"/>
    <w:autoRedefine/>
    <w:qFormat/>
    <w:uiPriority w:val="0"/>
    <w:pPr>
      <w:adjustRightInd w:val="0"/>
      <w:snapToGrid w:val="0"/>
      <w:spacing w:line="240" w:lineRule="auto"/>
      <w:ind w:firstLine="0" w:firstLineChars="0"/>
      <w:jc w:val="center"/>
    </w:pPr>
    <w:rPr>
      <w:b/>
      <w:color w:val="000000"/>
      <w:sz w:val="21"/>
      <w:szCs w:val="21"/>
    </w:rPr>
  </w:style>
  <w:style w:type="character" w:customStyle="1" w:styleId="42">
    <w:name w:val="Comment Text Char"/>
    <w:link w:val="10"/>
    <w:autoRedefine/>
    <w:qFormat/>
    <w:locked/>
    <w:uiPriority w:val="0"/>
    <w:rPr>
      <w:rFonts w:ascii="Times New Roman" w:hAnsi="Times New Roman" w:eastAsia="宋体"/>
      <w:sz w:val="24"/>
    </w:rPr>
  </w:style>
  <w:style w:type="character" w:customStyle="1" w:styleId="43">
    <w:name w:val="Body Text Char"/>
    <w:link w:val="11"/>
    <w:autoRedefine/>
    <w:qFormat/>
    <w:locked/>
    <w:uiPriority w:val="0"/>
    <w:rPr>
      <w:sz w:val="18"/>
    </w:rPr>
  </w:style>
  <w:style w:type="character" w:customStyle="1" w:styleId="44">
    <w:name w:val="Body Text Indent Char"/>
    <w:basedOn w:val="34"/>
    <w:link w:val="12"/>
    <w:autoRedefine/>
    <w:semiHidden/>
    <w:qFormat/>
    <w:locked/>
    <w:uiPriority w:val="0"/>
    <w:rPr>
      <w:rFonts w:ascii="Times New Roman" w:hAnsi="Times New Roman" w:eastAsia="宋体" w:cs="Times New Roman"/>
      <w:sz w:val="24"/>
      <w:szCs w:val="24"/>
    </w:rPr>
  </w:style>
  <w:style w:type="character" w:customStyle="1" w:styleId="45">
    <w:name w:val="Date Char"/>
    <w:link w:val="16"/>
    <w:autoRedefine/>
    <w:qFormat/>
    <w:locked/>
    <w:uiPriority w:val="0"/>
    <w:rPr>
      <w:rFonts w:ascii="Times New Roman" w:hAnsi="Times New Roman" w:eastAsia="宋体"/>
      <w:sz w:val="24"/>
    </w:rPr>
  </w:style>
  <w:style w:type="character" w:customStyle="1" w:styleId="46">
    <w:name w:val="Balloon Text Char"/>
    <w:basedOn w:val="34"/>
    <w:link w:val="19"/>
    <w:autoRedefine/>
    <w:semiHidden/>
    <w:qFormat/>
    <w:locked/>
    <w:uiPriority w:val="0"/>
    <w:rPr>
      <w:rFonts w:ascii="Times New Roman" w:hAnsi="Times New Roman" w:eastAsia="宋体" w:cs="Times New Roman"/>
      <w:sz w:val="18"/>
      <w:szCs w:val="18"/>
    </w:rPr>
  </w:style>
  <w:style w:type="character" w:customStyle="1" w:styleId="47">
    <w:name w:val="Footer Char"/>
    <w:basedOn w:val="34"/>
    <w:link w:val="20"/>
    <w:autoRedefine/>
    <w:qFormat/>
    <w:locked/>
    <w:uiPriority w:val="0"/>
    <w:rPr>
      <w:rFonts w:cs="Times New Roman"/>
      <w:sz w:val="18"/>
      <w:szCs w:val="18"/>
    </w:rPr>
  </w:style>
  <w:style w:type="character" w:customStyle="1" w:styleId="48">
    <w:name w:val="Header Char"/>
    <w:basedOn w:val="34"/>
    <w:link w:val="21"/>
    <w:autoRedefine/>
    <w:qFormat/>
    <w:locked/>
    <w:uiPriority w:val="0"/>
    <w:rPr>
      <w:rFonts w:cs="Times New Roman"/>
      <w:sz w:val="18"/>
      <w:szCs w:val="18"/>
    </w:rPr>
  </w:style>
  <w:style w:type="character" w:customStyle="1" w:styleId="49">
    <w:name w:val="Normal (Web) Char"/>
    <w:link w:val="29"/>
    <w:autoRedefine/>
    <w:qFormat/>
    <w:locked/>
    <w:uiPriority w:val="0"/>
    <w:rPr>
      <w:rFonts w:ascii="宋体" w:hAnsi="宋体" w:eastAsia="宋体"/>
      <w:sz w:val="24"/>
    </w:rPr>
  </w:style>
  <w:style w:type="character" w:customStyle="1" w:styleId="50">
    <w:name w:val="Comment Subject Char"/>
    <w:basedOn w:val="42"/>
    <w:link w:val="30"/>
    <w:autoRedefine/>
    <w:semiHidden/>
    <w:qFormat/>
    <w:locked/>
    <w:uiPriority w:val="0"/>
    <w:rPr>
      <w:rFonts w:cs="Times New Roman"/>
      <w:b/>
      <w:bCs/>
      <w:kern w:val="2"/>
      <w:szCs w:val="24"/>
    </w:rPr>
  </w:style>
  <w:style w:type="character" w:customStyle="1" w:styleId="51">
    <w:name w:val="正文文本 字符1"/>
    <w:basedOn w:val="34"/>
    <w:autoRedefine/>
    <w:semiHidden/>
    <w:qFormat/>
    <w:uiPriority w:val="0"/>
    <w:rPr>
      <w:rFonts w:ascii="Times New Roman" w:hAnsi="Times New Roman" w:eastAsia="宋体" w:cs="Times New Roman"/>
      <w:sz w:val="24"/>
      <w:szCs w:val="24"/>
    </w:rPr>
  </w:style>
  <w:style w:type="character" w:customStyle="1" w:styleId="52">
    <w:name w:val="页眉 字符"/>
    <w:basedOn w:val="34"/>
    <w:autoRedefine/>
    <w:qFormat/>
    <w:uiPriority w:val="0"/>
    <w:rPr>
      <w:rFonts w:hint="default" w:ascii="Calibri" w:hAnsi="Calibri" w:cs="Calibri"/>
    </w:rPr>
  </w:style>
  <w:style w:type="character" w:customStyle="1" w:styleId="53">
    <w:name w:val="普通(网站) Char"/>
    <w:autoRedefine/>
    <w:qFormat/>
    <w:locked/>
    <w:uiPriority w:val="0"/>
    <w:rPr>
      <w:rFonts w:ascii="宋体" w:hAnsi="宋体" w:eastAsia="宋体"/>
      <w:sz w:val="24"/>
    </w:rPr>
  </w:style>
  <w:style w:type="character" w:customStyle="1" w:styleId="54">
    <w:name w:val="日期 字符"/>
    <w:basedOn w:val="34"/>
    <w:autoRedefine/>
    <w:semiHidden/>
    <w:qFormat/>
    <w:uiPriority w:val="0"/>
    <w:rPr>
      <w:rFonts w:ascii="Times New Roman" w:hAnsi="Times New Roman" w:eastAsia="宋体" w:cs="Times New Roman"/>
      <w:sz w:val="24"/>
      <w:szCs w:val="24"/>
    </w:rPr>
  </w:style>
  <w:style w:type="character" w:customStyle="1" w:styleId="55">
    <w:name w:val="样式 四号"/>
    <w:autoRedefine/>
    <w:qFormat/>
    <w:uiPriority w:val="0"/>
    <w:rPr>
      <w:sz w:val="28"/>
    </w:rPr>
  </w:style>
  <w:style w:type="character" w:customStyle="1" w:styleId="56">
    <w:name w:val="表格 Char"/>
    <w:link w:val="57"/>
    <w:autoRedefine/>
    <w:qFormat/>
    <w:locked/>
    <w:uiPriority w:val="0"/>
    <w:rPr>
      <w:rFonts w:ascii="宋体"/>
      <w:sz w:val="21"/>
    </w:rPr>
  </w:style>
  <w:style w:type="paragraph" w:customStyle="1" w:styleId="57">
    <w:name w:val="表格"/>
    <w:basedOn w:val="27"/>
    <w:next w:val="1"/>
    <w:link w:val="56"/>
    <w:autoRedefine/>
    <w:qFormat/>
    <w:uiPriority w:val="0"/>
    <w:pPr>
      <w:adjustRightInd w:val="0"/>
      <w:snapToGrid w:val="0"/>
      <w:spacing w:beforeLines="10" w:afterLines="10" w:line="259" w:lineRule="auto"/>
      <w:jc w:val="center"/>
    </w:pPr>
    <w:rPr>
      <w:rFonts w:ascii="宋体"/>
      <w:kern w:val="0"/>
      <w:sz w:val="20"/>
      <w:szCs w:val="21"/>
    </w:rPr>
  </w:style>
  <w:style w:type="character" w:customStyle="1" w:styleId="58">
    <w:name w:val="批注文字 字符1"/>
    <w:basedOn w:val="34"/>
    <w:autoRedefine/>
    <w:semiHidden/>
    <w:qFormat/>
    <w:uiPriority w:val="0"/>
    <w:rPr>
      <w:rFonts w:ascii="Times New Roman" w:hAnsi="Times New Roman" w:eastAsia="宋体" w:cs="Times New Roman"/>
      <w:sz w:val="24"/>
      <w:szCs w:val="24"/>
    </w:rPr>
  </w:style>
  <w:style w:type="paragraph" w:customStyle="1" w:styleId="59">
    <w:name w:val="表格1"/>
    <w:basedOn w:val="1"/>
    <w:autoRedefine/>
    <w:qFormat/>
    <w:uiPriority w:val="0"/>
    <w:pPr>
      <w:spacing w:line="240" w:lineRule="auto"/>
      <w:jc w:val="left"/>
    </w:pPr>
    <w:rPr>
      <w:sz w:val="21"/>
    </w:rPr>
  </w:style>
  <w:style w:type="paragraph" w:customStyle="1" w:styleId="60">
    <w:name w:val="文本"/>
    <w:basedOn w:val="1"/>
    <w:autoRedefine/>
    <w:qFormat/>
    <w:uiPriority w:val="0"/>
    <w:pPr>
      <w:adjustRightInd w:val="0"/>
      <w:snapToGrid w:val="0"/>
      <w:ind w:firstLine="200" w:firstLineChars="200"/>
    </w:pPr>
  </w:style>
  <w:style w:type="paragraph" w:customStyle="1" w:styleId="61">
    <w:name w:val="正文 样式"/>
    <w:basedOn w:val="1"/>
    <w:autoRedefine/>
    <w:qFormat/>
    <w:uiPriority w:val="0"/>
    <w:pPr>
      <w:spacing w:line="360" w:lineRule="auto"/>
      <w:ind w:firstLine="200" w:firstLineChars="200"/>
    </w:pPr>
    <w:rPr>
      <w:rFonts w:cs="宋体"/>
      <w:sz w:val="24"/>
    </w:rPr>
  </w:style>
  <w:style w:type="paragraph" w:customStyle="1" w:styleId="62">
    <w:name w:val="p0"/>
    <w:basedOn w:val="1"/>
    <w:autoRedefine/>
    <w:qFormat/>
    <w:uiPriority w:val="0"/>
    <w:pPr>
      <w:widowControl/>
      <w:jc w:val="both"/>
    </w:pPr>
    <w:rPr>
      <w:kern w:val="0"/>
      <w:szCs w:val="21"/>
    </w:rPr>
  </w:style>
  <w:style w:type="paragraph" w:customStyle="1" w:styleId="63">
    <w:name w:val="表格名称"/>
    <w:basedOn w:val="1"/>
    <w:autoRedefine/>
    <w:qFormat/>
    <w:uiPriority w:val="0"/>
    <w:pPr>
      <w:ind w:firstLine="0" w:firstLineChars="0"/>
      <w:jc w:val="center"/>
      <w:outlineLvl w:val="4"/>
    </w:pPr>
    <w:rPr>
      <w:b/>
      <w:szCs w:val="21"/>
    </w:rPr>
  </w:style>
  <w:style w:type="paragraph" w:customStyle="1" w:styleId="64">
    <w:name w:val="图表标题"/>
    <w:basedOn w:val="1"/>
    <w:autoRedefine/>
    <w:qFormat/>
    <w:uiPriority w:val="0"/>
    <w:pPr>
      <w:ind w:firstLine="0" w:firstLineChars="0"/>
      <w:jc w:val="center"/>
    </w:pPr>
    <w:rPr>
      <w:rFonts w:eastAsia="宋体"/>
      <w:b/>
      <w:bCs/>
    </w:rPr>
  </w:style>
  <w:style w:type="paragraph" w:customStyle="1" w:styleId="65">
    <w:name w:val="默认段落"/>
    <w:basedOn w:val="1"/>
    <w:autoRedefine/>
    <w:qFormat/>
    <w:uiPriority w:val="0"/>
    <w:rPr>
      <w:sz w:val="24"/>
      <w:szCs w:val="24"/>
    </w:rPr>
  </w:style>
  <w:style w:type="paragraph" w:customStyle="1" w:styleId="66">
    <w:name w:val="表格文字邓"/>
    <w:basedOn w:val="1"/>
    <w:autoRedefine/>
    <w:qFormat/>
    <w:uiPriority w:val="0"/>
    <w:pPr>
      <w:widowControl/>
      <w:snapToGrid w:val="0"/>
      <w:spacing w:line="200" w:lineRule="exact"/>
      <w:jc w:val="center"/>
    </w:pPr>
    <w:rPr>
      <w:rFonts w:ascii="宋体" w:hAnsi="宋体" w:eastAsia="华文中宋"/>
      <w:color w:val="000000"/>
      <w:sz w:val="18"/>
      <w:szCs w:val="18"/>
    </w:rPr>
  </w:style>
  <w:style w:type="paragraph" w:styleId="67">
    <w:name w:val="List Paragraph"/>
    <w:basedOn w:val="1"/>
    <w:autoRedefine/>
    <w:unhideWhenUsed/>
    <w:qFormat/>
    <w:uiPriority w:val="1"/>
    <w:pPr>
      <w:spacing w:beforeLines="0" w:afterLines="0"/>
      <w:ind w:left="1266" w:hanging="602"/>
    </w:pPr>
    <w:rPr>
      <w:rFonts w:hint="eastAsia"/>
      <w:sz w:val="22"/>
    </w:rPr>
  </w:style>
  <w:style w:type="paragraph" w:customStyle="1" w:styleId="68">
    <w:name w:val="_Style 115"/>
    <w:basedOn w:val="12"/>
    <w:next w:val="18"/>
    <w:autoRedefine/>
    <w:qFormat/>
    <w:uiPriority w:val="0"/>
    <w:pPr>
      <w:adjustRightInd/>
      <w:snapToGrid/>
      <w:spacing w:line="360" w:lineRule="auto"/>
      <w:ind w:firstLine="420"/>
      <w:jc w:val="both"/>
    </w:pPr>
    <w:rPr>
      <w:kern w:val="0"/>
      <w:sz w:val="24"/>
      <w:szCs w:val="24"/>
    </w:rPr>
  </w:style>
  <w:style w:type="paragraph" w:customStyle="1" w:styleId="69">
    <w:name w:val=" Char"/>
    <w:basedOn w:val="1"/>
    <w:autoRedefine/>
    <w:qFormat/>
    <w:uiPriority w:val="0"/>
    <w:pPr>
      <w:spacing w:line="240" w:lineRule="auto"/>
      <w:ind w:firstLine="0" w:firstLineChars="0"/>
      <w:jc w:val="both"/>
    </w:pPr>
    <w:rPr>
      <w:rFonts w:cs="Times New Roman"/>
      <w:sz w:val="21"/>
    </w:rPr>
  </w:style>
  <w:style w:type="paragraph" w:customStyle="1" w:styleId="70">
    <w:name w:val="缩进"/>
    <w:basedOn w:val="1"/>
    <w:autoRedefine/>
    <w:qFormat/>
    <w:uiPriority w:val="0"/>
    <w:pPr>
      <w:spacing w:line="360" w:lineRule="auto"/>
      <w:ind w:firstLine="200" w:firstLineChars="200"/>
    </w:pPr>
    <w:rPr>
      <w:sz w:val="24"/>
    </w:rPr>
  </w:style>
  <w:style w:type="paragraph" w:customStyle="1" w:styleId="71">
    <w:name w:val="样式4"/>
    <w:basedOn w:val="1"/>
    <w:autoRedefine/>
    <w:qFormat/>
    <w:uiPriority w:val="0"/>
    <w:pPr>
      <w:tabs>
        <w:tab w:val="left" w:pos="9128"/>
      </w:tabs>
      <w:adjustRightInd w:val="0"/>
      <w:snapToGrid w:val="0"/>
      <w:spacing w:line="500" w:lineRule="exact"/>
      <w:jc w:val="center"/>
    </w:pPr>
  </w:style>
  <w:style w:type="paragraph" w:customStyle="1" w:styleId="72">
    <w:name w:val="正文(首行缩进)"/>
    <w:basedOn w:val="1"/>
    <w:next w:val="1"/>
    <w:autoRedefine/>
    <w:qFormat/>
    <w:uiPriority w:val="0"/>
    <w:pPr>
      <w:snapToGrid w:val="0"/>
      <w:spacing w:line="360" w:lineRule="auto"/>
      <w:ind w:firstLine="540" w:firstLineChars="225"/>
    </w:pPr>
    <w:rPr>
      <w:rFonts w:ascii="宋体" w:hAnsi="宋体"/>
      <w:snapToGrid w:val="0"/>
      <w:color w:val="000000"/>
      <w:kern w:val="0"/>
      <w:sz w:val="24"/>
      <w:szCs w:val="24"/>
    </w:rPr>
  </w:style>
  <w:style w:type="paragraph" w:customStyle="1" w:styleId="73">
    <w:name w:val="表格内"/>
    <w:basedOn w:val="1"/>
    <w:autoRedefine/>
    <w:qFormat/>
    <w:uiPriority w:val="0"/>
    <w:pPr>
      <w:spacing w:line="360" w:lineRule="exact"/>
      <w:jc w:val="center"/>
    </w:pPr>
    <w:rPr>
      <w:rFonts w:ascii="Times New Roman" w:hAnsi="Times New Roman" w:cs="Times New Roman"/>
      <w:snapToGrid w:val="0"/>
      <w:szCs w:val="21"/>
    </w:rPr>
  </w:style>
  <w:style w:type="paragraph" w:customStyle="1" w:styleId="74">
    <w:name w:val="表格内容"/>
    <w:basedOn w:val="8"/>
    <w:next w:val="1"/>
    <w:autoRedefine/>
    <w:qFormat/>
    <w:uiPriority w:val="0"/>
    <w:pPr>
      <w:autoSpaceDE w:val="0"/>
      <w:autoSpaceDN w:val="0"/>
      <w:adjustRightInd w:val="0"/>
      <w:snapToGrid/>
      <w:spacing w:line="240" w:lineRule="auto"/>
      <w:ind w:firstLine="0" w:firstLineChars="0"/>
      <w:jc w:val="center"/>
      <w:textAlignment w:val="center"/>
    </w:pPr>
    <w:rPr>
      <w:rFonts w:ascii="Times New Roman" w:hAnsi="Times New Roman" w:eastAsia="宋体"/>
      <w:kern w:val="0"/>
      <w:sz w:val="21"/>
      <w:szCs w:val="21"/>
    </w:rPr>
  </w:style>
  <w:style w:type="paragraph" w:customStyle="1" w:styleId="75">
    <w:name w:val="邓表格文字"/>
    <w:basedOn w:val="66"/>
    <w:autoRedefine/>
    <w:qFormat/>
    <w:uiPriority w:val="0"/>
    <w:pPr>
      <w:spacing w:line="220" w:lineRule="exact"/>
    </w:pPr>
    <w:rPr>
      <w:rFonts w:eastAsia="宋体"/>
      <w:kern w:val="0"/>
      <w:sz w:val="15"/>
      <w:szCs w:val="15"/>
    </w:rPr>
  </w:style>
  <w:style w:type="paragraph" w:customStyle="1" w:styleId="76">
    <w:name w:val="Table Paragraph"/>
    <w:basedOn w:val="1"/>
    <w:autoRedefine/>
    <w:qFormat/>
    <w:uiPriority w:val="1"/>
  </w:style>
  <w:style w:type="paragraph" w:customStyle="1" w:styleId="77">
    <w:name w:val="。。。。正文格式"/>
    <w:basedOn w:val="1"/>
    <w:autoRedefine/>
    <w:qFormat/>
    <w:uiPriority w:val="0"/>
    <w:pPr>
      <w:spacing w:line="360" w:lineRule="auto"/>
      <w:ind w:firstLine="420"/>
      <w:jc w:val="left"/>
    </w:pPr>
    <w:rPr>
      <w:kern w:val="0"/>
      <w:sz w:val="24"/>
      <w:szCs w:val="20"/>
    </w:rPr>
  </w:style>
  <w:style w:type="paragraph" w:customStyle="1" w:styleId="78">
    <w:name w:val="表"/>
    <w:basedOn w:val="1"/>
    <w:autoRedefine/>
    <w:qFormat/>
    <w:uiPriority w:val="0"/>
    <w:pPr>
      <w:keepNext/>
      <w:spacing w:line="240" w:lineRule="atLeast"/>
    </w:pPr>
    <w:rPr>
      <w:rFonts w:eastAsia="仿宋_GB2312"/>
      <w:szCs w:val="20"/>
    </w:rPr>
  </w:style>
  <w:style w:type="paragraph" w:customStyle="1" w:styleId="79">
    <w:name w:val="Char"/>
    <w:next w:val="1"/>
    <w:autoRedefine/>
    <w:qFormat/>
    <w:uiPriority w:val="0"/>
    <w:pPr>
      <w:widowControl w:val="0"/>
      <w:overflowPunct w:val="0"/>
      <w:snapToGrid w:val="0"/>
      <w:spacing w:line="360" w:lineRule="auto"/>
      <w:ind w:firstLine="480" w:firstLineChars="200"/>
    </w:pPr>
    <w:rPr>
      <w:rFonts w:ascii="仿宋_GB2312" w:hAnsi="宋体" w:eastAsia="仿宋_GB2312" w:cs="Times New Roman"/>
      <w:snapToGrid w:val="0"/>
      <w:sz w:val="24"/>
      <w:szCs w:val="24"/>
      <w:lang w:val="en-US" w:eastAsia="zh-CN" w:bidi="ar-SA"/>
    </w:rPr>
  </w:style>
  <w:style w:type="paragraph" w:customStyle="1" w:styleId="80">
    <w:name w:val="表中字"/>
    <w:basedOn w:val="64"/>
    <w:autoRedefine/>
    <w:qFormat/>
    <w:uiPriority w:val="0"/>
    <w:pPr>
      <w:spacing w:line="260" w:lineRule="atLeast"/>
      <w:ind w:firstLine="0" w:firstLineChars="0"/>
      <w:jc w:val="center"/>
    </w:pPr>
    <w:rPr>
      <w:rFonts w:ascii="Times New Roman" w:hAnsi="Times New Roman"/>
      <w:b w:val="0"/>
      <w:bCs w:val="0"/>
      <w:sz w:val="21"/>
      <w:szCs w:val="21"/>
    </w:rPr>
  </w:style>
  <w:style w:type="paragraph" w:customStyle="1" w:styleId="81">
    <w:name w:val="样式 样式 正文（ＬＺＱ） + 首行缩进:  2 字符 行距: 固定值 26 磅 + 首行缩进:  2 字符"/>
    <w:basedOn w:val="1"/>
    <w:autoRedefine/>
    <w:qFormat/>
    <w:uiPriority w:val="0"/>
    <w:pPr>
      <w:adjustRightInd w:val="0"/>
      <w:spacing w:line="500" w:lineRule="exact"/>
      <w:ind w:firstLine="480" w:firstLineChars="200"/>
      <w:textAlignment w:val="baseline"/>
    </w:pPr>
    <w:rPr>
      <w:rFonts w:eastAsia="华文中宋"/>
      <w:snapToGrid w:val="0"/>
      <w:color w:val="000080"/>
      <w:kern w:val="0"/>
      <w:sz w:val="24"/>
      <w:szCs w:val="20"/>
    </w:rPr>
  </w:style>
  <w:style w:type="paragraph" w:customStyle="1" w:styleId="82">
    <w:name w:val="Body Text Indent"/>
    <w:basedOn w:val="1"/>
    <w:autoRedefine/>
    <w:qFormat/>
    <w:uiPriority w:val="0"/>
    <w:pPr>
      <w:spacing w:line="540" w:lineRule="exact"/>
      <w:ind w:firstLine="570"/>
    </w:pPr>
    <w:rPr>
      <w:rFonts w:eastAsia="方正仿宋简体"/>
      <w:sz w:val="28"/>
    </w:rPr>
  </w:style>
  <w:style w:type="paragraph" w:customStyle="1" w:styleId="83">
    <w:name w:val="普通(网站)2"/>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84">
    <w:name w:val="表格文字"/>
    <w:basedOn w:val="1"/>
    <w:next w:val="1"/>
    <w:autoRedefine/>
    <w:qFormat/>
    <w:uiPriority w:val="0"/>
    <w:rPr>
      <w:sz w:val="24"/>
      <w:szCs w:val="20"/>
    </w:rPr>
  </w:style>
  <w:style w:type="table" w:customStyle="1" w:styleId="85">
    <w:name w:val="Table Normal"/>
    <w:autoRedefine/>
    <w:unhideWhenUsed/>
    <w:qFormat/>
    <w:uiPriority w:val="0"/>
    <w:tblPr>
      <w:tblCellMar>
        <w:top w:w="0" w:type="dxa"/>
        <w:left w:w="0" w:type="dxa"/>
        <w:bottom w:w="0" w:type="dxa"/>
        <w:right w:w="0" w:type="dxa"/>
      </w:tblCellMar>
    </w:tblPr>
  </w:style>
  <w:style w:type="paragraph" w:customStyle="1" w:styleId="86">
    <w:name w:val="表头A"/>
    <w:basedOn w:val="87"/>
    <w:autoRedefine/>
    <w:qFormat/>
    <w:uiPriority w:val="0"/>
    <w:pPr>
      <w:overflowPunct/>
      <w:adjustRightInd/>
      <w:spacing w:before="0" w:after="0" w:line="500" w:lineRule="exact"/>
      <w:ind w:left="0" w:right="0"/>
      <w:textAlignment w:val="auto"/>
    </w:pPr>
    <w:rPr>
      <w:rFonts w:hAnsi="宋体" w:eastAsia="黑体"/>
      <w:color w:val="auto"/>
      <w:spacing w:val="-10"/>
      <w:kern w:val="0"/>
      <w:szCs w:val="24"/>
    </w:rPr>
  </w:style>
  <w:style w:type="paragraph" w:customStyle="1" w:styleId="87">
    <w:name w:val="表头"/>
    <w:basedOn w:val="74"/>
    <w:next w:val="1"/>
    <w:autoRedefine/>
    <w:qFormat/>
    <w:uiPriority w:val="0"/>
    <w:pPr>
      <w:overflowPunct w:val="0"/>
      <w:adjustRightInd w:val="0"/>
      <w:spacing w:before="60" w:after="60" w:line="240" w:lineRule="atLeast"/>
      <w:ind w:left="-113" w:right="-113"/>
      <w:jc w:val="center"/>
      <w:textAlignment w:val="center"/>
    </w:pPr>
    <w:rPr>
      <w:rFonts w:ascii="宋体"/>
      <w:b/>
      <w:color w:val="808000"/>
      <w:kern w:val="24"/>
      <w:sz w:val="24"/>
      <w:szCs w:val="20"/>
    </w:rPr>
  </w:style>
  <w:style w:type="paragraph" w:customStyle="1" w:styleId="88">
    <w:name w:val="正文A"/>
    <w:basedOn w:val="89"/>
    <w:autoRedefine/>
    <w:qFormat/>
    <w:uiPriority w:val="0"/>
    <w:rPr>
      <w:rFonts w:ascii="Times New Roman" w:hAnsi="Times New Roman" w:eastAsia="宋体"/>
    </w:rPr>
  </w:style>
  <w:style w:type="paragraph" w:customStyle="1" w:styleId="89">
    <w:name w:val="正文!!!!!!!!!!!"/>
    <w:basedOn w:val="90"/>
    <w:autoRedefine/>
    <w:qFormat/>
    <w:uiPriority w:val="0"/>
    <w:pPr>
      <w:ind w:firstLine="480"/>
    </w:pPr>
    <w:rPr>
      <w:rFonts w:ascii="华文仿宋" w:hAnsi="华文仿宋" w:eastAsia="华文仿宋" w:cs="华文仿宋"/>
    </w:rPr>
  </w:style>
  <w:style w:type="paragraph" w:customStyle="1" w:styleId="90">
    <w:name w:val="正文 楷体"/>
    <w:basedOn w:val="1"/>
    <w:autoRedefine/>
    <w:qFormat/>
    <w:uiPriority w:val="0"/>
    <w:pPr>
      <w:spacing w:line="500" w:lineRule="exact"/>
      <w:ind w:firstLine="200" w:firstLineChars="200"/>
    </w:pPr>
    <w:rPr>
      <w:rFonts w:ascii="楷体_GB2312" w:hAnsi="楷体_GB2312" w:eastAsia="楷体_GB2312" w:cs="宋体"/>
      <w:sz w:val="24"/>
      <w:szCs w:val="24"/>
    </w:rPr>
  </w:style>
  <w:style w:type="paragraph" w:customStyle="1" w:styleId="91">
    <w:name w:val="我"/>
    <w:basedOn w:val="1"/>
    <w:autoRedefine/>
    <w:qFormat/>
    <w:uiPriority w:val="0"/>
    <w:pPr>
      <w:ind w:firstLine="640"/>
    </w:pPr>
    <w:rPr>
      <w:kern w:val="0"/>
      <w:szCs w:val="20"/>
    </w:rPr>
  </w:style>
  <w:style w:type="paragraph" w:customStyle="1" w:styleId="92">
    <w:name w:val="样式 首行缩进:  2 字符1"/>
    <w:basedOn w:val="1"/>
    <w:autoRedefine/>
    <w:qFormat/>
    <w:uiPriority w:val="0"/>
    <w:pPr>
      <w:adjustRightInd w:val="0"/>
      <w:snapToGrid w:val="0"/>
      <w:spacing w:line="360" w:lineRule="auto"/>
      <w:ind w:firstLine="480" w:firstLineChars="200"/>
    </w:pPr>
    <w:rPr>
      <w:rFonts w:cs="宋体"/>
      <w:sz w:val="24"/>
    </w:rPr>
  </w:style>
  <w:style w:type="paragraph" w:customStyle="1" w:styleId="93">
    <w:name w:val="个人正文1"/>
    <w:basedOn w:val="1"/>
    <w:autoRedefine/>
    <w:qFormat/>
    <w:uiPriority w:val="0"/>
    <w:pPr>
      <w:spacing w:line="360" w:lineRule="auto"/>
      <w:ind w:firstLine="200" w:firstLineChars="200"/>
    </w:pPr>
    <w:rPr>
      <w:rFonts w:ascii="宋体" w:hAnsi="宋体" w:cs="黑体"/>
      <w:sz w:val="24"/>
      <w:szCs w:val="24"/>
    </w:rPr>
  </w:style>
  <w:style w:type="paragraph" w:customStyle="1" w:styleId="94">
    <w:name w:val="No Spacing"/>
    <w:qFormat/>
    <w:uiPriority w:val="0"/>
    <w:pPr>
      <w:widowControl w:val="0"/>
      <w:jc w:val="center"/>
    </w:pPr>
    <w:rPr>
      <w:rFonts w:ascii="宋体" w:hAnsi="Times New Roman" w:eastAsia="宋体" w:cs="Times New Roman"/>
      <w:kern w:val="2"/>
      <w:sz w:val="24"/>
      <w:lang w:val="en-US" w:eastAsia="zh-CN" w:bidi="ar-SA"/>
    </w:rPr>
  </w:style>
  <w:style w:type="paragraph" w:customStyle="1" w:styleId="95">
    <w:name w:val="YJ正文*"/>
    <w:basedOn w:val="1"/>
    <w:qFormat/>
    <w:uiPriority w:val="0"/>
    <w:pPr>
      <w:spacing w:line="520" w:lineRule="exact"/>
      <w:ind w:firstLine="480" w:firstLineChars="200"/>
    </w:pPr>
    <w:rPr>
      <w:rFonts w:ascii="宋体" w:hAnsi="宋体"/>
      <w:sz w:val="24"/>
    </w:rPr>
  </w:style>
  <w:style w:type="paragraph" w:customStyle="1" w:styleId="96">
    <w:name w:val="【正文】"/>
    <w:qFormat/>
    <w:uiPriority w:val="0"/>
    <w:pPr>
      <w:widowControl w:val="0"/>
      <w:spacing w:line="440" w:lineRule="exact"/>
      <w:ind w:firstLine="544" w:firstLineChars="200"/>
      <w:jc w:val="both"/>
    </w:pPr>
    <w:rPr>
      <w:rFonts w:ascii="Times New Roman" w:hAnsi="Times New Roman" w:eastAsia="宋体" w:cs="宋体"/>
      <w:sz w:val="24"/>
      <w:szCs w:val="22"/>
      <w:lang w:val="en-US" w:eastAsia="zh-CN" w:bidi="ar-SA"/>
    </w:rPr>
  </w:style>
  <w:style w:type="paragraph" w:customStyle="1" w:styleId="97">
    <w:name w:val="Body text|1"/>
    <w:basedOn w:val="1"/>
    <w:qFormat/>
    <w:uiPriority w:val="0"/>
    <w:pPr>
      <w:widowControl w:val="0"/>
      <w:shd w:val="clear" w:color="auto" w:fill="auto"/>
      <w:spacing w:line="427" w:lineRule="auto"/>
      <w:ind w:firstLine="400"/>
    </w:pPr>
    <w:rPr>
      <w:rFonts w:ascii="MingLiU" w:hAnsi="MingLiU" w:eastAsia="MingLiU" w:cs="MingLiU"/>
      <w:sz w:val="20"/>
      <w:szCs w:val="20"/>
      <w:u w:val="none"/>
      <w:shd w:val="clear" w:color="auto" w:fill="auto"/>
      <w:lang w:val="zh-TW" w:eastAsia="zh-TW" w:bidi="zh-TW"/>
    </w:rPr>
  </w:style>
  <w:style w:type="paragraph" w:customStyle="1" w:styleId="98">
    <w:name w:val="表格内文"/>
    <w:basedOn w:val="1"/>
    <w:qFormat/>
    <w:uiPriority w:val="0"/>
    <w:pPr>
      <w:spacing w:line="300" w:lineRule="exact"/>
    </w:pPr>
    <w:rPr>
      <w:rFonts w:ascii="等线" w:hAnsi="宋体"/>
      <w:lang w:val="zh-CN"/>
    </w:rPr>
  </w:style>
  <w:style w:type="paragraph" w:customStyle="1" w:styleId="99">
    <w:name w:val="MEL表字-书"/>
    <w:basedOn w:val="1"/>
    <w:qFormat/>
    <w:uiPriority w:val="0"/>
    <w:pPr>
      <w:spacing w:line="300" w:lineRule="exact"/>
      <w:contextualSpacing/>
      <w:jc w:val="center"/>
    </w:pPr>
    <w:rPr>
      <w:rFonts w:ascii="宋体" w:hAnsi="宋体"/>
      <w:kern w:val="0"/>
      <w:szCs w:val="21"/>
    </w:rPr>
  </w:style>
  <w:style w:type="paragraph" w:customStyle="1" w:styleId="100">
    <w:name w:val="表内容       .."/>
    <w:basedOn w:val="1"/>
    <w:qFormat/>
    <w:uiPriority w:val="0"/>
    <w:pPr>
      <w:adjustRightInd w:val="0"/>
      <w:snapToGrid w:val="0"/>
      <w:spacing w:line="240" w:lineRule="exact"/>
      <w:ind w:right="-31" w:rightChars="-15"/>
      <w:jc w:val="center"/>
      <w:outlineLvl w:val="3"/>
    </w:pPr>
    <w:rPr>
      <w:sz w:val="18"/>
      <w:szCs w:val="18"/>
    </w:rPr>
  </w:style>
  <w:style w:type="paragraph" w:customStyle="1" w:styleId="101">
    <w:name w:val="报告表正文"/>
    <w:basedOn w:val="102"/>
    <w:qFormat/>
    <w:uiPriority w:val="0"/>
    <w:pPr>
      <w:adjustRightInd w:val="0"/>
      <w:spacing w:line="312" w:lineRule="auto"/>
      <w:ind w:left="113" w:right="113" w:firstLine="482"/>
      <w:jc w:val="left"/>
    </w:pPr>
    <w:rPr>
      <w:rFonts w:ascii="宋体" w:hAnsi="宋体"/>
      <w:kern w:val="0"/>
      <w:sz w:val="24"/>
    </w:rPr>
  </w:style>
  <w:style w:type="paragraph" w:customStyle="1" w:styleId="102">
    <w:name w:val="报告正文"/>
    <w:basedOn w:val="103"/>
    <w:qFormat/>
    <w:uiPriority w:val="0"/>
    <w:pPr>
      <w:spacing w:line="360" w:lineRule="auto"/>
      <w:ind w:firstLine="560" w:firstLineChars="200"/>
    </w:pPr>
    <w:rPr>
      <w:rFonts w:ascii="仿宋_GB2312" w:hAnsi="Times New Roman" w:eastAsia="仿宋_GB2312" w:cs="Times New Roman"/>
      <w:kern w:val="2"/>
      <w:sz w:val="28"/>
      <w:szCs w:val="20"/>
    </w:rPr>
  </w:style>
  <w:style w:type="paragraph" w:customStyle="1" w:styleId="103">
    <w:name w:val="p17"/>
    <w:basedOn w:val="1"/>
    <w:qFormat/>
    <w:uiPriority w:val="0"/>
    <w:pPr>
      <w:widowControl/>
    </w:pPr>
    <w:rPr>
      <w:rFonts w:ascii="宋体" w:hAnsi="宋体" w:cs="宋体"/>
      <w:kern w:val="0"/>
      <w:szCs w:val="21"/>
    </w:rPr>
  </w:style>
  <w:style w:type="paragraph" w:customStyle="1" w:styleId="104">
    <w:name w:val="报告正文小四"/>
    <w:basedOn w:val="1"/>
    <w:qFormat/>
    <w:uiPriority w:val="0"/>
    <w:pPr>
      <w:widowControl/>
      <w:adjustRightInd w:val="0"/>
      <w:snapToGrid w:val="0"/>
      <w:spacing w:line="500" w:lineRule="exact"/>
      <w:ind w:firstLine="510"/>
    </w:pPr>
    <w:rPr>
      <w:rFonts w:ascii="宋体" w:hAnsi="宋体"/>
      <w:kern w:val="0"/>
      <w:sz w:val="24"/>
      <w:lang w:eastAsia="en-US" w:bidi="en-US"/>
    </w:rPr>
  </w:style>
  <w:style w:type="paragraph" w:customStyle="1" w:styleId="105">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d00b28c8-e0ba-47a4-b78b-78b4236d4978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54187031</paraID>
      <start>0</start>
      <end>2</end>
      <status>ignored</status>
      <modifiedWord/>
      <trackRevisions>false</trackRevisions>
    </reviewItem>
    <reviewItem>
      <errorID>8fba5c9d-7ff2-4306-88fb-d1160e1758ef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51F9ACBE</paraID>
      <start>0</start>
      <end>2</end>
      <status>ignored</status>
      <modifiedWord/>
      <trackRevisions>false</trackRevisions>
    </reviewItem>
    <reviewItem>
      <errorID>20056083-75ff-4017-9476-989b27b58bba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1879F7CC</paraID>
      <start>0</start>
      <end>2</end>
      <status>ignored</status>
      <modifiedWord/>
      <trackRevisions>false</trackRevisions>
    </reviewItem>
    <reviewItem>
      <errorID>75b1af7a-bf86-439f-85ab-ff44d5957528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1F48FB75</paraID>
      <start>0</start>
      <end>2</end>
      <status>ignored</status>
      <modifiedWord/>
      <trackRevisions>false</trackRevisions>
    </reviewItem>
    <reviewItem>
      <errorID>1de791c7-56c9-4007-ad95-de4b031363af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A497A57</paraID>
      <start>0</start>
      <end>2</end>
      <status>ignored</status>
      <modifiedWord/>
      <trackRevisions>false</trackRevisions>
    </reviewItem>
    <reviewItem>
      <errorID>4feb299b-f345-437d-ba65-e65480f72129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13F518F4</paraID>
      <start>0</start>
      <end>2</end>
      <status>ignored</status>
      <modifiedWord/>
      <trackRevisions>false</trackRevisions>
    </reviewItem>
    <reviewItem>
      <errorID>408506eb-ea7e-4fd8-8a31-646dc5fa02a7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5696910E</paraID>
      <start>0</start>
      <end>2</end>
      <status>ignored</status>
      <modifiedWord/>
      <trackRevisions>false</trackRevisions>
    </reviewItem>
    <reviewItem>
      <errorID>fbf27431-85c3-41e4-a8a0-6395ef409b26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77B4E30A</paraID>
      <start>0</start>
      <end>2</end>
      <status>ignored</status>
      <modifiedWord/>
      <trackRevisions>false</trackRevisions>
    </reviewItem>
    <reviewItem>
      <errorID>4293e9dc-6618-4204-b43a-d8475c759dd7</errorID>
      <errorWord>须</errorWord>
      <group>L1_Word</group>
      <groupName>字词问题</groupName>
      <ability>L2_Typo</ability>
      <abilityName>字词错误</abilityName>
      <candidateList>
        <item>需</item>
      </candidateList>
      <explain>存在发音相同字词的误用。</explain>
      <paraID>646C21E5</paraID>
      <start>16</start>
      <end>17</end>
      <status>modified</status>
      <modifiedWord>需</modifiedWord>
      <trackRevisions>false</trackRevisions>
    </reviewItem>
    <reviewItem>
      <errorID>d11c0f92-7e27-4ddc-9ebe-272758739a0d</errorID>
      <errorWord>措</errorWord>
      <group>L1_Word</group>
      <groupName>字词问题</groupName>
      <ability>L2_Typo</ability>
      <abilityName>字词错误</abilityName>
      <candidateList>
        <item>措施</item>
      </candidateList>
      <explain>〈名〉针对某种情况而采取的处理办法（用于较大的事情）：计划已经订出，～应该跟上。</explain>
      <paraID>560E8CA9</paraID>
      <start>51</start>
      <end>53</end>
      <status>modified</status>
      <modifiedWord>措施</modifiedWord>
      <trackRevisions>false</trackRevisions>
    </reviewItem>
    <reviewItem>
      <errorID>14ecdc48-e69b-4b6a-a9b9-9490c5abf94f</errorID>
      <errorWord>覆</errorWord>
      <group>L1_Word</group>
      <groupName>字词问题</groupName>
      <ability>L2_Typo</ability>
      <abilityName>字词错误</abilityName>
      <candidateList>
        <item>覆盖</item>
      </candidateList>
      <explain>❶〈动〉遮盖：积雪～着地面。❷〈名〉指地面上的植物，对于土壤有保护作用：没有～，水土容易流失。</explain>
      <paraID>560E8CA9</paraID>
      <start>141</start>
      <end>143</end>
      <status>modified</status>
      <modifiedWord>覆盖</modifiedWord>
      <trackRevisions>false</trackRevisions>
    </reviewItem>
    <reviewItem>
      <errorID>646312ae-33f5-42f8-a218-748dc511f6db</errorID>
      <errorWord>(</errorWord>
      <group>L1_Format</group>
      <groupName>格式问题</groupName>
      <ability>L2_HalfPunc_CN</ability>
      <abilityName>全半角问题</abilityName>
      <candidateList>
        <item>（</item>
      </candidateList>
      <explain>文本全半角错误。</explain>
      <paraID> F09EFCA</paraID>
      <start>136</start>
      <end>137</end>
      <status>ignored</status>
      <modifiedWord/>
      <trackRevisions>false</trackRevisions>
    </reviewItem>
    <reviewItem>
      <errorID>28511518-7679-40e8-a6c4-df70310205b7</errorID>
      <errorWord>)</errorWord>
      <group>L1_Format</group>
      <groupName>格式问题</groupName>
      <ability>L2_HalfPunc_CN</ability>
      <abilityName>全半角问题</abilityName>
      <candidateList>
        <item>）</item>
      </candidateList>
      <explain>文本全半角错误。</explain>
      <paraID> F09EFCA</paraID>
      <start>146</start>
      <end>147</end>
      <status>ignored</status>
      <modifiedWord/>
      <trackRevisions>false</trackRevisions>
    </reviewItem>
    <reviewItem>
      <errorID>97ed04e5-31e5-4aef-8e06-18b2f2594a7c</errorID>
      <errorWord>(</errorWord>
      <group>L1_Format</group>
      <groupName>格式问题</groupName>
      <ability>L2_HalfPunc_CN</ability>
      <abilityName>全半角问题</abilityName>
      <candidateList>
        <item>（</item>
      </candidateList>
      <explain>文本全半角错误。</explain>
      <paraID>47A3F86F</paraID>
      <start>22</start>
      <end>23</end>
      <status>ignored</status>
      <modifiedWord/>
      <trackRevisions>false</trackRevisions>
    </reviewItem>
    <reviewItem>
      <errorID>8041b6c8-e2ba-4941-b005-2a7ae6cd24bd</errorID>
      <errorWord>)</errorWord>
      <group>L1_Format</group>
      <groupName>格式问题</groupName>
      <ability>L2_HalfPunc_CN</ability>
      <abilityName>全半角问题</abilityName>
      <candidateList>
        <item>）</item>
      </candidateList>
      <explain>文本全半角错误。</explain>
      <paraID>47A3F86F</paraID>
      <start>30</start>
      <end>31</end>
      <status>ignored</status>
      <modifiedWord/>
      <trackRevisions>false</trackRevisions>
    </reviewItem>
    <reviewItem>
      <errorID>9400099d-ff2f-4eb9-ad14-1de7b9aac659</errorID>
      <errorWord>(</errorWord>
      <group>L1_Format</group>
      <groupName>格式问题</groupName>
      <ability>L2_HalfPunc_CN</ability>
      <abilityName>全半角问题</abilityName>
      <candidateList>
        <item>（</item>
      </candidateList>
      <explain>文本全半角错误。</explain>
      <paraID>49425B29</paraID>
      <start>123</start>
      <end>124</end>
      <status>ignored</status>
      <modifiedWord/>
      <trackRevisions>false</trackRevisions>
    </reviewItem>
    <reviewItem>
      <errorID>6ebe94ef-a5d8-47e6-943d-b0c2df804914</errorID>
      <errorWord>)</errorWord>
      <group>L1_Format</group>
      <groupName>格式问题</groupName>
      <ability>L2_HalfPunc_CN</ability>
      <abilityName>全半角问题</abilityName>
      <candidateList>
        <item>）</item>
      </candidateList>
      <explain>文本全半角错误。</explain>
      <paraID>49425B29</paraID>
      <start>131</start>
      <end>132</end>
      <status>ignored</status>
      <modifiedWord/>
      <trackRevisions>false</trackRevisions>
    </reviewItem>
    <reviewItem>
      <errorID>d3b2d17d-e212-432e-8296-ae8757598abb</errorID>
      <errorWord>、等</errorWord>
      <group>L1_Word</group>
      <groupName>字词问题</groupName>
      <ability>L2_Typo</ability>
      <abilityName>字词错误</abilityName>
      <candidateList>
        <item>、</item>
      </candidateList>
      <explain/>
      <paraID>7E1B80E2</paraID>
      <start>94</start>
      <end>95</end>
      <status>modified</status>
      <modifiedWord>、</modifiedWord>
      <trackRevisions>false</trackRevisions>
    </reviewItem>
    <reviewItem>
      <errorID>4c8c32ae-b200-4928-94f1-c25fbd87d076</errorID>
      <errorWord>，</errorWord>
      <group>L1_Word</group>
      <groupName>字词问题</groupName>
      <ability>L2_Typo</ability>
      <abilityName>字词错误</abilityName>
      <candidateList>
        <item>，施</item>
      </candidateList>
      <explain/>
      <paraID>3FF11386</paraID>
      <start>59</start>
      <end>61</end>
      <status>modified</status>
      <modifiedWord>，施</modifiedWord>
      <trackRevisions>false</trackRevisions>
    </reviewItem>
    <reviewItem>
      <errorID>48f00e06-872d-414e-9bbc-202528715234</errorID>
      <errorWord>工</errorWord>
      <group>L1_Word</group>
      <groupName>字词问题</groupName>
      <ability>L2_Typo</ability>
      <abilityName>字词错误</abilityName>
      <candidateList>
        <item>其</item>
      </candidateList>
      <explain>存在字形相近字词的误用。</explain>
      <paraID>3FF11386</paraID>
      <start>61</start>
      <end>62</end>
      <status>ignored</status>
      <modifiedWord/>
      <trackRevisions>false</trackRevisions>
    </reviewItem>
    <reviewItem>
      <errorID>65b226b6-28ae-446c-ae43-e8f0438a50f1</errorID>
      <errorWord>文化自然遗产</errorWord>
      <group>L1_Word</group>
      <groupName>字词问题</groupName>
      <ability>L2_Typo</ability>
      <abilityName>字词错误</abilityName>
      <candidateList>
        <item>文化和自然遗产</item>
      </candidateList>
      <explain/>
      <paraID>6F6FDBB1</paraID>
      <start>140</start>
      <end>146</end>
      <status>ignored</status>
      <modifiedWord/>
      <trackRevisions>false</trackRevisions>
    </reviewItem>
    <reviewItem>
      <errorID>5fed1f2b-3901-4554-89dd-6e9e3127b39e</errorID>
      <errorWord>“</errorWord>
      <group>L1_Punc</group>
      <groupName>标点问题</groupName>
      <ability>L2_Punc_CN</ability>
      <abilityName>标点符号问题</abilityName>
      <candidateList>
        <item>”</item>
      </candidateList>
      <explain>注意检查双引号的方向是否正确。</explain>
      <paraID>3C0E7355</paraID>
      <start>195</start>
      <end>196</end>
      <status>ignored</status>
      <modifiedWord/>
      <trackRevisions>false</trackRevisions>
    </reviewItem>
    <reviewItem>
      <errorID>c8f58923-de9c-4fce-92f0-b812ab5a9351</errorID>
      <errorWord>(</errorWord>
      <group>L1_Format</group>
      <groupName>格式问题</groupName>
      <ability>L2_HalfPunc_CN</ability>
      <abilityName>全半角问题</abilityName>
      <candidateList>
        <item>（</item>
      </candidateList>
      <explain>文本全半角错误。</explain>
      <paraID>3C0E7355</paraID>
      <start>291</start>
      <end>292</end>
      <status>ignored</status>
      <modifiedWord/>
      <trackRevisions>false</trackRevisions>
    </reviewItem>
    <reviewItem>
      <errorID>6ae5ecbd-3226-49fd-b65f-90d669079ef5</errorID>
      <errorWord>)</errorWord>
      <group>L1_Format</group>
      <groupName>格式问题</groupName>
      <ability>L2_HalfPunc_CN</ability>
      <abilityName>全半角问题</abilityName>
      <candidateList>
        <item>）</item>
      </candidateList>
      <explain>文本全半角错误。</explain>
      <paraID>3C0E7355</paraID>
      <start>295</start>
      <end>296</end>
      <status>ignored</status>
      <modifiedWord/>
      <trackRevisions>false</trackRevisions>
    </reviewItem>
    <reviewItem>
      <errorID>f6b4ef8b-c8de-4fba-9039-12ee4cce5d49</errorID>
      <errorWord>(</errorWord>
      <group>L1_Format</group>
      <groupName>格式问题</groupName>
      <ability>L2_HalfPunc_CN</ability>
      <abilityName>全半角问题</abilityName>
      <candidateList>
        <item>（</item>
      </candidateList>
      <explain>文本全半角错误。</explain>
      <paraID>3C0E7355</paraID>
      <start>298</start>
      <end>299</end>
      <status>ignored</status>
      <modifiedWord/>
      <trackRevisions>false</trackRevisions>
    </reviewItem>
    <reviewItem>
      <errorID>046f34a0-235a-470a-948a-be01ba8c9b17</errorID>
      <errorWord>)</errorWord>
      <group>L1_Format</group>
      <groupName>格式问题</groupName>
      <ability>L2_HalfPunc_CN</ability>
      <abilityName>全半角问题</abilityName>
      <candidateList>
        <item>）</item>
      </candidateList>
      <explain>文本全半角错误。</explain>
      <paraID>3C0E7355</paraID>
      <start>300</start>
      <end>301</end>
      <status>ignored</status>
      <modifiedWord/>
      <trackRevisions>false</trackRevisions>
    </reviewItem>
    <reviewItem>
      <errorID>6743c398-49bd-4af9-bfbc-4db381e3e9cc</errorID>
      <errorWord>中国银行业监督管理委员会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银行业监督管理委员会。2023年9月，中共中央、国务院印发了《党和国家机构改革方案》组建国家金融监督管理总局，不再保留中国银行保险监督管理委员会。</explain>
      <paraID>3C0E7355</paraID>
      <start>363</start>
      <end>375</end>
      <status>ignored</status>
      <modifiedWord/>
      <trackRevisions>false</trackRevisions>
    </reviewItem>
    <reviewItem>
      <errorID>34897e42-e160-41da-8685-3c6453bc84f0</errorID>
      <errorWord>(</errorWord>
      <group>L1_Format</group>
      <groupName>格式问题</groupName>
      <ability>L2_HalfPunc_CN</ability>
      <abilityName>全半角问题</abilityName>
      <candidateList>
        <item>（</item>
      </candidateList>
      <explain>文本全半角错误。</explain>
      <paraID>3C0E7355</paraID>
      <start>427</start>
      <end>428</end>
      <status>ignored</status>
      <modifiedWord/>
      <trackRevisions>false</trackRevisions>
    </reviewItem>
    <reviewItem>
      <errorID>1eaf1061-ea59-4f6c-9fbf-314b4ad90e73</errorID>
      <errorWord>)</errorWord>
      <group>L1_Format</group>
      <groupName>格式问题</groupName>
      <ability>L2_HalfPunc_CN</ability>
      <abilityName>全半角问题</abilityName>
      <candidateList>
        <item>）</item>
      </candidateList>
      <explain>文本全半角错误。</explain>
      <paraID>3C0E7355</paraID>
      <start>429</start>
      <end>430</end>
      <status>ignored</status>
      <modifiedWord/>
      <trackRevisions>false</trackRevisions>
    </reviewItem>
    <reviewItem>
      <errorID>c5ce45a0-e9b9-4060-942d-8c31239e656f</errorID>
      <errorWord>)</errorWord>
      <group>L1_Format</group>
      <groupName>格式问题</groupName>
      <ability>L2_HalfPunc_CN</ability>
      <abilityName>全半角问题</abilityName>
      <candidateList>
        <item>）</item>
      </candidateList>
      <explain>文本全半角错误。</explain>
      <paraID>1AE439E1</paraID>
      <start>244</start>
      <end>245</end>
      <status>ignored</status>
      <modifiedWord/>
      <trackRevisions>false</trackRevisions>
    </reviewItem>
    <reviewItem>
      <errorID>91dd0488-f66f-4529-ab2f-0efbfa7de2d1</errorID>
      <errorWord>覆</errorWord>
      <group>L1_Word</group>
      <groupName>字词问题</groupName>
      <ability>L2_Typo</ability>
      <abilityName>字词错误</abilityName>
      <candidateList>
        <item>覆盖</item>
      </candidateList>
      <explain>❶〈动〉遮盖：积雪～着地面。❷〈名〉指地面上的植物，对于土壤有保护作用：没有～，水土容易流失。</explain>
      <paraID>215AB0B5</paraID>
      <start>23</start>
      <end>24</end>
      <status>ignored</status>
      <modifiedWord/>
      <trackRevisions>false</trackRevisions>
    </reviewItem>
    <reviewItem>
      <errorID>15d713a6-c78f-4044-97cf-af67a4a6c397</errorID>
      <errorWord>，</errorWord>
      <group>L1_Word</group>
      <groupName>字词问题</groupName>
      <ability>L2_Typo</ability>
      <abilityName>字词错误</abilityName>
      <candidateList>
        <item>，在</item>
      </candidateList>
      <explain/>
      <paraID>79906E7D</paraID>
      <start>34</start>
      <end>36</end>
      <status>modified</status>
      <modifiedWord>，在</modifiedWord>
      <trackRevisions>false</trackRevisions>
    </reviewItem>
    <reviewItem>
      <errorID>bd98047c-0e83-4038-91a5-2e1148060076</errorID>
      <errorWord>弃</errorWord>
      <group>L1_Word</group>
      <groupName>字词问题</groupName>
      <ability>L2_Typo</ability>
      <abilityName>字词错误</abilityName>
      <candidateList>
        <item>弃物</item>
      </candidateList>
      <explain/>
      <paraID>5412A728</paraID>
      <start>43</start>
      <end>44</end>
      <status>ignored</status>
      <modifiedWord/>
      <trackRevisions>false</trackRevisions>
    </reviewItem>
    <reviewItem>
      <errorID>280ec0d8-eae4-4d11-9ddc-8eba174aa18f</errorID>
      <errorWord>绿色、开放、共享的发展理念</errorWord>
      <group>L1_Word</group>
      <groupName>字词问题</groupName>
      <ability>L2_Typo</ability>
      <abilityName>字词错误</abilityName>
      <candidateList>
        <item>绿色、开放、共享的新发展理念</item>
      </candidateList>
      <explain/>
      <paraID>23562BC4</paraID>
      <start>39</start>
      <end>52</end>
      <status>ignored</status>
      <modifiedWord/>
      <trackRevisions>false</trackRevisions>
    </reviewItem>
    <reviewItem>
      <errorID>52f1a9f7-198c-4c04-8f1a-139a952824fc</errorID>
      <errorWord>，</errorWord>
      <group>L1_Word</group>
      <groupName>字词问题</groupName>
      <ability>L2_Typo</ability>
      <abilityName>字词错误</abilityName>
      <candidateList>
        <item>，在</item>
      </candidateList>
      <explain/>
      <paraID>59E0371C</paraID>
      <start>33</start>
      <end>35</end>
      <status>modified</status>
      <modifiedWord>，在</modifiedWord>
      <trackRevisions>false</trackRevisions>
    </reviewItem>
    <reviewItem>
      <errorID>ff448c0b-1ce7-4c76-8ac5-514d851bc1fc</errorID>
      <errorWord>措</errorWord>
      <group>L1_Word</group>
      <groupName>字词问题</groupName>
      <ability>L2_Typo</ability>
      <abilityName>字词错误</abilityName>
      <candidateList>
        <item>措施</item>
      </candidateList>
      <explain>〈名〉针对某种情况而采取的处理办法（用于较大的事情）：计划已经订出，～应该跟上。</explain>
      <paraID>78A3EE9A</paraID>
      <start>80</start>
      <end>82</end>
      <status>modified</status>
      <modifiedWord>措施</modifiedWord>
      <trackRevisions>false</trackRevisions>
    </reviewItem>
    <reviewItem>
      <errorID>e1b18fcc-6c02-4abc-bf55-7685f299e3fb</errorID>
      <errorWord>覆</errorWord>
      <group>L1_Word</group>
      <groupName>字词问题</groupName>
      <ability>L2_Typo</ability>
      <abilityName>字词错误</abilityName>
      <candidateList>
        <item>覆盖</item>
      </candidateList>
      <explain>❶〈动〉遮盖：积雪～着地面。❷〈名〉指地面上的植物，对于土壤有保护作用：没有～，水土容易流失。</explain>
      <paraID>78A3EE9A</paraID>
      <start>169</start>
      <end>171</end>
      <status>modified</status>
      <modifiedWord>覆盖</modifiedWord>
      <trackRevisions>false</trackRevisions>
    </reviewItem>
    <reviewItem>
      <errorID>ca0df350-1f49-4b6d-b728-21c1e7bbfb7d</errorID>
      <errorWord>两高项目</errorWord>
      <group>L1_Political</group>
      <groupName>政治性问题</groupName>
      <ability>L2_Keyword</ability>
      <abilityName>固定表述</abilityName>
      <candidateList>
        <item>“两高”项目</item>
      </candidateList>
      <explain>注意检查当前固定表述标点是否使用规范。</explain>
      <paraID>7D12E9C0</paraID>
      <start>24</start>
      <end>30</end>
      <status>modified</status>
      <modifiedWord>“两高”项目</modifiedWord>
      <trackRevisions>false</trackRevisions>
    </reviewItem>
    <reviewItem>
      <errorID>838e00af-7a95-4c90-b3e0-dccef2e1eaea</errorID>
      <errorWord>覆</errorWord>
      <group>L1_Word</group>
      <groupName>字词问题</groupName>
      <ability>L2_Typo</ability>
      <abilityName>字词错误</abilityName>
      <candidateList>
        <item>覆盖</item>
      </candidateList>
      <explain>❶〈动〉遮盖：积雪～着地面。❷〈名〉指地面上的植物，对于土壤有保护作用：没有～，水土容易流失。</explain>
      <paraID>4B8C7601</paraID>
      <start>148</start>
      <end>150</end>
      <status>modified</status>
      <modifiedWord>覆盖</modifiedWord>
      <trackRevisions>false</trackRevisions>
    </reviewItem>
    <reviewItem>
      <errorID>aa38f57a-5c80-4339-82cb-c07b59622df0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1D5C730D</paraID>
      <start>0</start>
      <end>2</end>
      <status>ignored</status>
      <modifiedWord/>
      <trackRevisions>false</trackRevisions>
    </reviewItem>
    <reviewItem>
      <errorID>79b5e2dc-cb16-4ed0-b600-38fce609a6c8</errorID>
      <errorWord>(</errorWord>
      <group>L1_Format</group>
      <groupName>格式问题</groupName>
      <ability>L2_HalfPunc_CN</ability>
      <abilityName>全半角问题</abilityName>
      <candidateList>
        <item>（</item>
      </candidateList>
      <explain>文本全半角错误。</explain>
      <paraID>59879A7C</paraID>
      <start>3</start>
      <end>4</end>
      <status>ignored</status>
      <modifiedWord/>
      <trackRevisions>false</trackRevisions>
    </reviewItem>
    <reviewItem>
      <errorID>60d9b09b-8aa4-4974-9b18-4c08cf9ec0ad</errorID>
      <errorWord>)</errorWord>
      <group>L1_Format</group>
      <groupName>格式问题</groupName>
      <ability>L2_HalfPunc_CN</ability>
      <abilityName>全半角问题</abilityName>
      <candidateList>
        <item>）</item>
      </candidateList>
      <explain>文本全半角错误。</explain>
      <paraID>59879A7C</paraID>
      <start>5</start>
      <end>6</end>
      <status>ignored</status>
      <modifiedWord/>
      <trackRevisions>false</trackRevisions>
    </reviewItem>
    <reviewItem>
      <errorID>034b0eee-33e5-4c6e-b83c-7c4ebbbf15d5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41904070</paraID>
      <start>0</start>
      <end>2</end>
      <status>ignored</status>
      <modifiedWord/>
      <trackRevisions>false</trackRevisions>
    </reviewItem>
    <reviewItem>
      <errorID>e824c9e1-d274-4a2c-845a-9a702cf4dde6</errorID>
      <errorWord>覆</errorWord>
      <group>L1_Word</group>
      <groupName>字词问题</groupName>
      <ability>L2_Typo</ability>
      <abilityName>字词错误</abilityName>
      <candidateList>
        <item>覆盖</item>
      </candidateList>
      <explain>❶〈动〉遮盖：积雪～着地面。❷〈名〉指地面上的植物，对于土壤有保护作用：没有～，水土容易流失。</explain>
      <paraID>36F159B6</paraID>
      <start>141</start>
      <end>143</end>
      <status>modified</status>
      <modifiedWord>覆盖</modifiedWord>
      <trackRevisions>false</trackRevisions>
    </reviewItem>
    <reviewItem>
      <errorID>2ff08e31-c52b-4b6d-9ff4-b82ae83cfe5a</errorID>
      <errorWord>程</errorWord>
      <group>L1_Word</group>
      <groupName>字词问题</groupName>
      <ability>L2_Typo</ability>
      <abilityName>字词错误</abilityName>
      <candidateList>
        <item>程中</item>
      </candidateList>
      <explain/>
      <paraID>411F6045</paraID>
      <start>3</start>
      <end>5</end>
      <status>modified</status>
      <modifiedWord>程中</modifiedWord>
      <trackRevisions>false</trackRevisions>
    </reviewItem>
    <reviewItem>
      <errorID>f865e982-21dd-4cd5-a8b1-ccafb7a33511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543E9EC1</paraID>
      <start>0</start>
      <end>2</end>
      <status>ignored</status>
      <modifiedWord/>
      <trackRevisions>false</trackRevisions>
    </reviewItem>
    <reviewItem>
      <errorID>6feff02b-451a-41e3-ae8c-e5f9fa5de232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17A19CC7</paraID>
      <start>0</start>
      <end>2</end>
      <status>ignored</status>
      <modifiedWord/>
      <trackRevisions>false</trackRevisions>
    </reviewItem>
    <reviewItem>
      <errorID>6878e7aa-b1c8-44f9-8380-f54731e184d4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3998D58A</paraID>
      <start>0</start>
      <end>2</end>
      <status>ignored</status>
      <modifiedWord/>
      <trackRevisions>false</trackRevisions>
    </reviewItem>
    <reviewItem>
      <errorID>223b2aee-2732-43ac-b7bf-2b2625055bcd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31D0BA1C</paraID>
      <start>0</start>
      <end>2</end>
      <status>ignored</status>
      <modifiedWord/>
      <trackRevisions>false</trackRevisions>
    </reviewItem>
    <reviewItem>
      <errorID>a9b2d1b5-ee1a-41a5-8897-63ffafbe55ab</errorID>
      <errorWord>覆</errorWord>
      <group>L1_Word</group>
      <groupName>字词问题</groupName>
      <ability>L2_Typo</ability>
      <abilityName>字词错误</abilityName>
      <candidateList>
        <item>覆盖</item>
      </candidateList>
      <explain>❶〈动〉遮盖：积雪～着地面。❷〈名〉指地面上的植物，对于土壤有保护作用：没有～，水土容易流失。</explain>
      <paraID>73A46C1D</paraID>
      <start>152</start>
      <end>154</end>
      <status>modified</status>
      <modifiedWord>覆盖</modifiedWord>
      <trackRevisions>false</trackRevisions>
    </reviewItem>
    <reviewItem>
      <errorID>cc066895-cfb3-4bfe-98c2-5601fa8885fa</errorID>
      <errorWord>"</errorWord>
      <group>L1_Format</group>
      <groupName>格式问题</groupName>
      <ability>L2_HalfPunc_CN</ability>
      <abilityName>全半角问题</abilityName>
      <candidateList/>
      <explain>文本全半角错误。</explain>
      <paraID>582C77B7</paraID>
      <start>78</start>
      <end>79</end>
      <status>ignored</status>
      <modifiedWord/>
      <trackRevisions>false</trackRevisions>
    </reviewItem>
    <reviewItem>
      <errorID>f5d8f7ae-0851-43c4-9fbb-f7de6639399b</errorID>
      <errorWord>"</errorWord>
      <group>L1_Format</group>
      <groupName>格式问题</groupName>
      <ability>L2_HalfPunc_CN</ability>
      <abilityName>全半角问题</abilityName>
      <candidateList>
        <item>”</item>
      </candidateList>
      <explain>文本全半角错误。</explain>
      <paraID>582C77B7</paraID>
      <start>94</start>
      <end>95</end>
      <status>ignored</status>
      <modifiedWord/>
      <trackRevisions>false</trackRevisions>
    </reviewItem>
    <reviewItem>
      <errorID>f14db77b-50cd-4695-bf4e-0762ed65a12d</errorID>
      <errorWord>震动</errorWord>
      <group>L1_Word</group>
      <groupName>字词问题</groupName>
      <ability>L2_Typo</ability>
      <abilityName>字词错误</abilityName>
      <candidateList>
        <item>振动</item>
      </candidateList>
      <explain>〈动〉物体通过一个中心位置，不断作往复运动。摆的运动就是振动。也叫振荡。</explain>
      <paraID>5C11ADFE</paraID>
      <start>0</start>
      <end>2</end>
      <status>ignored</status>
      <modifiedWord/>
      <trackRevisions>false</trackRevisions>
    </reviewItem>
    <reviewItem>
      <errorID>4bb552fc-cdeb-4b07-bc84-902d92db063c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EB85296</paraID>
      <start>26</start>
      <end>27</end>
      <status>ignored</status>
      <modifiedWord/>
      <trackRevisions>false</trackRevisions>
    </reviewItem>
    <reviewItem>
      <errorID>0e1f1945-4edd-4f99-be73-ccf29cc5d37b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2D722268</paraID>
      <start>38</start>
      <end>39</end>
      <status>ignored</status>
      <modifiedWord/>
      <trackRevisions>false</trackRevisions>
    </reviewItem>
    <reviewItem>
      <errorID>41e2a60b-2a6b-453b-b890-279367c9760b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62474A39</paraID>
      <start>24</start>
      <end>25</end>
      <status>ignored</status>
      <modifiedWord/>
      <trackRevisions>false</trackRevisions>
    </reviewItem>
    <reviewItem>
      <errorID>b2748127-3e9d-4804-8d42-87f262bbf805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7DB05DE1</paraID>
      <start>20</start>
      <end>21</end>
      <status>ignored</status>
      <modifiedWord/>
      <trackRevisions>false</trackRevisions>
    </reviewItem>
    <reviewItem>
      <errorID>b4c2bc31-f4f3-48e4-8640-17e0850a8bb9</errorID>
      <errorWord>(</errorWord>
      <group>L1_Format</group>
      <groupName>格式问题</groupName>
      <ability>L2_HalfPunc_CN</ability>
      <abilityName>全半角问题</abilityName>
      <candidateList>
        <item>（</item>
      </candidateList>
      <explain>文本全半角错误。</explain>
      <paraID>1110C05D</paraID>
      <start>4</start>
      <end>5</end>
      <status>ignored</status>
      <modifiedWord/>
      <trackRevisions>false</trackRevisions>
    </reviewItem>
    <reviewItem>
      <errorID>28e1841e-4a5b-4c3e-b4cf-e80af4f0e9a9</errorID>
      <errorWord>〔2023〕01号</errorWord>
      <group>L1_Knowledge</group>
      <groupName>知识性问题</groupName>
      <ability>L2_Knowledge</ability>
      <abilityName>其他知识</abilityName>
      <candidateList>
        <item>〔2023〕1号</item>
      </candidateList>
      <explain>发文字号格式错误。</explain>
      <paraID>3DB41521</paraID>
      <start>70</start>
      <end>79</end>
      <status>ignored</status>
      <modifiedWord/>
      <trackRevisions>false</trackRevisions>
    </reviewItem>
    <reviewItem>
      <errorID>352b6fcb-6747-498e-8531-74f72b08ce15</errorID>
      <errorWord>截止2023年</errorWord>
      <group>L1_Word</group>
      <groupName>字词问题</groupName>
      <ability>L2_Typo</ability>
      <abilityName>字词错误</abilityName>
      <candidateList>
        <item>截至2023年</item>
      </candidateList>
      <explain/>
      <paraID>3DB41521</paraID>
      <start>106</start>
      <end>113</end>
      <status>modified</status>
      <modifiedWord>截至2023年</modifiedWord>
      <trackRevisions>false</trackRevisions>
    </reviewItem>
    <reviewItem>
      <errorID>a802247c-666f-414b-b1f9-0b3895d63eb6</errorID>
      <errorWord>(</errorWord>
      <group>L1_Format</group>
      <groupName>格式问题</groupName>
      <ability>L2_HalfPunc_CN</ability>
      <abilityName>全半角问题</abilityName>
      <candidateList>
        <item>（</item>
      </candidateList>
      <explain>文本全半角错误。</explain>
      <paraID>3DB41521</paraID>
      <start>125</start>
      <end>126</end>
      <status>ignored</status>
      <modifiedWord/>
      <trackRevisions>false</trackRevisions>
    </reviewItem>
    <reviewItem>
      <errorID>596adb7d-67b6-4b32-9004-41a11f1c12d1</errorID>
      <errorWord>)</errorWord>
      <group>L1_Format</group>
      <groupName>格式问题</groupName>
      <ability>L2_HalfPunc_CN</ability>
      <abilityName>全半角问题</abilityName>
      <candidateList>
        <item>）</item>
      </candidateList>
      <explain>文本全半角错误。</explain>
      <paraID>3DB41521</paraID>
      <start>141</start>
      <end>142</end>
      <status>ignored</status>
      <modifiedWord/>
      <trackRevisions>false</trackRevisions>
    </reviewItem>
    <reviewItem>
      <errorID>8f7968d5-28a6-4590-a5a5-cf5a9dd77012</errorID>
      <errorWord>06年</errorWord>
      <group>L1_Word</group>
      <groupName>字词问题</groupName>
      <ability>L2_Typo</ability>
      <abilityName>字词错误</abilityName>
      <candidateList>
        <item>2006年</item>
      </candidateList>
      <explain/>
      <paraID>1585FC06</paraID>
      <start>3</start>
      <end>6</end>
      <status>ignored</status>
      <modifiedWord/>
      <trackRevisions>false</trackRevisions>
    </reviewItem>
    <reviewItem>
      <errorID>b34ca9c5-7793-44f9-8dc2-0475bd030533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242BD208</paraID>
      <start>0</start>
      <end>2</end>
      <status>ignored</status>
      <modifiedWord/>
      <trackRevisions>false</trackRevisions>
    </reviewItem>
    <reviewItem>
      <errorID>29946cd3-381c-4c3d-9320-175c83dad8df</errorID>
      <errorWord>年</errorWord>
      <group>L1_Word</group>
      <groupName>字词问题</groupName>
      <ability>L2_Typo</ability>
      <abilityName>字词错误</abilityName>
      <candidateList>
        <item>年平</item>
      </candidateList>
      <explain/>
      <paraID>3B6ECF31</paraID>
      <start>84</start>
      <end>86</end>
      <status>modified</status>
      <modifiedWord>年平</modifiedWord>
      <trackRevisions>false</trackRevisions>
    </reviewItem>
    <reviewItem>
      <errorID>9f5b29fd-0225-44a3-b1e6-4f81ce7ad108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22EF50B6</paraID>
      <start>48</start>
      <end>49</end>
      <status>ignored</status>
      <modifiedWord/>
      <trackRevisions>false</trackRevisions>
    </reviewItem>
    <reviewItem>
      <errorID>76e82471-fe0c-4e47-9cc0-645f46c4b028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66643393</paraID>
      <start>10</start>
      <end>11</end>
      <status>ignored</status>
      <modifiedWord/>
      <trackRevisions>false</trackRevisions>
    </reviewItem>
    <reviewItem>
      <errorID>59f99422-dbde-42d3-b1a8-771f26bd9a21</errorID>
      <errorWord>：</errorWord>
      <group>L1_Format</group>
      <groupName>格式问题</groupName>
      <ability>L2_HalfPunc_CN</ability>
      <abilityName>全半角问题</abilityName>
      <candidateList>
        <item>:</item>
      </candidateList>
      <explain>文本全半角错误。</explain>
      <paraID> 79BE6F4</paraID>
      <start>1</start>
      <end>2</end>
      <status>ignored</status>
      <modifiedWord/>
      <trackRevisions>false</trackRevisions>
    </reviewItem>
    <reviewItem>
      <errorID>2adc536c-602d-4159-b8f1-466e66d3225d</errorID>
      <errorWord>；</errorWord>
      <group>L1_Format</group>
      <groupName>格式问题</groupName>
      <ability>L2_HalfPunc_CN</ability>
      <abilityName>全半角问题</abilityName>
      <candidateList>
        <item>; </item>
      </candidateList>
      <explain>文本全半角错误。</explain>
      <paraID> 79BE6F4</paraID>
      <start>14</start>
      <end>15</end>
      <status>ignored</status>
      <modifiedWord/>
      <trackRevisions>false</trackRevisions>
    </reviewItem>
    <reviewItem>
      <errorID>eadc194d-e11c-4959-9781-d62e9d8c7f7d</errorID>
      <errorWord>：</errorWord>
      <group>L1_Format</group>
      <groupName>格式问题</groupName>
      <ability>L2_HalfPunc_CN</ability>
      <abilityName>全半角问题</abilityName>
      <candidateList>
        <item>:</item>
      </candidateList>
      <explain>文本全半角错误。</explain>
      <paraID> 79BE6F4</paraID>
      <start>16</start>
      <end>17</end>
      <status>ignored</status>
      <modifiedWord/>
      <trackRevisions>false</trackRevisions>
    </reviewItem>
    <reviewItem>
      <errorID>673cfe9a-6579-42e5-a57a-d39eb1d39085</errorID>
      <errorWord>IV类</errorWord>
      <group>L1_Knowledge</group>
      <groupName>知识性问题</groupName>
      <ability>L2_Knowledge</ability>
      <abilityName>其他知识</abilityName>
      <candidateList>
        <item>Ⅳ类</item>
      </candidateList>
      <explain>中文环境下罗马数字格式错误。</explain>
      <paraID>2F82AE5D</paraID>
      <start>72</start>
      <end>74</end>
      <status>modified</status>
      <modifiedWord>Ⅳ类</modifiedWord>
      <trackRevisions>false</trackRevisions>
    </reviewItem>
    <reviewItem>
      <errorID>277665ca-8e8f-4c43-a879-29f884c710b2</errorID>
      <errorWord>IV类</errorWord>
      <group>L1_Knowledge</group>
      <groupName>知识性问题</groupName>
      <ability>L2_Knowledge</ability>
      <abilityName>其他知识</abilityName>
      <candidateList>
        <item>Ⅳ类</item>
      </candidateList>
      <explain>中文环境下罗马数字格式错误。</explain>
      <paraID>2F82AE5D</paraID>
      <start>77</start>
      <end>79</end>
      <status>modified</status>
      <modifiedWord>Ⅳ类</modifiedWord>
      <trackRevisions>false</trackRevisions>
    </reviewItem>
    <reviewItem>
      <errorID>16613c01-3b43-4038-a298-ef9568cfe476</errorID>
      <errorWord>PH值</errorWord>
      <group>L1_Word</group>
      <groupName>字词问题</groupName>
      <ability>L2_Typo</ability>
      <abilityName>字词错误</abilityName>
      <candidateList>
        <item>pH值</item>
      </candidateList>
      <explain/>
      <paraID> 38A9957</paraID>
      <start>114</start>
      <end>117</end>
      <status>ignored</status>
      <modifiedWord/>
      <trackRevisions>false</trackRevisions>
    </reviewItem>
    <reviewItem>
      <errorID>78ed8f29-6985-4a1e-ba7b-4e45fc12eebd</errorID>
      <errorWord>新疆维吾尔自治区</errorWord>
      <group>L1_Word</group>
      <groupName>字词问题</groupName>
      <ability>L2_Typo</ability>
      <abilityName>字词错误</abilityName>
      <candidateList>
        <item>疆维吾尔自治区</item>
      </candidateList>
      <explain/>
      <paraID>5C629DC8</paraID>
      <start>46</start>
      <end>53</end>
      <status>modified</status>
      <modifiedWord>疆维吾尔自治区</modifiedWord>
      <trackRevisions>false</trackRevisions>
    </reviewItem>
    <reviewItem>
      <errorID>b88907b2-700c-404e-8eed-0f03fda6ca33</errorID>
      <errorWord>51．</errorWord>
      <group>L1_Format</group>
      <groupName>格式问题</groupName>
      <ability>L2_Ordinal</ability>
      <abilityName>序号格式</abilityName>
      <candidateList>
        <item>51.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7226150A</paraID>
      <start>0</start>
      <end>3</end>
      <status>ignored</status>
      <modifiedWord/>
      <trackRevisions>false</trackRevisions>
    </reviewItem>
    <reviewItem>
      <errorID>17737e02-a3f5-4f5b-9388-4f1287605acb</errorID>
      <errorWord>新疆水利厅</errorWord>
      <group>L1_Political</group>
      <groupName>政治性问题</groupName>
      <ability>L2_Unpolitical</ability>
      <abilityName>政治敏感错误</abilityName>
      <candidateList>
        <item>新疆维吾尔自治区水利厅</item>
      </candidateList>
      <explain>机关单位名称不规范，请注意审核。</explain>
      <paraID>50B0DEB7</paraID>
      <start>40</start>
      <end>51</end>
      <status>modified</status>
      <modifiedWord>新疆维吾尔自治区水利厅</modifiedWord>
      <trackRevisions>false</trackRevisions>
    </reviewItem>
    <reviewItem>
      <errorID>466f1c66-8656-4e3e-9492-2cae86073c0c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68C3D015</paraID>
      <start>12</start>
      <end>13</end>
      <status>ignored</status>
      <modifiedWord/>
      <trackRevisions>false</trackRevisions>
    </reviewItem>
    <reviewItem>
      <errorID>4f3516fd-ee4e-42a2-ab7e-e4887f8852b2</errorID>
      <errorWord>(</errorWord>
      <group>L1_Format</group>
      <groupName>格式问题</groupName>
      <ability>L2_HalfPunc_CN</ability>
      <abilityName>全半角问题</abilityName>
      <candidateList>
        <item>（</item>
      </candidateList>
      <explain>文本全半角错误。</explain>
      <paraID>30C4F56C</paraID>
      <start>30</start>
      <end>31</end>
      <status>ignored</status>
      <modifiedWord/>
      <trackRevisions>false</trackRevisions>
    </reviewItem>
    <reviewItem>
      <errorID>673fef5f-a3d9-406c-b1db-d6d427938862</errorID>
      <errorWord>)</errorWord>
      <group>L1_Format</group>
      <groupName>格式问题</groupName>
      <ability>L2_HalfPunc_CN</ability>
      <abilityName>全半角问题</abilityName>
      <candidateList>
        <item>）</item>
      </candidateList>
      <explain>文本全半角错误。</explain>
      <paraID>30C4F56C</paraID>
      <start>43</start>
      <end>44</end>
      <status>ignored</status>
      <modifiedWord/>
      <trackRevisions>false</trackRevisions>
    </reviewItem>
    <reviewItem>
      <errorID>2d055279-6bce-4d2a-936a-87f75f0ec322</errorID>
      <errorWord>(</errorWord>
      <group>L1_Format</group>
      <groupName>格式问题</groupName>
      <ability>L2_HalfPunc_CN</ability>
      <abilityName>全半角问题</abilityName>
      <candidateList>
        <item>（</item>
      </candidateList>
      <explain>文本全半角错误。</explain>
      <paraID>264E99F0</paraID>
      <start>6</start>
      <end>7</end>
      <status>ignored</status>
      <modifiedWord/>
      <trackRevisions>false</trackRevisions>
    </reviewItem>
    <reviewItem>
      <errorID>f90846e1-8899-4a01-9886-41d172b66436</errorID>
      <errorWord>)</errorWord>
      <group>L1_Format</group>
      <groupName>格式问题</groupName>
      <ability>L2_HalfPunc_CN</ability>
      <abilityName>全半角问题</abilityName>
      <candidateList>
        <item>）</item>
      </candidateList>
      <explain>文本全半角错误。</explain>
      <paraID>264E99F0</paraID>
      <start>10</start>
      <end>11</end>
      <status>ignored</status>
      <modifiedWord/>
      <trackRevisions>false</trackRevisions>
    </reviewItem>
    <reviewItem>
      <errorID>6a557939-3de8-4592-b967-1909e90a0b73</errorID>
      <errorWord>计</errorWord>
      <group>L1_Word</group>
      <groupName>字词问题</groupName>
      <ability>L2_Typo</ability>
      <abilityName>字词错误</abilityName>
      <candidateList>
        <item>计算</item>
      </candidateList>
      <explain/>
      <paraID>5CD3C31D</paraID>
      <start>32</start>
      <end>33</end>
      <status>ignored</status>
      <modifiedWord/>
      <trackRevisions>false</trackRevisions>
    </reviewItem>
    <reviewItem>
      <errorID>9a5f22aa-36b3-4bcf-ba51-5d914f56a881</errorID>
      <errorWord>震动</errorWord>
      <group>L1_Word</group>
      <groupName>字词问题</groupName>
      <ability>L2_Typo</ability>
      <abilityName>字词错误</abilityName>
      <candidateList>
        <item>振动</item>
      </candidateList>
      <explain>〈动〉物体通过一个中心位置，不断作往复运动。摆的运动就是振动。也叫振荡。</explain>
      <paraID>31C69024</paraID>
      <start>0</start>
      <end>2</end>
      <status>ignored</status>
      <modifiedWord/>
      <trackRevisions>false</trackRevisions>
    </reviewItem>
    <reviewItem>
      <errorID>0a275407-121c-4f24-a553-d63e5c5cce2d</errorID>
      <errorWord>%计</errorWord>
      <group>L1_Word</group>
      <groupName>字词问题</groupName>
      <ability>L2_Typo</ability>
      <abilityName>字词错误</abilityName>
      <candidateList>
        <item>%</item>
      </candidateList>
      <explain/>
      <paraID>3AE5DB42</paraID>
      <start>17</start>
      <end>19</end>
      <status>ignored</status>
      <modifiedWord/>
      <trackRevisions>false</trackRevisions>
    </reviewItem>
    <reviewItem>
      <errorID>781a1b9b-8b31-478e-bb1c-0fecb4cbe974</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55F1758C</paraID>
      <start>55</start>
      <end>56</end>
      <status>modified</status>
      <modifiedWord>地</modifiedWord>
      <trackRevisions>false</trackRevisions>
    </reviewItem>
    <reviewItem>
      <errorID>dbcf4dff-fe6a-4af0-ad02-c9bc163d8eca</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56BB320</paraID>
      <start>57</start>
      <end>58</end>
      <status>modified</status>
      <modifiedWord>地</modifiedWord>
      <trackRevisions>false</trackRevisions>
    </reviewItem>
    <reviewItem>
      <errorID>2af613d7-49c0-4eba-8281-f31afe665a7d</errorID>
      <errorWord>)</errorWord>
      <group>L1_Format</group>
      <groupName>格式问题</groupName>
      <ability>L2_HalfPunc_CN</ability>
      <abilityName>全半角问题</abilityName>
      <candidateList>
        <item>）</item>
      </candidateList>
      <explain>文本全半角错误。</explain>
      <paraID>150B5087</paraID>
      <start>107</start>
      <end>108</end>
      <status>ignored</status>
      <modifiedWord/>
      <trackRevisions>false</trackRevisions>
    </reviewItem>
    <reviewItem>
      <errorID>2ff7828a-2b6e-4606-98fd-06be6b7b9a81</errorID>
      <errorWord>在严格</errorWord>
      <group>L1_Word</group>
      <groupName>字词问题</groupName>
      <ability>L2_Typo</ability>
      <abilityName>字词错误</abilityName>
      <candidateList>
        <item>严格</item>
      </candidateList>
      <explain/>
      <paraID>3FCB45A4</paraID>
      <start>0</start>
      <end>2</end>
      <status>modified</status>
      <modifiedWord>严格</modifiedWord>
      <trackRevisions>false</trackRevisions>
    </reviewItem>
    <reviewItem>
      <errorID>ec0636d6-cf83-401b-b6f9-5b5777c37d7e</errorID>
      <errorWord>报告的</errorWord>
      <group>L1_Word</group>
      <groupName>字词问题</groupName>
      <ability>L2_Typo</ability>
      <abilityName>字词错误</abilityName>
      <candidateList>
        <item>报告</item>
      </candidateList>
      <explain>❶〈动〉把事情或意见正式告诉上级或群众：你应当把事情的经过向领导～｜大会主席～了开会宗旨。❷〈名〉用口头或书面的形式向上级或群众所做的正式陈述：总结～｜动员～。</explain>
      <paraID>3FCB45A4</paraID>
      <start>5</start>
      <end>7</end>
      <status>modified</status>
      <modifiedWord>报告</modifiedWord>
      <trackRevisions>false</trackRevisions>
    </reviewItem>
    <reviewItem>
      <errorID>74f04fc8-a66d-446b-bf50-c9437a4e9189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468B8FCB</paraID>
      <start>0</start>
      <end>2</end>
      <status>ignored</status>
      <modifiedWord/>
      <trackRevisions>false</trackRevisions>
    </reviewItem>
    <reviewItem>
      <errorID>a4ddf84b-8782-45ab-a0a7-f30549b62d07</errorID>
      <errorWord>(</errorWord>
      <group>L1_Format</group>
      <groupName>格式问题</groupName>
      <ability>L2_HalfPunc_CN</ability>
      <abilityName>全半角问题</abilityName>
      <candidateList>
        <item>（</item>
      </candidateList>
      <explain>文本全半角错误。</explain>
      <paraID>7BBEE576</paraID>
      <start>92</start>
      <end>93</end>
      <status>ignored</status>
      <modifiedWord/>
      <trackRevisions>false</trackRevisions>
    </reviewItem>
    <reviewItem>
      <errorID>e3473d72-41cd-4900-b1ea-b214fb0a3d33</errorID>
      <errorWord>制定出</errorWord>
      <group>L1_Word</group>
      <groupName>字词问题</groupName>
      <ability>L2_Typo</ability>
      <abilityName>字词错误</abilityName>
      <candidateList>
        <item>制定</item>
      </candidateList>
      <explain>〈动〉定出（法律、规程、政策等）：～宪法｜～学会章程。</explain>
      <paraID>17730B54</paraID>
      <start>44</start>
      <end>46</end>
      <status>modified</status>
      <modifiedWord>制定</modifiedWord>
      <trackRevisions>false</trackRevisions>
    </reviewItem>
    <reviewItem>
      <errorID>56d87c5e-51d5-4b41-b6fa-58e029e18e93</errorID>
      <errorWord>制定出</errorWord>
      <group>L1_Word</group>
      <groupName>字词问题</groupName>
      <ability>L2_Typo</ability>
      <abilityName>字词错误</abilityName>
      <candidateList>
        <item>制定</item>
      </candidateList>
      <explain>〈动〉定出（法律、规程、政策等）：～宪法｜～学会章程。</explain>
      <paraID>7F69EC7D</paraID>
      <start>44</start>
      <end>46</end>
      <status>modified</status>
      <modifiedWord>制定</modifiedWord>
      <trackRevisions>false</trackRevisions>
    </reviewItem>
    <reviewItem>
      <errorID>2f3caa19-a33f-4ac4-ac64-adc9a7dffed6</errorID>
      <errorWord>，其</errorWord>
      <group>L1_Word</group>
      <groupName>字词问题</groupName>
      <ability>L2_Typo</ability>
      <abilityName>字词错误</abilityName>
      <candidateList>
        <item>，</item>
      </candidateList>
      <explain/>
      <paraID>793B800A</paraID>
      <start>130</start>
      <end>131</end>
      <status>modified</status>
      <modifiedWord>，</modifiedWord>
      <trackRevisions>false</trackRevisions>
    </reviewItem>
    <reviewItem>
      <errorID>24ba1a70-a173-4445-b2ae-e9e1a1bb6912</errorID>
      <errorWord>植物种</errorWord>
      <group>L1_Word</group>
      <groupName>字词问题</groupName>
      <ability>L2_Typo</ability>
      <abilityName>字词错误</abilityName>
      <candidateList>
        <item>植物</item>
      </candidateList>
      <explain/>
      <paraID>1FA122F7</paraID>
      <start>112</start>
      <end>114</end>
      <status>modified</status>
      <modifiedWord>植物</modifiedWord>
      <trackRevisions>false</trackRevisions>
    </reviewItem>
    <reviewItem>
      <errorID>194198a9-3cc4-4360-9065-62121514afa1</errorID>
      <errorWord>，</errorWord>
      <group>L1_Word</group>
      <groupName>字词问题</groupName>
      <ability>L2_Typo</ability>
      <abilityName>字词错误</abilityName>
      <candidateList>
        <item>，对</item>
      </candidateList>
      <explain/>
      <paraID>22003A41</paraID>
      <start>222</start>
      <end>224</end>
      <status>modified</status>
      <modifiedWord>，对</modifiedWord>
      <trackRevisions>false</trackRevisions>
    </reviewItem>
    <reviewItem>
      <errorID>2c5e5348-7d1d-4644-8d2a-95e0475c42a5</errorID>
      <errorWord>防治</errorWord>
      <group>L1_Word</group>
      <groupName>字词问题</groupName>
      <ability>L2_Typo</ability>
      <abilityName>字词错误</abilityName>
      <candidateList>
        <item>防止</item>
      </candidateList>
      <explain>〈动〉预先设法制止（坏事发生）：～煤气中毒｜～交通事故。</explain>
      <paraID>22003A41</paraID>
      <start>271</start>
      <end>273</end>
      <status>modified</status>
      <modifiedWord>防止</modifiedWord>
      <trackRevisions>false</trackRevisions>
    </reviewItem>
    <reviewItem>
      <errorID>9c8a171c-8ee9-46b6-aa8c-2d2138b3b03a</errorID>
      <errorWord>应</errorWord>
      <group>L1_Word</group>
      <groupName>字词问题</groupName>
      <ability>L2_Typo</ability>
      <abilityName>字词错误</abilityName>
      <candidateList>
        <item>应当</item>
      </candidateList>
      <explain/>
      <paraID>1245A8AE</paraID>
      <start>226</start>
      <end>228</end>
      <status>modified</status>
      <modifiedWord>应当</modifiedWord>
      <trackRevisions>false</trackRevisions>
    </reviewItem>
    <reviewItem>
      <errorID>9699d119-58d0-4f80-8744-f079d8d24608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7A3B0366</paraID>
      <start>0</start>
      <end>2</end>
      <status>ignored</status>
      <modifiedWord/>
      <trackRevisions>false</trackRevisions>
    </reviewItem>
    <reviewItem>
      <errorID>02682f9d-e31c-47ff-8ffd-4f076faaa060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5E75B6C6</paraID>
      <start>0</start>
      <end>2</end>
      <status>ignored</status>
      <modifiedWord/>
      <trackRevisions>false</trackRevisions>
    </reviewItem>
    <reviewItem>
      <errorID>a3794818-73fe-4a43-885c-1e7f7a3990ee</errorID>
      <errorWord>法律、法规</errorWord>
      <group>L1_Word</group>
      <groupName>字词问题</groupName>
      <ability>L2_Typo</ability>
      <abilityName>字词错误</abilityName>
      <candidateList>
        <item>法律法规</item>
      </candidateList>
      <explain/>
      <paraID>14376E45</paraID>
      <start>34</start>
      <end>39</end>
      <status>ignored</status>
      <modifiedWord/>
      <trackRevisions>false</trackRevisions>
    </reviewItem>
    <reviewItem>
      <errorID>c7e8898f-3e05-486a-9353-98dfdfac2e3a</errorID>
      <errorWord>提高</errorWord>
      <group>L1_Grammar</group>
      <groupName>语法问题</groupName>
      <ability>L2_Grammar</ability>
      <abilityName>语法错误</abilityName>
      <candidateList>
        <item>增强</item>
      </candidateList>
      <explain>“提高～意识”搭配不当，建议修改为“增强～意识”。</explain>
      <paraID>1090973C</paraID>
      <start>88</start>
      <end>90</end>
      <status>modified</status>
      <modifiedWord>增强</modifiedWord>
      <trackRevisions>false</trackRevisions>
    </reviewItem>
    <reviewItem>
      <errorID>c25b81d9-d7e2-4113-b2c1-320d347a8368</errorID>
      <errorWord>覆</errorWord>
      <group>L1_Word</group>
      <groupName>字词问题</groupName>
      <ability>L2_Typo</ability>
      <abilityName>字词错误</abilityName>
      <candidateList>
        <item>覆盖</item>
      </candidateList>
      <explain>❶〈动〉遮盖：积雪～着地面。❷〈名〉指地面上的植物，对于土壤有保护作用：没有～，水土容易流失。</explain>
      <paraID>43FDD5CE</paraID>
      <start>138</start>
      <end>140</end>
      <status>modified</status>
      <modifiedWord>覆盖</modifiedWord>
      <trackRevisions>false</trackRevisions>
    </reviewItem>
    <reviewItem>
      <errorID>4f103022-abc3-47db-b2cb-2d9b4566d82f</errorID>
      <errorWord>。；</errorWord>
      <group>L1_Punc</group>
      <groupName>标点问题</groupName>
      <ability>L2_Punc_CN</ability>
      <abilityName>标点符号问题</abilityName>
      <candidateList>
        <item>。</item>
      </candidateList>
      <explain/>
      <paraID>2EB95A28</paraID>
      <start>78</start>
      <end>79</end>
      <status>modified</status>
      <modifiedWord>。</modifiedWord>
      <trackRevisions>false</trackRevisions>
    </reviewItem>
    <reviewItem>
      <errorID>531ad25f-ceae-4bf4-b3ba-31edc00481cc</errorID>
      <errorWord>设</errorWord>
      <group>L1_Word</group>
      <groupName>字词问题</groupName>
      <ability>L2_Typo</ability>
      <abilityName>字词错误</abilityName>
      <candidateList>
        <item>设置</item>
      </candidateList>
      <explain>〈动〉❶设立：这座剧院是为儿童～的。❷安放；安装：～障碍。</explain>
      <paraID> 27B8B18</paraID>
      <start>9</start>
      <end>10</end>
      <status>ignored</status>
      <modifiedWord/>
      <trackRevisions>false</trackRevisions>
    </reviewItem>
    <reviewItem>
      <errorID>08196ba5-9cb6-4f66-9dd9-3ad7c4470656</errorID>
      <errorWord>项目的</errorWord>
      <group>L1_Word</group>
      <groupName>字词问题</groupName>
      <ability>L2_Typo</ability>
      <abilityName>字词错误</abilityName>
      <candidateList>
        <item>项目</item>
      </candidateList>
      <explain>〈名〉事物分成的门类：服务～｜体育～｜建设～。</explain>
      <paraID>5FA5342B</paraID>
      <start>172</start>
      <end>175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a66b83-e3a3-48ab-ae97-5291f4fe6882}">
  <ds:schemaRefs/>
</ds:datastoreItem>
</file>

<file path=docProps/app.xml><?xml version="1.0" encoding="utf-8"?>
<Properties xmlns="http://schemas.openxmlformats.org/officeDocument/2006/extended-properties" xmlns:vt="http://schemas.openxmlformats.org/officeDocument/2006/docPropsVTypes">
  <Template>Normal.dot</Template>
  <Company>微软中国</Company>
  <Pages>11</Pages>
  <Words>2231</Words>
  <Characters>2497</Characters>
  <Lines>9</Lines>
  <Paragraphs>2</Paragraphs>
  <TotalTime>12</TotalTime>
  <ScaleCrop>false</ScaleCrop>
  <LinksUpToDate>false</LinksUpToDate>
  <CharactersWithSpaces>2501</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2020-12-24T09:42:00Z</dcterms:created>
  <dc:creator>lhj</dc:creator>
  <cp:lastModifiedBy>ℳ๓₯㎕.老街。</cp:lastModifiedBy>
  <cp:lastPrinted>2020-12-24T09:50:00Z</cp:lastPrinted>
  <dcterms:modified xsi:type="dcterms:W3CDTF">2026-09-08T12:04:41Z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28D7E24FEC394D4C9C1F7ECC6B32349B_13</vt:lpwstr>
  </property>
  <property fmtid="{D5CDD505-2E9C-101B-9397-08002B2CF9AE}" pid="4" name="KSOTemplateDocerSaveRecord">
    <vt:lpwstr>eyJoZGlkIjoiMDE5MzY4NTVmNWNkM2FiOTE3MzcxMWViN2E1MTkyMzYiLCJ1c2VySWQiOiI1MDc3ODA1MzIifQ==</vt:lpwstr>
  </property>
</Properties>
</file>