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F7329">
      <w:pPr>
        <w:pStyle w:val="76"/>
        <w:spacing w:after="120"/>
        <w:rPr>
          <w:rFonts w:ascii="Times New Roman" w:hAnsi="Times New Roman" w:eastAsia="宋体"/>
          <w:b/>
          <w:bCs/>
          <w:color w:val="000000"/>
        </w:rPr>
      </w:pPr>
      <w:bookmarkStart w:id="0" w:name="_Toc66545433"/>
      <w:r>
        <w:rPr>
          <w:rFonts w:ascii="Times New Roman" w:hAnsi="Times New Roman" w:eastAsia="宋体"/>
          <w:b/>
          <w:bCs/>
          <w:color w:val="000000"/>
        </w:rPr>
        <w:t>一、建设项目基本情况</w:t>
      </w:r>
      <w:bookmarkEnd w:id="0"/>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873"/>
        <w:gridCol w:w="2924"/>
        <w:gridCol w:w="1666"/>
        <w:gridCol w:w="3235"/>
      </w:tblGrid>
      <w:tr w14:paraId="5B86C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65" w:type="pct"/>
            <w:tcBorders>
              <w:tl2br w:val="nil"/>
              <w:tr2bl w:val="nil"/>
            </w:tcBorders>
            <w:vAlign w:val="center"/>
          </w:tcPr>
          <w:p w14:paraId="5101AA3C">
            <w:pPr>
              <w:spacing w:line="440" w:lineRule="exact"/>
              <w:jc w:val="center"/>
              <w:rPr>
                <w:rFonts w:ascii="Times New Roman" w:hAnsi="Times New Roman"/>
                <w:bCs/>
                <w:color w:val="000000"/>
                <w:sz w:val="24"/>
                <w:szCs w:val="24"/>
              </w:rPr>
            </w:pPr>
            <w:r>
              <w:rPr>
                <w:rFonts w:ascii="Times New Roman" w:hAnsi="Times New Roman"/>
                <w:bCs/>
                <w:color w:val="000000"/>
                <w:sz w:val="24"/>
                <w:szCs w:val="24"/>
              </w:rPr>
              <w:t>建设项目名称</w:t>
            </w:r>
          </w:p>
        </w:tc>
        <w:tc>
          <w:tcPr>
            <w:tcW w:w="4034" w:type="pct"/>
            <w:gridSpan w:val="3"/>
            <w:tcBorders>
              <w:tl2br w:val="nil"/>
              <w:tr2bl w:val="nil"/>
            </w:tcBorders>
            <w:vAlign w:val="center"/>
          </w:tcPr>
          <w:p w14:paraId="47EC9E6E">
            <w:pPr>
              <w:spacing w:line="440" w:lineRule="exact"/>
              <w:jc w:val="center"/>
              <w:rPr>
                <w:rFonts w:ascii="Times New Roman" w:hAnsi="Times New Roman"/>
                <w:color w:val="000000"/>
                <w:sz w:val="24"/>
                <w:szCs w:val="24"/>
                <w:lang w:eastAsia="zh-CN"/>
              </w:rPr>
            </w:pPr>
            <w:r>
              <w:rPr>
                <w:rFonts w:hint="eastAsia" w:ascii="Times New Roman" w:hAnsi="Times New Roman"/>
                <w:color w:val="000000"/>
                <w:sz w:val="24"/>
                <w:szCs w:val="24"/>
                <w:lang w:eastAsia="zh-CN"/>
              </w:rPr>
              <w:t>鄯善县宝昌矿业有限责任公司10万吨/年废渣综合利用项目</w:t>
            </w:r>
          </w:p>
        </w:tc>
      </w:tr>
      <w:tr w14:paraId="72A52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04" w:hRule="atLeast"/>
          <w:jc w:val="center"/>
        </w:trPr>
        <w:tc>
          <w:tcPr>
            <w:tcW w:w="965" w:type="pct"/>
            <w:tcBorders>
              <w:tl2br w:val="nil"/>
              <w:tr2bl w:val="nil"/>
            </w:tcBorders>
            <w:vAlign w:val="center"/>
          </w:tcPr>
          <w:p w14:paraId="3E504087">
            <w:pPr>
              <w:spacing w:line="440" w:lineRule="exact"/>
              <w:jc w:val="center"/>
              <w:rPr>
                <w:rFonts w:ascii="Times New Roman" w:hAnsi="Times New Roman"/>
                <w:bCs/>
                <w:color w:val="000000"/>
                <w:sz w:val="24"/>
                <w:szCs w:val="24"/>
              </w:rPr>
            </w:pPr>
            <w:r>
              <w:rPr>
                <w:rFonts w:ascii="Times New Roman" w:hAnsi="Times New Roman"/>
                <w:bCs/>
                <w:color w:val="000000"/>
                <w:sz w:val="24"/>
                <w:szCs w:val="24"/>
              </w:rPr>
              <w:t>国民经济</w:t>
            </w:r>
          </w:p>
          <w:p w14:paraId="27C84A2B">
            <w:pPr>
              <w:spacing w:line="440" w:lineRule="exact"/>
              <w:jc w:val="center"/>
              <w:rPr>
                <w:rFonts w:ascii="Times New Roman" w:hAnsi="Times New Roman"/>
                <w:bCs/>
                <w:color w:val="000000"/>
                <w:sz w:val="24"/>
                <w:szCs w:val="24"/>
                <w:lang w:eastAsia="zh-CN"/>
              </w:rPr>
            </w:pPr>
            <w:r>
              <w:rPr>
                <w:rFonts w:ascii="Times New Roman" w:hAnsi="Times New Roman"/>
                <w:bCs/>
                <w:color w:val="000000"/>
                <w:sz w:val="24"/>
                <w:szCs w:val="24"/>
              </w:rPr>
              <w:t>行业类别</w:t>
            </w:r>
          </w:p>
        </w:tc>
        <w:tc>
          <w:tcPr>
            <w:tcW w:w="1507" w:type="pct"/>
            <w:tcBorders>
              <w:tl2br w:val="nil"/>
              <w:tr2bl w:val="nil"/>
            </w:tcBorders>
            <w:vAlign w:val="center"/>
          </w:tcPr>
          <w:p w14:paraId="49D22644">
            <w:pPr>
              <w:spacing w:line="440" w:lineRule="exact"/>
              <w:jc w:val="center"/>
              <w:rPr>
                <w:rFonts w:ascii="Times New Roman" w:hAnsi="Times New Roman"/>
                <w:color w:val="000000"/>
                <w:sz w:val="24"/>
                <w:szCs w:val="24"/>
                <w:lang w:eastAsia="zh-CN"/>
              </w:rPr>
            </w:pPr>
            <w:r>
              <w:rPr>
                <w:rFonts w:hint="eastAsia" w:ascii="Times New Roman" w:hAnsi="Times New Roman"/>
                <w:color w:val="000000"/>
                <w:sz w:val="24"/>
                <w:szCs w:val="24"/>
                <w:lang w:eastAsia="zh-CN"/>
              </w:rPr>
              <w:t>C4210 金属废料和碎屑加工处理</w:t>
            </w:r>
          </w:p>
        </w:tc>
        <w:tc>
          <w:tcPr>
            <w:tcW w:w="858" w:type="pct"/>
            <w:tcBorders>
              <w:tl2br w:val="nil"/>
              <w:tr2bl w:val="nil"/>
            </w:tcBorders>
            <w:vAlign w:val="center"/>
          </w:tcPr>
          <w:p w14:paraId="1E12E5F5">
            <w:pPr>
              <w:spacing w:line="440" w:lineRule="exact"/>
              <w:jc w:val="center"/>
              <w:rPr>
                <w:rFonts w:ascii="Times New Roman" w:hAnsi="Times New Roman"/>
                <w:bCs/>
                <w:color w:val="000000"/>
                <w:sz w:val="24"/>
                <w:szCs w:val="24"/>
              </w:rPr>
            </w:pPr>
            <w:r>
              <w:rPr>
                <w:rFonts w:ascii="Times New Roman" w:hAnsi="Times New Roman"/>
                <w:bCs/>
                <w:color w:val="000000"/>
                <w:sz w:val="24"/>
                <w:szCs w:val="24"/>
              </w:rPr>
              <w:t>建设项目</w:t>
            </w:r>
          </w:p>
          <w:p w14:paraId="560CA705">
            <w:pPr>
              <w:spacing w:line="440" w:lineRule="exact"/>
              <w:jc w:val="center"/>
              <w:rPr>
                <w:rFonts w:ascii="Times New Roman" w:hAnsi="Times New Roman"/>
                <w:bCs/>
                <w:color w:val="000000"/>
                <w:sz w:val="24"/>
                <w:szCs w:val="24"/>
                <w:lang w:eastAsia="zh-CN"/>
              </w:rPr>
            </w:pPr>
            <w:r>
              <w:rPr>
                <w:rFonts w:ascii="Times New Roman" w:hAnsi="Times New Roman"/>
                <w:bCs/>
                <w:color w:val="000000"/>
                <w:sz w:val="24"/>
                <w:szCs w:val="24"/>
              </w:rPr>
              <w:t>行业类别</w:t>
            </w:r>
          </w:p>
        </w:tc>
        <w:tc>
          <w:tcPr>
            <w:tcW w:w="1667" w:type="pct"/>
            <w:tcBorders>
              <w:tl2br w:val="nil"/>
              <w:tr2bl w:val="nil"/>
            </w:tcBorders>
            <w:vAlign w:val="center"/>
          </w:tcPr>
          <w:p w14:paraId="3E703B71">
            <w:pPr>
              <w:spacing w:line="440" w:lineRule="exact"/>
              <w:jc w:val="center"/>
              <w:rPr>
                <w:rFonts w:ascii="Times New Roman" w:hAnsi="Times New Roman"/>
                <w:color w:val="000000"/>
                <w:sz w:val="24"/>
                <w:szCs w:val="24"/>
                <w:lang w:eastAsia="zh-CN"/>
              </w:rPr>
            </w:pPr>
            <w:r>
              <w:rPr>
                <w:rFonts w:hint="eastAsia" w:ascii="Times New Roman" w:hAnsi="Times New Roman"/>
                <w:color w:val="000000"/>
                <w:sz w:val="24"/>
                <w:szCs w:val="24"/>
                <w:lang w:eastAsia="zh-CN"/>
              </w:rPr>
              <w:t>三十九</w:t>
            </w:r>
            <w:r>
              <w:rPr>
                <w:rFonts w:ascii="Times New Roman" w:hAnsi="Times New Roman"/>
                <w:color w:val="000000"/>
                <w:sz w:val="24"/>
                <w:szCs w:val="24"/>
                <w:lang w:eastAsia="zh-CN"/>
              </w:rPr>
              <w:t>、</w:t>
            </w:r>
            <w:r>
              <w:rPr>
                <w:rFonts w:hint="eastAsia" w:ascii="Times New Roman" w:hAnsi="Times New Roman"/>
                <w:color w:val="000000"/>
                <w:sz w:val="24"/>
                <w:szCs w:val="24"/>
                <w:lang w:eastAsia="zh-CN"/>
              </w:rPr>
              <w:t>废弃资源综合利用业42/85金属废料和碎屑加工处理421</w:t>
            </w:r>
          </w:p>
        </w:tc>
      </w:tr>
      <w:tr w14:paraId="764E1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65" w:type="pct"/>
            <w:tcBorders>
              <w:tl2br w:val="nil"/>
              <w:tr2bl w:val="nil"/>
            </w:tcBorders>
            <w:vAlign w:val="center"/>
          </w:tcPr>
          <w:p w14:paraId="498FA06D">
            <w:pPr>
              <w:spacing w:line="440" w:lineRule="exact"/>
              <w:jc w:val="center"/>
              <w:rPr>
                <w:rFonts w:ascii="Times New Roman" w:hAnsi="Times New Roman"/>
                <w:bCs/>
                <w:color w:val="000000"/>
                <w:sz w:val="24"/>
                <w:szCs w:val="24"/>
                <w:lang w:eastAsia="zh-CN"/>
              </w:rPr>
            </w:pPr>
            <w:r>
              <w:rPr>
                <w:rFonts w:ascii="Times New Roman" w:hAnsi="Times New Roman"/>
                <w:bCs/>
                <w:color w:val="000000"/>
                <w:sz w:val="24"/>
                <w:szCs w:val="24"/>
                <w:lang w:eastAsia="zh-CN"/>
              </w:rPr>
              <w:t>规划情况</w:t>
            </w:r>
          </w:p>
        </w:tc>
        <w:tc>
          <w:tcPr>
            <w:tcW w:w="4034" w:type="pct"/>
            <w:gridSpan w:val="3"/>
            <w:tcBorders>
              <w:tl2br w:val="nil"/>
              <w:tr2bl w:val="nil"/>
            </w:tcBorders>
            <w:vAlign w:val="center"/>
          </w:tcPr>
          <w:p w14:paraId="260A5AE7">
            <w:pPr>
              <w:pStyle w:val="67"/>
              <w:adjustRightInd/>
              <w:snapToGrid/>
              <w:ind w:firstLine="0" w:firstLineChars="0"/>
              <w:jc w:val="center"/>
              <w:rPr>
                <w:color w:val="000000"/>
              </w:rPr>
            </w:pPr>
            <w:r>
              <w:rPr>
                <w:rFonts w:hint="eastAsia"/>
                <w:color w:val="000000"/>
              </w:rPr>
              <w:t>无</w:t>
            </w:r>
          </w:p>
        </w:tc>
      </w:tr>
      <w:tr w14:paraId="70DBB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65" w:type="pct"/>
            <w:tcBorders>
              <w:tl2br w:val="nil"/>
              <w:tr2bl w:val="nil"/>
            </w:tcBorders>
            <w:vAlign w:val="center"/>
          </w:tcPr>
          <w:p w14:paraId="2D37E516">
            <w:pPr>
              <w:spacing w:line="440" w:lineRule="exact"/>
              <w:jc w:val="center"/>
              <w:rPr>
                <w:rFonts w:ascii="Times New Roman" w:hAnsi="Times New Roman"/>
                <w:bCs/>
                <w:color w:val="000000"/>
                <w:sz w:val="24"/>
                <w:szCs w:val="24"/>
                <w:lang w:eastAsia="zh-CN"/>
              </w:rPr>
            </w:pPr>
            <w:r>
              <w:rPr>
                <w:rFonts w:ascii="Times New Roman" w:hAnsi="Times New Roman"/>
                <w:bCs/>
                <w:color w:val="000000"/>
                <w:sz w:val="24"/>
                <w:szCs w:val="24"/>
                <w:lang w:eastAsia="zh-CN"/>
              </w:rPr>
              <w:t>规划环境影响评价情况</w:t>
            </w:r>
          </w:p>
        </w:tc>
        <w:tc>
          <w:tcPr>
            <w:tcW w:w="4034" w:type="pct"/>
            <w:gridSpan w:val="3"/>
            <w:tcBorders>
              <w:tl2br w:val="nil"/>
              <w:tr2bl w:val="nil"/>
            </w:tcBorders>
            <w:vAlign w:val="center"/>
          </w:tcPr>
          <w:p w14:paraId="545C37F6">
            <w:pPr>
              <w:pStyle w:val="67"/>
              <w:adjustRightInd/>
              <w:snapToGrid/>
              <w:ind w:firstLine="0" w:firstLineChars="0"/>
              <w:jc w:val="center"/>
              <w:rPr>
                <w:color w:val="000000"/>
              </w:rPr>
            </w:pPr>
            <w:r>
              <w:rPr>
                <w:rFonts w:hint="eastAsia"/>
                <w:color w:val="000000"/>
              </w:rPr>
              <w:t>无</w:t>
            </w:r>
          </w:p>
        </w:tc>
      </w:tr>
      <w:tr w14:paraId="38EF29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965" w:type="pct"/>
            <w:tcBorders>
              <w:tl2br w:val="nil"/>
              <w:tr2bl w:val="nil"/>
            </w:tcBorders>
            <w:vAlign w:val="center"/>
          </w:tcPr>
          <w:p w14:paraId="37089029">
            <w:pPr>
              <w:spacing w:line="440" w:lineRule="exact"/>
              <w:jc w:val="center"/>
              <w:rPr>
                <w:rFonts w:ascii="Times New Roman" w:hAnsi="Times New Roman"/>
                <w:bCs/>
                <w:color w:val="000000"/>
                <w:sz w:val="24"/>
                <w:szCs w:val="24"/>
                <w:lang w:eastAsia="zh-CN"/>
              </w:rPr>
            </w:pPr>
            <w:r>
              <w:rPr>
                <w:rFonts w:ascii="Times New Roman" w:hAnsi="Times New Roman"/>
                <w:bCs/>
                <w:color w:val="000000"/>
                <w:sz w:val="24"/>
                <w:szCs w:val="24"/>
                <w:lang w:eastAsia="zh-CN"/>
              </w:rPr>
              <w:t>规划及规划环境影响评价符合性分析</w:t>
            </w:r>
          </w:p>
        </w:tc>
        <w:tc>
          <w:tcPr>
            <w:tcW w:w="4034" w:type="pct"/>
            <w:gridSpan w:val="3"/>
            <w:tcBorders>
              <w:tl2br w:val="nil"/>
              <w:tr2bl w:val="nil"/>
            </w:tcBorders>
            <w:vAlign w:val="center"/>
          </w:tcPr>
          <w:p w14:paraId="5E8F424B">
            <w:pPr>
              <w:pStyle w:val="67"/>
              <w:adjustRightInd/>
              <w:snapToGrid/>
              <w:ind w:firstLine="0" w:firstLineChars="0"/>
              <w:jc w:val="center"/>
              <w:rPr>
                <w:color w:val="000000"/>
              </w:rPr>
            </w:pPr>
            <w:r>
              <w:rPr>
                <w:rFonts w:hint="eastAsia"/>
                <w:color w:val="000000"/>
              </w:rPr>
              <w:t>无</w:t>
            </w:r>
          </w:p>
        </w:tc>
      </w:tr>
    </w:tbl>
    <w:p w14:paraId="62BC73A5">
      <w:pPr>
        <w:rPr>
          <w:rFonts w:ascii="Times New Roman" w:hAnsi="Times New Roman"/>
          <w:b/>
          <w:bCs/>
          <w:color w:val="000000"/>
          <w:lang w:eastAsia="zh-CN"/>
        </w:rPr>
      </w:pPr>
      <w:bookmarkStart w:id="1" w:name="_Toc66545434"/>
      <w:r>
        <w:rPr>
          <w:rFonts w:ascii="Times New Roman" w:hAnsi="Times New Roman"/>
          <w:b/>
          <w:bCs/>
          <w:color w:val="000000"/>
          <w:lang w:eastAsia="zh-CN"/>
        </w:rPr>
        <w:br w:type="page"/>
      </w:r>
    </w:p>
    <w:p w14:paraId="72AD5D7A">
      <w:pPr>
        <w:pStyle w:val="76"/>
        <w:spacing w:after="120"/>
        <w:rPr>
          <w:rFonts w:ascii="Times New Roman" w:hAnsi="Times New Roman" w:eastAsia="宋体"/>
          <w:b/>
          <w:bCs/>
          <w:color w:val="000000"/>
        </w:rPr>
      </w:pPr>
      <w:r>
        <w:rPr>
          <w:rFonts w:ascii="Times New Roman" w:hAnsi="Times New Roman" w:eastAsia="宋体"/>
          <w:b/>
          <w:bCs/>
          <w:color w:val="000000"/>
        </w:rPr>
        <w:t>二、建设项目工程分析</w:t>
      </w:r>
      <w:bookmarkEnd w:id="1"/>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731"/>
        <w:gridCol w:w="8967"/>
      </w:tblGrid>
      <w:tr w14:paraId="02538F6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90" w:hRule="atLeast"/>
          <w:jc w:val="center"/>
        </w:trPr>
        <w:tc>
          <w:tcPr>
            <w:tcW w:w="376" w:type="pct"/>
            <w:vAlign w:val="center"/>
          </w:tcPr>
          <w:p w14:paraId="7FE7F7AB">
            <w:pPr>
              <w:spacing w:line="360" w:lineRule="auto"/>
              <w:jc w:val="center"/>
              <w:rPr>
                <w:rFonts w:ascii="Times New Roman" w:hAnsi="Times New Roman"/>
                <w:color w:val="000000"/>
                <w:sz w:val="24"/>
                <w:szCs w:val="24"/>
              </w:rPr>
            </w:pPr>
            <w:r>
              <w:rPr>
                <w:rFonts w:hint="eastAsia" w:ascii="Times New Roman" w:hAnsi="Times New Roman"/>
                <w:color w:val="000000"/>
                <w:sz w:val="24"/>
                <w:szCs w:val="24"/>
              </w:rPr>
              <w:t>建设</w:t>
            </w:r>
            <w:r>
              <w:rPr>
                <w:rFonts w:hint="eastAsia" w:ascii="Times New Roman" w:hAnsi="Times New Roman"/>
                <w:color w:val="000000"/>
                <w:sz w:val="24"/>
                <w:szCs w:val="24"/>
                <w:lang w:eastAsia="zh-CN"/>
              </w:rPr>
              <w:t xml:space="preserve"> </w:t>
            </w:r>
            <w:r>
              <w:rPr>
                <w:rFonts w:hint="eastAsia" w:ascii="Times New Roman" w:hAnsi="Times New Roman"/>
                <w:color w:val="000000"/>
                <w:sz w:val="24"/>
                <w:szCs w:val="24"/>
              </w:rPr>
              <w:t>内容</w:t>
            </w:r>
          </w:p>
        </w:tc>
        <w:tc>
          <w:tcPr>
            <w:tcW w:w="4623" w:type="pct"/>
            <w:vAlign w:val="center"/>
          </w:tcPr>
          <w:p w14:paraId="76768ED6">
            <w:pPr>
              <w:pStyle w:val="69"/>
              <w:spacing w:line="360" w:lineRule="auto"/>
              <w:rPr>
                <w:rFonts w:eastAsia="宋体"/>
                <w:color w:val="000000"/>
              </w:rPr>
            </w:pPr>
          </w:p>
          <w:p w14:paraId="3D52A52C">
            <w:pPr>
              <w:spacing w:line="360" w:lineRule="auto"/>
              <w:ind w:firstLine="482" w:firstLineChars="200"/>
              <w:rPr>
                <w:rFonts w:ascii="Times New Roman" w:hAnsi="Times New Roman" w:cs="宋体"/>
                <w:b/>
                <w:color w:val="000000"/>
                <w:sz w:val="24"/>
                <w:lang w:eastAsia="zh-CN"/>
              </w:rPr>
            </w:pPr>
            <w:r>
              <w:rPr>
                <w:rFonts w:hint="eastAsia" w:ascii="Times New Roman" w:hAnsi="Times New Roman" w:cs="宋体"/>
                <w:b/>
                <w:iCs/>
                <w:color w:val="000000"/>
                <w:sz w:val="24"/>
                <w:lang w:eastAsia="zh-CN"/>
              </w:rPr>
              <w:t>1、项目名称、地点、建设单位及性质</w:t>
            </w:r>
          </w:p>
          <w:p w14:paraId="26976586">
            <w:pPr>
              <w:spacing w:line="360" w:lineRule="auto"/>
              <w:ind w:firstLine="482" w:firstLineChars="200"/>
              <w:rPr>
                <w:rFonts w:ascii="Times New Roman" w:hAnsi="Times New Roman" w:cs="宋体"/>
                <w:bCs/>
                <w:iCs/>
                <w:color w:val="000000"/>
                <w:sz w:val="24"/>
                <w:lang w:eastAsia="zh-CN"/>
              </w:rPr>
            </w:pPr>
            <w:r>
              <w:rPr>
                <w:rFonts w:hint="eastAsia" w:ascii="Times New Roman" w:hAnsi="Times New Roman" w:cs="宋体"/>
                <w:b/>
                <w:iCs/>
                <w:color w:val="000000"/>
                <w:sz w:val="24"/>
                <w:lang w:eastAsia="zh-CN"/>
              </w:rPr>
              <w:t>项目名称：</w:t>
            </w:r>
            <w:r>
              <w:rPr>
                <w:rFonts w:hint="eastAsia" w:ascii="Times New Roman" w:hAnsi="Times New Roman" w:cs="宋体"/>
                <w:bCs/>
                <w:iCs/>
                <w:color w:val="000000"/>
                <w:sz w:val="24"/>
                <w:lang w:eastAsia="zh-CN"/>
              </w:rPr>
              <w:t>鄯善县宝昌矿业有限责任公司10万吨/年废渣综合利用项目；</w:t>
            </w:r>
          </w:p>
          <w:p w14:paraId="2AFB4906">
            <w:pPr>
              <w:spacing w:line="360" w:lineRule="auto"/>
              <w:ind w:firstLine="482" w:firstLineChars="200"/>
              <w:rPr>
                <w:rFonts w:ascii="Times New Roman" w:hAnsi="Times New Roman" w:cs="宋体"/>
                <w:iCs/>
                <w:color w:val="000000"/>
                <w:sz w:val="24"/>
                <w:lang w:eastAsia="zh-CN"/>
              </w:rPr>
            </w:pPr>
            <w:r>
              <w:rPr>
                <w:rFonts w:hint="eastAsia" w:ascii="Times New Roman" w:hAnsi="Times New Roman" w:cs="宋体"/>
                <w:b/>
                <w:iCs/>
                <w:color w:val="000000"/>
                <w:sz w:val="24"/>
                <w:lang w:eastAsia="zh-CN"/>
              </w:rPr>
              <w:t>建设单位：</w:t>
            </w:r>
            <w:r>
              <w:rPr>
                <w:rFonts w:hint="eastAsia" w:ascii="Times New Roman" w:hAnsi="Times New Roman" w:cs="宋体"/>
                <w:bCs/>
                <w:iCs/>
                <w:color w:val="000000"/>
                <w:sz w:val="24"/>
                <w:lang w:eastAsia="zh-CN"/>
              </w:rPr>
              <w:t>鄯善县宝昌矿业有限责任公司；</w:t>
            </w:r>
          </w:p>
          <w:p w14:paraId="30E0CEFA">
            <w:pPr>
              <w:spacing w:line="360" w:lineRule="auto"/>
              <w:ind w:firstLine="482" w:firstLineChars="200"/>
              <w:rPr>
                <w:rFonts w:ascii="Times New Roman" w:hAnsi="Times New Roman" w:cs="宋体"/>
                <w:b/>
                <w:iCs/>
                <w:color w:val="000000"/>
                <w:sz w:val="24"/>
                <w:lang w:eastAsia="zh-CN"/>
              </w:rPr>
            </w:pPr>
            <w:r>
              <w:rPr>
                <w:rFonts w:hint="eastAsia" w:ascii="Times New Roman" w:hAnsi="Times New Roman" w:cs="宋体"/>
                <w:b/>
                <w:iCs/>
                <w:color w:val="000000"/>
                <w:sz w:val="24"/>
                <w:lang w:eastAsia="zh-CN"/>
              </w:rPr>
              <w:t>2、建设内容</w:t>
            </w:r>
          </w:p>
          <w:p w14:paraId="3B712469">
            <w:pPr>
              <w:spacing w:line="360" w:lineRule="auto"/>
              <w:ind w:firstLine="480" w:firstLineChars="200"/>
              <w:jc w:val="both"/>
              <w:rPr>
                <w:rFonts w:ascii="Times New Roman" w:hAnsi="Times New Roman"/>
                <w:sz w:val="24"/>
                <w:szCs w:val="24"/>
                <w:lang w:eastAsia="zh-CN"/>
              </w:rPr>
            </w:pPr>
            <w:r>
              <w:rPr>
                <w:rFonts w:hint="eastAsia" w:ascii="Times New Roman" w:hAnsi="Times New Roman"/>
                <w:sz w:val="24"/>
                <w:szCs w:val="24"/>
                <w:lang w:eastAsia="zh-CN"/>
              </w:rPr>
              <w:t>新购筛选设备、重选设备、浮选设备、压滤设备等，在租赁区域露天空地建设一条10万吨/年废渣综合利用生产线，同时新建上料车间、给料仓、浮选药剂间等</w:t>
            </w:r>
            <w:r>
              <w:rPr>
                <w:rFonts w:hint="eastAsia"/>
                <w:lang w:eastAsia="zh-CN"/>
              </w:rPr>
              <w:t>。</w:t>
            </w:r>
            <w:r>
              <w:rPr>
                <w:rFonts w:hint="eastAsia"/>
                <w:sz w:val="24"/>
                <w:szCs w:val="24"/>
                <w:lang w:eastAsia="zh-CN"/>
              </w:rPr>
              <w:t>其他</w:t>
            </w:r>
            <w:r>
              <w:rPr>
                <w:rFonts w:hint="eastAsia" w:ascii="Times New Roman" w:hAnsi="Times New Roman"/>
                <w:sz w:val="24"/>
                <w:szCs w:val="24"/>
                <w:lang w:eastAsia="zh-CN"/>
              </w:rPr>
              <w:t>产品料仓、员工宿舍、配电室等利用租赁区原有建筑物。</w:t>
            </w:r>
          </w:p>
          <w:p w14:paraId="7E8EB6F1">
            <w:pPr>
              <w:pStyle w:val="69"/>
              <w:spacing w:line="360" w:lineRule="auto"/>
              <w:rPr>
                <w:rFonts w:eastAsia="宋体"/>
                <w:color w:val="000000"/>
              </w:rPr>
            </w:pPr>
            <w:r>
              <w:rPr>
                <w:rFonts w:hint="eastAsia" w:eastAsia="宋体"/>
                <w:color w:val="000000"/>
              </w:rPr>
              <w:t>（三）项目组成</w:t>
            </w:r>
          </w:p>
          <w:p w14:paraId="440D43D8">
            <w:pPr>
              <w:pStyle w:val="69"/>
              <w:spacing w:line="240" w:lineRule="auto"/>
              <w:ind w:firstLine="480" w:firstLineChars="200"/>
              <w:rPr>
                <w:rFonts w:eastAsia="宋体"/>
                <w:b w:val="0"/>
                <w:bCs/>
                <w:color w:val="000000"/>
              </w:rPr>
            </w:pPr>
            <w:r>
              <w:rPr>
                <w:rFonts w:hint="eastAsia" w:eastAsia="宋体"/>
                <w:b w:val="0"/>
                <w:bCs/>
                <w:color w:val="000000"/>
              </w:rPr>
              <w:t>本项目组成情况见下表。</w:t>
            </w:r>
          </w:p>
          <w:p w14:paraId="4BF09EE4">
            <w:pPr>
              <w:pStyle w:val="69"/>
              <w:spacing w:line="240" w:lineRule="auto"/>
              <w:jc w:val="center"/>
              <w:rPr>
                <w:rFonts w:eastAsia="宋体"/>
                <w:color w:val="000000"/>
                <w:sz w:val="21"/>
                <w:szCs w:val="21"/>
              </w:rPr>
            </w:pPr>
            <w:r>
              <w:rPr>
                <w:rFonts w:hint="eastAsia" w:eastAsia="宋体"/>
                <w:color w:val="000000"/>
                <w:sz w:val="21"/>
                <w:szCs w:val="21"/>
              </w:rPr>
              <w:t>表2-1  项目组成一览表</w:t>
            </w:r>
          </w:p>
          <w:tbl>
            <w:tblPr>
              <w:tblStyle w:val="26"/>
              <w:tblW w:w="46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978"/>
              <w:gridCol w:w="605"/>
              <w:gridCol w:w="952"/>
              <w:gridCol w:w="5791"/>
            </w:tblGrid>
            <w:tr w14:paraId="1E17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587" w:type="pct"/>
                  <w:vAlign w:val="center"/>
                </w:tcPr>
                <w:p w14:paraId="690C8078">
                  <w:pPr>
                    <w:pStyle w:val="62"/>
                    <w:spacing w:line="288" w:lineRule="auto"/>
                    <w:ind w:left="0"/>
                    <w:rPr>
                      <w:rFonts w:ascii="Times New Roman" w:hAnsi="Times New Roman"/>
                      <w:b/>
                      <w:bCs/>
                      <w:color w:val="000000"/>
                      <w:szCs w:val="21"/>
                      <w:lang w:eastAsia="zh-CN"/>
                    </w:rPr>
                  </w:pPr>
                  <w:r>
                    <w:rPr>
                      <w:rFonts w:hint="eastAsia" w:ascii="Times New Roman" w:hAnsi="Times New Roman"/>
                      <w:b/>
                      <w:bCs/>
                      <w:color w:val="000000"/>
                      <w:szCs w:val="21"/>
                      <w:lang w:eastAsia="zh-CN"/>
                    </w:rPr>
                    <w:t>类别</w:t>
                  </w:r>
                </w:p>
              </w:tc>
              <w:tc>
                <w:tcPr>
                  <w:tcW w:w="934" w:type="pct"/>
                  <w:gridSpan w:val="2"/>
                  <w:vAlign w:val="center"/>
                </w:tcPr>
                <w:p w14:paraId="1FA96E29">
                  <w:pPr>
                    <w:pStyle w:val="62"/>
                    <w:spacing w:line="288" w:lineRule="auto"/>
                    <w:ind w:left="0"/>
                    <w:rPr>
                      <w:rFonts w:ascii="Times New Roman" w:hAnsi="Times New Roman"/>
                      <w:b/>
                      <w:bCs/>
                      <w:color w:val="000000"/>
                      <w:szCs w:val="21"/>
                      <w:lang w:eastAsia="zh-CN"/>
                    </w:rPr>
                  </w:pPr>
                  <w:r>
                    <w:rPr>
                      <w:rFonts w:hint="eastAsia" w:ascii="Times New Roman" w:hAnsi="Times New Roman"/>
                      <w:b/>
                      <w:bCs/>
                      <w:color w:val="000000"/>
                      <w:szCs w:val="21"/>
                      <w:lang w:eastAsia="zh-CN"/>
                    </w:rPr>
                    <w:t>项目</w:t>
                  </w:r>
                </w:p>
              </w:tc>
              <w:tc>
                <w:tcPr>
                  <w:tcW w:w="3477" w:type="pct"/>
                  <w:vAlign w:val="center"/>
                </w:tcPr>
                <w:p w14:paraId="41F3EA52">
                  <w:pPr>
                    <w:pStyle w:val="62"/>
                    <w:spacing w:line="288" w:lineRule="auto"/>
                    <w:ind w:left="0"/>
                    <w:rPr>
                      <w:rFonts w:ascii="Times New Roman" w:hAnsi="Times New Roman"/>
                      <w:b/>
                      <w:bCs/>
                      <w:color w:val="000000"/>
                      <w:szCs w:val="21"/>
                      <w:lang w:eastAsia="zh-CN"/>
                    </w:rPr>
                  </w:pPr>
                  <w:r>
                    <w:rPr>
                      <w:rFonts w:hint="eastAsia" w:ascii="Times New Roman" w:hAnsi="Times New Roman"/>
                      <w:b/>
                      <w:bCs/>
                      <w:color w:val="000000"/>
                      <w:szCs w:val="21"/>
                      <w:lang w:eastAsia="zh-CN"/>
                    </w:rPr>
                    <w:t>建设内容</w:t>
                  </w:r>
                </w:p>
              </w:tc>
            </w:tr>
            <w:tr w14:paraId="43F6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76" w:hRule="atLeast"/>
                <w:jc w:val="center"/>
              </w:trPr>
              <w:tc>
                <w:tcPr>
                  <w:tcW w:w="587" w:type="pct"/>
                  <w:vMerge w:val="restart"/>
                  <w:vAlign w:val="center"/>
                </w:tcPr>
                <w:p w14:paraId="73A85716">
                  <w:pPr>
                    <w:pStyle w:val="62"/>
                    <w:spacing w:line="300" w:lineRule="auto"/>
                    <w:ind w:left="0"/>
                    <w:rPr>
                      <w:rFonts w:ascii="Times New Roman" w:hAnsi="Times New Roman"/>
                      <w:color w:val="000000"/>
                      <w:szCs w:val="21"/>
                    </w:rPr>
                  </w:pPr>
                  <w:r>
                    <w:rPr>
                      <w:rFonts w:ascii="Times New Roman" w:hAnsi="Times New Roman"/>
                      <w:color w:val="000000"/>
                      <w:szCs w:val="21"/>
                    </w:rPr>
                    <w:t>主体工程</w:t>
                  </w:r>
                </w:p>
              </w:tc>
              <w:tc>
                <w:tcPr>
                  <w:tcW w:w="934" w:type="pct"/>
                  <w:gridSpan w:val="2"/>
                  <w:vAlign w:val="center"/>
                </w:tcPr>
                <w:p w14:paraId="1C21CFE5">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筛选生产线</w:t>
                  </w:r>
                </w:p>
              </w:tc>
              <w:tc>
                <w:tcPr>
                  <w:tcW w:w="3477" w:type="pct"/>
                  <w:vAlign w:val="center"/>
                </w:tcPr>
                <w:p w14:paraId="5831430E">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1条筛选生产线（露天），配备1台无轴滚筒筛。</w:t>
                  </w:r>
                </w:p>
              </w:tc>
            </w:tr>
            <w:tr w14:paraId="1697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9" w:hRule="atLeast"/>
                <w:jc w:val="center"/>
              </w:trPr>
              <w:tc>
                <w:tcPr>
                  <w:tcW w:w="587" w:type="pct"/>
                  <w:vMerge w:val="continue"/>
                  <w:vAlign w:val="center"/>
                </w:tcPr>
                <w:p w14:paraId="5DE188D5">
                  <w:pPr>
                    <w:pStyle w:val="62"/>
                    <w:spacing w:line="300" w:lineRule="auto"/>
                    <w:ind w:left="0"/>
                    <w:rPr>
                      <w:rFonts w:ascii="Times New Roman" w:hAnsi="Times New Roman"/>
                      <w:color w:val="000000"/>
                      <w:szCs w:val="21"/>
                    </w:rPr>
                  </w:pPr>
                </w:p>
              </w:tc>
              <w:tc>
                <w:tcPr>
                  <w:tcW w:w="934" w:type="pct"/>
                  <w:gridSpan w:val="2"/>
                  <w:vAlign w:val="center"/>
                </w:tcPr>
                <w:p w14:paraId="304B4E43">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重选生产线</w:t>
                  </w:r>
                </w:p>
              </w:tc>
              <w:tc>
                <w:tcPr>
                  <w:tcW w:w="3477" w:type="pct"/>
                  <w:vAlign w:val="center"/>
                </w:tcPr>
                <w:p w14:paraId="540635FB">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1条重选生产线（露天），配备8台螺旋溜槽。</w:t>
                  </w:r>
                </w:p>
              </w:tc>
            </w:tr>
            <w:tr w14:paraId="33FF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49" w:hRule="atLeast"/>
                <w:jc w:val="center"/>
              </w:trPr>
              <w:tc>
                <w:tcPr>
                  <w:tcW w:w="587" w:type="pct"/>
                  <w:vMerge w:val="continue"/>
                  <w:vAlign w:val="center"/>
                </w:tcPr>
                <w:p w14:paraId="3AF8C325">
                  <w:pPr>
                    <w:pStyle w:val="62"/>
                    <w:spacing w:line="300" w:lineRule="auto"/>
                    <w:ind w:left="0"/>
                    <w:rPr>
                      <w:rFonts w:ascii="Times New Roman" w:hAnsi="Times New Roman"/>
                      <w:color w:val="000000"/>
                      <w:szCs w:val="21"/>
                    </w:rPr>
                  </w:pPr>
                </w:p>
              </w:tc>
              <w:tc>
                <w:tcPr>
                  <w:tcW w:w="934" w:type="pct"/>
                  <w:gridSpan w:val="2"/>
                  <w:vAlign w:val="center"/>
                </w:tcPr>
                <w:p w14:paraId="74633396">
                  <w:pPr>
                    <w:pStyle w:val="10"/>
                    <w:adjustRightInd w:val="0"/>
                    <w:snapToGrid w:val="0"/>
                    <w:spacing w:line="300" w:lineRule="auto"/>
                    <w:ind w:firstLine="0" w:firstLineChars="0"/>
                    <w:jc w:val="center"/>
                    <w:rPr>
                      <w:rFonts w:ascii="Times New Roman" w:hAnsi="Times New Roman"/>
                      <w:color w:val="000000"/>
                      <w:sz w:val="21"/>
                      <w:szCs w:val="21"/>
                      <w:lang w:eastAsia="zh-CN"/>
                    </w:rPr>
                  </w:pPr>
                  <w:r>
                    <w:rPr>
                      <w:rFonts w:hint="eastAsia" w:ascii="Times New Roman" w:hAnsi="Times New Roman"/>
                      <w:bCs/>
                      <w:color w:val="000000"/>
                      <w:sz w:val="21"/>
                      <w:szCs w:val="21"/>
                      <w:lang w:eastAsia="zh-CN"/>
                    </w:rPr>
                    <w:t>浮选生产线</w:t>
                  </w:r>
                </w:p>
              </w:tc>
              <w:tc>
                <w:tcPr>
                  <w:tcW w:w="3477" w:type="pct"/>
                  <w:vAlign w:val="center"/>
                </w:tcPr>
                <w:p w14:paraId="1CBEF6D5">
                  <w:pPr>
                    <w:pStyle w:val="10"/>
                    <w:adjustRightInd w:val="0"/>
                    <w:snapToGrid w:val="0"/>
                    <w:spacing w:line="300" w:lineRule="auto"/>
                    <w:ind w:firstLine="210" w:firstLineChars="100"/>
                    <w:jc w:val="both"/>
                    <w:rPr>
                      <w:rFonts w:ascii="Times New Roman" w:hAnsi="Times New Roman"/>
                      <w:color w:val="000000"/>
                      <w:sz w:val="21"/>
                      <w:szCs w:val="21"/>
                      <w:lang w:eastAsia="zh-CN"/>
                    </w:rPr>
                  </w:pPr>
                  <w:r>
                    <w:rPr>
                      <w:rFonts w:hint="eastAsia" w:ascii="Times New Roman" w:hAnsi="Times New Roman"/>
                      <w:color w:val="000000"/>
                      <w:sz w:val="21"/>
                      <w:szCs w:val="21"/>
                      <w:lang w:eastAsia="zh-CN"/>
                    </w:rPr>
                    <w:t>1条浮选生产线（露天），占地面积674.7</w:t>
                  </w:r>
                  <w:r>
                    <w:rPr>
                      <w:rFonts w:hint="eastAsia" w:ascii="Times New Roman" w:hAnsi="Times New Roman"/>
                      <w:sz w:val="21"/>
                      <w:szCs w:val="21"/>
                      <w:lang w:eastAsia="zh-CN"/>
                    </w:rPr>
                    <w:t>m</w:t>
                  </w:r>
                  <w:r>
                    <w:rPr>
                      <w:rFonts w:hint="eastAsia" w:ascii="Times New Roman" w:hAnsi="Times New Roman"/>
                      <w:sz w:val="21"/>
                      <w:szCs w:val="21"/>
                      <w:vertAlign w:val="superscript"/>
                      <w:lang w:eastAsia="zh-CN"/>
                    </w:rPr>
                    <w:t>2</w:t>
                  </w:r>
                  <w:r>
                    <w:rPr>
                      <w:rFonts w:hint="eastAsia" w:ascii="Times New Roman" w:hAnsi="Times New Roman"/>
                      <w:sz w:val="21"/>
                      <w:szCs w:val="21"/>
                      <w:lang w:eastAsia="zh-CN"/>
                    </w:rPr>
                    <w:t>，配备有浮选搅拌机、浮选槽、浓密机等设备。</w:t>
                  </w:r>
                </w:p>
              </w:tc>
            </w:tr>
            <w:tr w14:paraId="0842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restart"/>
                  <w:vAlign w:val="center"/>
                </w:tcPr>
                <w:p w14:paraId="5B44BA75">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储运工程</w:t>
                  </w:r>
                </w:p>
              </w:tc>
              <w:tc>
                <w:tcPr>
                  <w:tcW w:w="934" w:type="pct"/>
                  <w:gridSpan w:val="2"/>
                  <w:vAlign w:val="center"/>
                </w:tcPr>
                <w:p w14:paraId="76B1F2EB">
                  <w:pPr>
                    <w:pStyle w:val="10"/>
                    <w:adjustRightInd w:val="0"/>
                    <w:snapToGrid w:val="0"/>
                    <w:spacing w:line="300" w:lineRule="auto"/>
                    <w:ind w:firstLine="0" w:firstLineChars="0"/>
                    <w:jc w:val="center"/>
                    <w:rPr>
                      <w:rFonts w:ascii="Times New Roman" w:hAnsi="Times New Roman"/>
                      <w:color w:val="000000"/>
                      <w:sz w:val="21"/>
                      <w:szCs w:val="21"/>
                      <w:lang w:eastAsia="zh-CN"/>
                    </w:rPr>
                  </w:pPr>
                  <w:r>
                    <w:rPr>
                      <w:rFonts w:hint="eastAsia" w:ascii="Times New Roman" w:hAnsi="Times New Roman"/>
                      <w:color w:val="000000"/>
                      <w:sz w:val="21"/>
                      <w:szCs w:val="21"/>
                      <w:lang w:eastAsia="zh-CN"/>
                    </w:rPr>
                    <w:t>上料车间</w:t>
                  </w:r>
                </w:p>
                <w:p w14:paraId="23C1081A">
                  <w:pPr>
                    <w:pStyle w:val="11"/>
                    <w:ind w:left="0" w:leftChars="0" w:firstLine="0" w:firstLineChars="0"/>
                    <w:rPr>
                      <w:lang w:eastAsia="zh-CN"/>
                    </w:rPr>
                  </w:pPr>
                  <w:r>
                    <w:rPr>
                      <w:rFonts w:hint="eastAsia" w:ascii="Times New Roman" w:hAnsi="Times New Roman"/>
                      <w:color w:val="000000"/>
                      <w:sz w:val="21"/>
                      <w:szCs w:val="21"/>
                      <w:lang w:eastAsia="zh-CN"/>
                    </w:rPr>
                    <w:t>（钢结构，1F）</w:t>
                  </w:r>
                </w:p>
              </w:tc>
              <w:tc>
                <w:tcPr>
                  <w:tcW w:w="3477" w:type="pct"/>
                  <w:vAlign w:val="center"/>
                </w:tcPr>
                <w:p w14:paraId="3F60821F">
                  <w:pPr>
                    <w:pStyle w:val="10"/>
                    <w:adjustRightInd w:val="0"/>
                    <w:snapToGrid w:val="0"/>
                    <w:spacing w:line="300" w:lineRule="auto"/>
                    <w:ind w:firstLine="210" w:firstLineChars="100"/>
                    <w:jc w:val="both"/>
                    <w:rPr>
                      <w:rFonts w:ascii="Times New Roman" w:hAnsi="Times New Roman"/>
                      <w:color w:val="000000"/>
                      <w:sz w:val="21"/>
                      <w:szCs w:val="21"/>
                      <w:lang w:eastAsia="zh-CN"/>
                    </w:rPr>
                  </w:pPr>
                  <w:r>
                    <w:rPr>
                      <w:rFonts w:hint="eastAsia" w:ascii="Times New Roman" w:hAnsi="Times New Roman"/>
                      <w:color w:val="000000"/>
                      <w:sz w:val="21"/>
                      <w:szCs w:val="21"/>
                      <w:lang w:eastAsia="zh-CN"/>
                    </w:rPr>
                    <w:t>新建密闭上料车间1座，面积150</w:t>
                  </w:r>
                  <w:r>
                    <w:rPr>
                      <w:rFonts w:hint="eastAsia" w:ascii="Times New Roman" w:hAnsi="Times New Roman"/>
                      <w:sz w:val="21"/>
                      <w:szCs w:val="21"/>
                      <w:lang w:eastAsia="zh-CN"/>
                    </w:rPr>
                    <w:t>m</w:t>
                  </w:r>
                  <w:r>
                    <w:rPr>
                      <w:rFonts w:hint="eastAsia" w:ascii="Times New Roman" w:hAnsi="Times New Roman"/>
                      <w:sz w:val="21"/>
                      <w:szCs w:val="21"/>
                      <w:vertAlign w:val="superscript"/>
                      <w:lang w:eastAsia="zh-CN"/>
                    </w:rPr>
                    <w:t>2</w:t>
                  </w:r>
                  <w:r>
                    <w:rPr>
                      <w:rFonts w:hint="eastAsia" w:ascii="Times New Roman" w:hAnsi="Times New Roman"/>
                      <w:sz w:val="21"/>
                      <w:szCs w:val="21"/>
                      <w:lang w:eastAsia="zh-CN"/>
                    </w:rPr>
                    <w:t>，内设1座20</w:t>
                  </w:r>
                  <w:r>
                    <w:rPr>
                      <w:rFonts w:hint="eastAsia" w:ascii="Times New Roman" w:hAnsi="Times New Roman"/>
                      <w:color w:val="000000"/>
                      <w:sz w:val="21"/>
                      <w:szCs w:val="21"/>
                      <w:lang w:eastAsia="zh-CN"/>
                    </w:rPr>
                    <w:t>m³给料仓，给料仓底部配备给料机及密闭上料皮带。对厂区现有存量废渣（约10万吨）</w:t>
                  </w:r>
                  <w:r>
                    <w:rPr>
                      <w:rFonts w:hint="eastAsia" w:ascii="Times New Roman" w:hAnsi="Times New Roman"/>
                      <w:sz w:val="21"/>
                      <w:szCs w:val="21"/>
                      <w:lang w:eastAsia="zh-CN"/>
                    </w:rPr>
                    <w:t>采用加厚阻燃篷布覆盖，仅保留小块取料作业面，废渣经铲车运输至新建上料车间，通过上料车间内的20</w:t>
                  </w:r>
                  <w:r>
                    <w:rPr>
                      <w:rFonts w:hint="eastAsia" w:ascii="Times New Roman" w:hAnsi="Times New Roman"/>
                      <w:color w:val="000000"/>
                      <w:sz w:val="21"/>
                      <w:szCs w:val="21"/>
                      <w:lang w:eastAsia="zh-CN"/>
                    </w:rPr>
                    <w:t>m³给料仓进行上料。</w:t>
                  </w:r>
                </w:p>
              </w:tc>
            </w:tr>
            <w:tr w14:paraId="4E3F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7F112386">
                  <w:pPr>
                    <w:pStyle w:val="62"/>
                    <w:spacing w:line="300" w:lineRule="auto"/>
                    <w:ind w:left="0"/>
                    <w:rPr>
                      <w:rFonts w:ascii="Times New Roman" w:hAnsi="Times New Roman"/>
                      <w:color w:val="000000"/>
                      <w:szCs w:val="21"/>
                      <w:lang w:eastAsia="zh-CN"/>
                    </w:rPr>
                  </w:pPr>
                </w:p>
              </w:tc>
              <w:tc>
                <w:tcPr>
                  <w:tcW w:w="934" w:type="pct"/>
                  <w:gridSpan w:val="2"/>
                  <w:vAlign w:val="center"/>
                </w:tcPr>
                <w:p w14:paraId="4F8CD925">
                  <w:pPr>
                    <w:pStyle w:val="10"/>
                    <w:adjustRightInd w:val="0"/>
                    <w:snapToGrid w:val="0"/>
                    <w:spacing w:line="300" w:lineRule="auto"/>
                    <w:ind w:firstLine="0" w:firstLineChars="0"/>
                    <w:jc w:val="center"/>
                    <w:rPr>
                      <w:rFonts w:ascii="Times New Roman" w:hAnsi="Times New Roman"/>
                      <w:bCs/>
                      <w:color w:val="000000"/>
                      <w:sz w:val="21"/>
                      <w:szCs w:val="21"/>
                      <w:lang w:eastAsia="zh-CN"/>
                    </w:rPr>
                  </w:pPr>
                  <w:r>
                    <w:rPr>
                      <w:rFonts w:hint="eastAsia" w:ascii="Times New Roman" w:hAnsi="Times New Roman"/>
                      <w:bCs/>
                      <w:color w:val="000000"/>
                      <w:sz w:val="21"/>
                      <w:szCs w:val="21"/>
                      <w:lang w:eastAsia="zh-CN"/>
                    </w:rPr>
                    <w:t>浮选药剂间</w:t>
                  </w:r>
                </w:p>
              </w:tc>
              <w:tc>
                <w:tcPr>
                  <w:tcW w:w="3477" w:type="pct"/>
                  <w:vAlign w:val="center"/>
                </w:tcPr>
                <w:p w14:paraId="697337E1">
                  <w:pPr>
                    <w:pStyle w:val="10"/>
                    <w:adjustRightInd w:val="0"/>
                    <w:snapToGrid w:val="0"/>
                    <w:spacing w:line="300" w:lineRule="auto"/>
                    <w:ind w:firstLine="210" w:firstLineChars="100"/>
                    <w:jc w:val="both"/>
                    <w:rPr>
                      <w:rFonts w:ascii="Times New Roman" w:hAnsi="Times New Roman"/>
                      <w:color w:val="000000"/>
                      <w:sz w:val="21"/>
                      <w:szCs w:val="21"/>
                      <w:lang w:eastAsia="zh-CN"/>
                    </w:rPr>
                  </w:pPr>
                  <w:r>
                    <w:rPr>
                      <w:rFonts w:hint="eastAsia" w:ascii="Times New Roman" w:hAnsi="Times New Roman"/>
                      <w:color w:val="000000"/>
                      <w:sz w:val="21"/>
                      <w:szCs w:val="21"/>
                      <w:lang w:eastAsia="zh-CN"/>
                    </w:rPr>
                    <w:t>建设1座浮选药剂间，面积100</w:t>
                  </w:r>
                  <w:r>
                    <w:rPr>
                      <w:rFonts w:hint="eastAsia" w:ascii="Times New Roman" w:hAnsi="Times New Roman"/>
                      <w:sz w:val="21"/>
                      <w:szCs w:val="21"/>
                      <w:lang w:eastAsia="zh-CN"/>
                    </w:rPr>
                    <w:t>m</w:t>
                  </w:r>
                  <w:r>
                    <w:rPr>
                      <w:rFonts w:hint="eastAsia" w:ascii="Times New Roman" w:hAnsi="Times New Roman"/>
                      <w:sz w:val="21"/>
                      <w:szCs w:val="21"/>
                      <w:vertAlign w:val="superscript"/>
                      <w:lang w:eastAsia="zh-CN"/>
                    </w:rPr>
                    <w:t>2</w:t>
                  </w:r>
                  <w:r>
                    <w:rPr>
                      <w:rFonts w:hint="eastAsia" w:ascii="Times New Roman" w:hAnsi="Times New Roman"/>
                      <w:sz w:val="21"/>
                      <w:szCs w:val="21"/>
                      <w:lang w:eastAsia="zh-CN"/>
                    </w:rPr>
                    <w:t>，用于存放浮选药剂（石灰、捕收剂、起泡剂、水玻璃）</w:t>
                  </w:r>
                </w:p>
              </w:tc>
            </w:tr>
            <w:tr w14:paraId="44AA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6AC39884">
                  <w:pPr>
                    <w:pStyle w:val="62"/>
                    <w:spacing w:line="300" w:lineRule="auto"/>
                    <w:ind w:left="0"/>
                    <w:rPr>
                      <w:rFonts w:ascii="Times New Roman" w:hAnsi="Times New Roman"/>
                      <w:color w:val="000000"/>
                      <w:szCs w:val="21"/>
                      <w:lang w:eastAsia="zh-CN"/>
                    </w:rPr>
                  </w:pPr>
                </w:p>
              </w:tc>
              <w:tc>
                <w:tcPr>
                  <w:tcW w:w="934" w:type="pct"/>
                  <w:gridSpan w:val="2"/>
                  <w:vAlign w:val="center"/>
                </w:tcPr>
                <w:p w14:paraId="6CBEEFAB">
                  <w:pPr>
                    <w:pStyle w:val="10"/>
                    <w:adjustRightInd w:val="0"/>
                    <w:snapToGrid w:val="0"/>
                    <w:spacing w:line="300" w:lineRule="auto"/>
                    <w:ind w:firstLine="0" w:firstLineChars="0"/>
                    <w:jc w:val="center"/>
                    <w:rPr>
                      <w:rFonts w:ascii="Times New Roman" w:hAnsi="Times New Roman"/>
                      <w:bCs/>
                      <w:color w:val="000000"/>
                      <w:sz w:val="21"/>
                      <w:szCs w:val="21"/>
                      <w:lang w:eastAsia="zh-CN"/>
                    </w:rPr>
                  </w:pPr>
                  <w:r>
                    <w:rPr>
                      <w:rFonts w:hint="eastAsia" w:ascii="Times New Roman" w:hAnsi="Times New Roman"/>
                      <w:bCs/>
                      <w:color w:val="000000"/>
                      <w:sz w:val="21"/>
                      <w:szCs w:val="21"/>
                      <w:lang w:eastAsia="zh-CN"/>
                    </w:rPr>
                    <w:t>产品料仓</w:t>
                  </w:r>
                </w:p>
                <w:p w14:paraId="73FD6CA7">
                  <w:pPr>
                    <w:pStyle w:val="11"/>
                    <w:ind w:left="0" w:leftChars="0" w:firstLine="0" w:firstLineChars="0"/>
                    <w:jc w:val="center"/>
                    <w:rPr>
                      <w:lang w:eastAsia="zh-CN"/>
                    </w:rPr>
                  </w:pPr>
                  <w:r>
                    <w:rPr>
                      <w:rFonts w:hint="eastAsia" w:ascii="Times New Roman" w:hAnsi="Times New Roman"/>
                      <w:bCs/>
                      <w:color w:val="000000"/>
                      <w:sz w:val="21"/>
                      <w:szCs w:val="21"/>
                      <w:lang w:eastAsia="zh-CN"/>
                    </w:rPr>
                    <w:t>（钢结构，1F）</w:t>
                  </w:r>
                </w:p>
              </w:tc>
              <w:tc>
                <w:tcPr>
                  <w:tcW w:w="3477" w:type="pct"/>
                  <w:vAlign w:val="center"/>
                </w:tcPr>
                <w:p w14:paraId="5C3E347C">
                  <w:pPr>
                    <w:pStyle w:val="10"/>
                    <w:adjustRightInd w:val="0"/>
                    <w:snapToGrid w:val="0"/>
                    <w:spacing w:line="300" w:lineRule="auto"/>
                    <w:ind w:firstLine="210" w:firstLineChars="100"/>
                    <w:jc w:val="both"/>
                    <w:rPr>
                      <w:rFonts w:ascii="Times New Roman" w:hAnsi="Times New Roman"/>
                      <w:color w:val="000000"/>
                      <w:sz w:val="21"/>
                      <w:szCs w:val="21"/>
                      <w:lang w:eastAsia="zh-CN"/>
                    </w:rPr>
                  </w:pPr>
                  <w:r>
                    <w:rPr>
                      <w:rFonts w:hint="eastAsia" w:ascii="Times New Roman" w:hAnsi="Times New Roman"/>
                      <w:color w:val="000000"/>
                      <w:sz w:val="21"/>
                      <w:szCs w:val="21"/>
                      <w:lang w:eastAsia="zh-CN"/>
                    </w:rPr>
                    <w:t>利旧租赁区现有仓库作为产品料仓，面积740.5</w:t>
                  </w:r>
                  <w:r>
                    <w:rPr>
                      <w:rFonts w:hint="eastAsia" w:ascii="Times New Roman" w:hAnsi="Times New Roman"/>
                      <w:sz w:val="21"/>
                      <w:szCs w:val="21"/>
                      <w:lang w:eastAsia="zh-CN"/>
                    </w:rPr>
                    <w:t>m</w:t>
                  </w:r>
                  <w:r>
                    <w:rPr>
                      <w:rFonts w:hint="eastAsia" w:ascii="Times New Roman" w:hAnsi="Times New Roman"/>
                      <w:sz w:val="21"/>
                      <w:szCs w:val="21"/>
                      <w:vertAlign w:val="superscript"/>
                      <w:lang w:eastAsia="zh-CN"/>
                    </w:rPr>
                    <w:t>2</w:t>
                  </w:r>
                  <w:r>
                    <w:rPr>
                      <w:rFonts w:hint="eastAsia" w:ascii="Times New Roman" w:hAnsi="Times New Roman"/>
                      <w:sz w:val="21"/>
                      <w:szCs w:val="21"/>
                      <w:lang w:eastAsia="zh-CN"/>
                    </w:rPr>
                    <w:t>，用于存放产品精金粉。</w:t>
                  </w:r>
                </w:p>
              </w:tc>
            </w:tr>
            <w:tr w14:paraId="7781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Align w:val="center"/>
                </w:tcPr>
                <w:p w14:paraId="4E7A04EA">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辅助工程</w:t>
                  </w:r>
                </w:p>
              </w:tc>
              <w:tc>
                <w:tcPr>
                  <w:tcW w:w="934" w:type="pct"/>
                  <w:gridSpan w:val="2"/>
                  <w:vAlign w:val="center"/>
                </w:tcPr>
                <w:p w14:paraId="3A1B691D">
                  <w:pPr>
                    <w:pStyle w:val="10"/>
                    <w:adjustRightInd w:val="0"/>
                    <w:snapToGrid w:val="0"/>
                    <w:spacing w:line="300" w:lineRule="auto"/>
                    <w:ind w:firstLine="0" w:firstLineChars="0"/>
                    <w:jc w:val="center"/>
                    <w:rPr>
                      <w:rFonts w:ascii="Times New Roman" w:hAnsi="Times New Roman"/>
                      <w:color w:val="000000"/>
                      <w:sz w:val="21"/>
                      <w:szCs w:val="21"/>
                      <w:lang w:eastAsia="zh-CN"/>
                    </w:rPr>
                  </w:pPr>
                  <w:r>
                    <w:rPr>
                      <w:rFonts w:hint="eastAsia" w:ascii="Times New Roman" w:hAnsi="Times New Roman"/>
                      <w:color w:val="000000"/>
                      <w:sz w:val="21"/>
                      <w:szCs w:val="21"/>
                      <w:lang w:eastAsia="zh-CN"/>
                    </w:rPr>
                    <w:t>办公生活设施</w:t>
                  </w:r>
                </w:p>
              </w:tc>
              <w:tc>
                <w:tcPr>
                  <w:tcW w:w="3477" w:type="pct"/>
                  <w:vAlign w:val="center"/>
                </w:tcPr>
                <w:p w14:paraId="489C4AC9">
                  <w:pPr>
                    <w:pStyle w:val="10"/>
                    <w:adjustRightInd w:val="0"/>
                    <w:snapToGrid w:val="0"/>
                    <w:spacing w:line="300" w:lineRule="auto"/>
                    <w:ind w:firstLine="210" w:firstLineChars="100"/>
                    <w:jc w:val="both"/>
                    <w:rPr>
                      <w:rFonts w:ascii="Times New Roman" w:hAnsi="Times New Roman"/>
                      <w:bCs/>
                      <w:color w:val="000000"/>
                      <w:sz w:val="21"/>
                      <w:szCs w:val="21"/>
                      <w:lang w:eastAsia="zh-CN"/>
                    </w:rPr>
                  </w:pPr>
                  <w:r>
                    <w:rPr>
                      <w:rFonts w:hint="eastAsia" w:ascii="Times New Roman" w:hAnsi="Times New Roman"/>
                      <w:bCs/>
                      <w:color w:val="000000"/>
                      <w:sz w:val="21"/>
                      <w:szCs w:val="21"/>
                      <w:lang w:eastAsia="zh-CN"/>
                    </w:rPr>
                    <w:t>利旧租赁区域现有办公室及员工宿舍。</w:t>
                  </w:r>
                </w:p>
              </w:tc>
            </w:tr>
            <w:tr w14:paraId="5B70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7" w:hRule="atLeast"/>
                <w:jc w:val="center"/>
              </w:trPr>
              <w:tc>
                <w:tcPr>
                  <w:tcW w:w="587" w:type="pct"/>
                  <w:vMerge w:val="restart"/>
                  <w:vAlign w:val="center"/>
                </w:tcPr>
                <w:p w14:paraId="3F894E69">
                  <w:pPr>
                    <w:pStyle w:val="62"/>
                    <w:spacing w:line="300" w:lineRule="auto"/>
                    <w:ind w:left="0"/>
                    <w:rPr>
                      <w:rFonts w:ascii="Times New Roman" w:hAnsi="Times New Roman"/>
                      <w:color w:val="000000"/>
                      <w:szCs w:val="21"/>
                    </w:rPr>
                  </w:pPr>
                  <w:r>
                    <w:rPr>
                      <w:rFonts w:ascii="Times New Roman" w:hAnsi="Times New Roman"/>
                      <w:color w:val="000000"/>
                      <w:szCs w:val="21"/>
                    </w:rPr>
                    <w:t>公用工程</w:t>
                  </w:r>
                </w:p>
              </w:tc>
              <w:tc>
                <w:tcPr>
                  <w:tcW w:w="934" w:type="pct"/>
                  <w:gridSpan w:val="2"/>
                  <w:vAlign w:val="center"/>
                </w:tcPr>
                <w:p w14:paraId="1191EE16">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自来水供应</w:t>
                  </w:r>
                </w:p>
              </w:tc>
              <w:tc>
                <w:tcPr>
                  <w:tcW w:w="3477" w:type="pct"/>
                  <w:vAlign w:val="center"/>
                </w:tcPr>
                <w:p w14:paraId="26677099">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olor w:val="000000"/>
                      <w:szCs w:val="21"/>
                      <w:lang w:eastAsia="zh-CN"/>
                    </w:rPr>
                    <w:t>来自鄯善县七克台镇自来水管网</w:t>
                  </w:r>
                </w:p>
              </w:tc>
            </w:tr>
            <w:tr w14:paraId="52B1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057FE9C5">
                  <w:pPr>
                    <w:pStyle w:val="62"/>
                    <w:spacing w:line="300" w:lineRule="auto"/>
                    <w:ind w:left="0"/>
                    <w:rPr>
                      <w:rFonts w:ascii="Times New Roman" w:hAnsi="Times New Roman"/>
                      <w:color w:val="000000"/>
                      <w:szCs w:val="21"/>
                    </w:rPr>
                  </w:pPr>
                </w:p>
              </w:tc>
              <w:tc>
                <w:tcPr>
                  <w:tcW w:w="934" w:type="pct"/>
                  <w:gridSpan w:val="2"/>
                  <w:vAlign w:val="center"/>
                </w:tcPr>
                <w:p w14:paraId="1737CEAF">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电力供应</w:t>
                  </w:r>
                </w:p>
              </w:tc>
              <w:tc>
                <w:tcPr>
                  <w:tcW w:w="3477" w:type="pct"/>
                  <w:vAlign w:val="center"/>
                </w:tcPr>
                <w:p w14:paraId="5300D82E">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olor w:val="000000"/>
                      <w:szCs w:val="21"/>
                      <w:lang w:eastAsia="zh-CN"/>
                    </w:rPr>
                    <w:t>七克台镇供电所</w:t>
                  </w:r>
                </w:p>
              </w:tc>
            </w:tr>
            <w:tr w14:paraId="7EF2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0F5A8C0A">
                  <w:pPr>
                    <w:pStyle w:val="62"/>
                    <w:spacing w:line="300" w:lineRule="auto"/>
                    <w:ind w:left="0"/>
                    <w:rPr>
                      <w:rFonts w:ascii="Times New Roman" w:hAnsi="Times New Roman"/>
                      <w:color w:val="000000"/>
                      <w:szCs w:val="21"/>
                    </w:rPr>
                  </w:pPr>
                </w:p>
              </w:tc>
              <w:tc>
                <w:tcPr>
                  <w:tcW w:w="363" w:type="pct"/>
                  <w:vMerge w:val="restart"/>
                  <w:vAlign w:val="center"/>
                </w:tcPr>
                <w:p w14:paraId="1FBB055F">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废气处理</w:t>
                  </w:r>
                </w:p>
              </w:tc>
              <w:tc>
                <w:tcPr>
                  <w:tcW w:w="571" w:type="pct"/>
                  <w:vAlign w:val="center"/>
                </w:tcPr>
                <w:p w14:paraId="64C9C7A7">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装料粉尘</w:t>
                  </w:r>
                </w:p>
              </w:tc>
              <w:tc>
                <w:tcPr>
                  <w:tcW w:w="3477" w:type="pct"/>
                  <w:vAlign w:val="center"/>
                </w:tcPr>
                <w:p w14:paraId="2BFD5013">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olor w:val="000000"/>
                      <w:szCs w:val="21"/>
                      <w:lang w:eastAsia="zh-CN"/>
                    </w:rPr>
                    <w:t>喷淋抑尘+设置围挡+进出车辆冲洗</w:t>
                  </w:r>
                </w:p>
              </w:tc>
            </w:tr>
            <w:tr w14:paraId="0440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63" w:hRule="atLeast"/>
                <w:jc w:val="center"/>
              </w:trPr>
              <w:tc>
                <w:tcPr>
                  <w:tcW w:w="587" w:type="pct"/>
                  <w:vMerge w:val="continue"/>
                  <w:vAlign w:val="center"/>
                </w:tcPr>
                <w:p w14:paraId="39BB8817">
                  <w:pPr>
                    <w:pStyle w:val="62"/>
                    <w:spacing w:line="300" w:lineRule="auto"/>
                    <w:ind w:left="0"/>
                    <w:rPr>
                      <w:rFonts w:ascii="Times New Roman" w:hAnsi="Times New Roman"/>
                      <w:color w:val="000000"/>
                      <w:szCs w:val="21"/>
                      <w:lang w:eastAsia="zh-CN"/>
                    </w:rPr>
                  </w:pPr>
                </w:p>
              </w:tc>
              <w:tc>
                <w:tcPr>
                  <w:tcW w:w="363" w:type="pct"/>
                  <w:vMerge w:val="continue"/>
                  <w:vAlign w:val="center"/>
                </w:tcPr>
                <w:p w14:paraId="6A60ADE6">
                  <w:pPr>
                    <w:pStyle w:val="62"/>
                    <w:spacing w:line="300" w:lineRule="auto"/>
                    <w:ind w:left="0"/>
                    <w:rPr>
                      <w:rFonts w:ascii="Times New Roman" w:hAnsi="Times New Roman"/>
                      <w:color w:val="000000"/>
                      <w:szCs w:val="21"/>
                      <w:lang w:eastAsia="zh-CN"/>
                    </w:rPr>
                  </w:pPr>
                </w:p>
              </w:tc>
              <w:tc>
                <w:tcPr>
                  <w:tcW w:w="571" w:type="pct"/>
                  <w:vAlign w:val="center"/>
                </w:tcPr>
                <w:p w14:paraId="19FC3EB4">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运输扬尘</w:t>
                  </w:r>
                </w:p>
              </w:tc>
              <w:tc>
                <w:tcPr>
                  <w:tcW w:w="3477" w:type="pct"/>
                  <w:vAlign w:val="center"/>
                </w:tcPr>
                <w:p w14:paraId="7CFE3350">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olor w:val="000000"/>
                      <w:szCs w:val="21"/>
                      <w:lang w:eastAsia="zh-CN"/>
                    </w:rPr>
                    <w:t>厂内道路洒水抑尘+控制车速</w:t>
                  </w:r>
                </w:p>
              </w:tc>
            </w:tr>
            <w:tr w14:paraId="282F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63" w:hRule="atLeast"/>
                <w:jc w:val="center"/>
              </w:trPr>
              <w:tc>
                <w:tcPr>
                  <w:tcW w:w="587" w:type="pct"/>
                  <w:vMerge w:val="continue"/>
                  <w:vAlign w:val="center"/>
                </w:tcPr>
                <w:p w14:paraId="47A58B27">
                  <w:pPr>
                    <w:pStyle w:val="62"/>
                    <w:spacing w:line="300" w:lineRule="auto"/>
                    <w:ind w:left="0"/>
                    <w:rPr>
                      <w:rFonts w:ascii="Times New Roman" w:hAnsi="Times New Roman"/>
                      <w:color w:val="000000"/>
                      <w:szCs w:val="21"/>
                      <w:lang w:eastAsia="zh-CN"/>
                    </w:rPr>
                  </w:pPr>
                </w:p>
              </w:tc>
              <w:tc>
                <w:tcPr>
                  <w:tcW w:w="363" w:type="pct"/>
                  <w:vMerge w:val="continue"/>
                  <w:vAlign w:val="center"/>
                </w:tcPr>
                <w:p w14:paraId="34D83428">
                  <w:pPr>
                    <w:pStyle w:val="62"/>
                    <w:spacing w:line="300" w:lineRule="auto"/>
                    <w:ind w:left="0"/>
                    <w:rPr>
                      <w:rFonts w:ascii="Times New Roman" w:hAnsi="Times New Roman"/>
                      <w:color w:val="000000"/>
                      <w:szCs w:val="21"/>
                      <w:lang w:eastAsia="zh-CN"/>
                    </w:rPr>
                  </w:pPr>
                </w:p>
              </w:tc>
              <w:tc>
                <w:tcPr>
                  <w:tcW w:w="571" w:type="pct"/>
                  <w:vAlign w:val="center"/>
                </w:tcPr>
                <w:p w14:paraId="6555A5F7">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卸料粉尘</w:t>
                  </w:r>
                </w:p>
              </w:tc>
              <w:tc>
                <w:tcPr>
                  <w:tcW w:w="3477" w:type="pct"/>
                  <w:vAlign w:val="center"/>
                </w:tcPr>
                <w:p w14:paraId="21CCE0DB">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olor w:val="000000"/>
                      <w:szCs w:val="21"/>
                      <w:lang w:eastAsia="zh-CN"/>
                    </w:rPr>
                    <w:t>封闭车间+喷淋抑尘</w:t>
                  </w:r>
                </w:p>
              </w:tc>
            </w:tr>
            <w:tr w14:paraId="3570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63" w:hRule="atLeast"/>
                <w:jc w:val="center"/>
              </w:trPr>
              <w:tc>
                <w:tcPr>
                  <w:tcW w:w="587" w:type="pct"/>
                  <w:vMerge w:val="continue"/>
                  <w:vAlign w:val="center"/>
                </w:tcPr>
                <w:p w14:paraId="3FA1C5ED">
                  <w:pPr>
                    <w:pStyle w:val="62"/>
                    <w:spacing w:line="300" w:lineRule="auto"/>
                    <w:ind w:left="0"/>
                  </w:pPr>
                </w:p>
              </w:tc>
              <w:tc>
                <w:tcPr>
                  <w:tcW w:w="363" w:type="pct"/>
                  <w:vMerge w:val="continue"/>
                  <w:vAlign w:val="center"/>
                </w:tcPr>
                <w:p w14:paraId="3C32F7EE">
                  <w:pPr>
                    <w:pStyle w:val="62"/>
                    <w:spacing w:line="300" w:lineRule="auto"/>
                    <w:ind w:left="0"/>
                  </w:pPr>
                </w:p>
              </w:tc>
              <w:tc>
                <w:tcPr>
                  <w:tcW w:w="571" w:type="pct"/>
                  <w:vAlign w:val="center"/>
                </w:tcPr>
                <w:p w14:paraId="0A5E2F58">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筛分上料口粉尘</w:t>
                  </w:r>
                </w:p>
              </w:tc>
              <w:tc>
                <w:tcPr>
                  <w:tcW w:w="3477" w:type="pct"/>
                  <w:vAlign w:val="center"/>
                </w:tcPr>
                <w:p w14:paraId="5A4AFA31">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s="宋体"/>
                      <w:bCs/>
                      <w:color w:val="000000"/>
                      <w:szCs w:val="21"/>
                      <w:lang w:eastAsia="zh-CN"/>
                    </w:rPr>
                    <w:t>喷淋加水</w:t>
                  </w:r>
                </w:p>
              </w:tc>
            </w:tr>
            <w:tr w14:paraId="34E6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470AC5F7">
                  <w:pPr>
                    <w:pStyle w:val="62"/>
                    <w:spacing w:line="300" w:lineRule="auto"/>
                    <w:ind w:left="0"/>
                    <w:rPr>
                      <w:rFonts w:ascii="Times New Roman" w:hAnsi="Times New Roman"/>
                      <w:color w:val="000000"/>
                      <w:szCs w:val="21"/>
                      <w:lang w:eastAsia="zh-CN"/>
                    </w:rPr>
                  </w:pPr>
                </w:p>
              </w:tc>
              <w:tc>
                <w:tcPr>
                  <w:tcW w:w="363" w:type="pct"/>
                  <w:vMerge w:val="restart"/>
                  <w:vAlign w:val="center"/>
                </w:tcPr>
                <w:p w14:paraId="03597039">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废水处理</w:t>
                  </w:r>
                </w:p>
              </w:tc>
              <w:tc>
                <w:tcPr>
                  <w:tcW w:w="571" w:type="pct"/>
                  <w:vAlign w:val="center"/>
                </w:tcPr>
                <w:p w14:paraId="1932E5DE">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生活污水</w:t>
                  </w:r>
                </w:p>
              </w:tc>
              <w:tc>
                <w:tcPr>
                  <w:tcW w:w="3477" w:type="pct"/>
                  <w:vAlign w:val="center"/>
                </w:tcPr>
                <w:p w14:paraId="50A9411A">
                  <w:pPr>
                    <w:spacing w:line="300" w:lineRule="auto"/>
                    <w:ind w:firstLine="210" w:firstLineChars="100"/>
                    <w:jc w:val="both"/>
                    <w:rPr>
                      <w:rFonts w:ascii="Times New Roman" w:hAnsi="Times New Roman"/>
                      <w:color w:val="000000"/>
                      <w:sz w:val="21"/>
                      <w:szCs w:val="21"/>
                      <w:lang w:eastAsia="zh-CN"/>
                    </w:rPr>
                  </w:pPr>
                  <w:r>
                    <w:rPr>
                      <w:rFonts w:hint="eastAsia" w:ascii="Times New Roman" w:hAnsi="Times New Roman"/>
                      <w:bCs/>
                      <w:color w:val="000000"/>
                      <w:sz w:val="21"/>
                      <w:szCs w:val="21"/>
                      <w:lang w:eastAsia="zh-CN"/>
                    </w:rPr>
                    <w:t>生活污水经化粪池处理后由环卫部门吸粪车定期抽运，运输至七克台镇生活污水处理站集中处理后排放。</w:t>
                  </w:r>
                </w:p>
              </w:tc>
            </w:tr>
            <w:tr w14:paraId="035F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16604A1D">
                  <w:pPr>
                    <w:pStyle w:val="62"/>
                    <w:spacing w:line="300" w:lineRule="auto"/>
                    <w:ind w:left="0"/>
                    <w:rPr>
                      <w:rFonts w:ascii="Times New Roman" w:hAnsi="Times New Roman"/>
                      <w:color w:val="000000"/>
                      <w:szCs w:val="21"/>
                      <w:lang w:eastAsia="zh-CN"/>
                    </w:rPr>
                  </w:pPr>
                </w:p>
              </w:tc>
              <w:tc>
                <w:tcPr>
                  <w:tcW w:w="363" w:type="pct"/>
                  <w:vMerge w:val="continue"/>
                  <w:vAlign w:val="center"/>
                </w:tcPr>
                <w:p w14:paraId="0707F7E8">
                  <w:pPr>
                    <w:pStyle w:val="62"/>
                    <w:spacing w:line="300" w:lineRule="auto"/>
                    <w:ind w:left="0"/>
                    <w:rPr>
                      <w:rFonts w:ascii="Times New Roman" w:hAnsi="Times New Roman"/>
                      <w:color w:val="000000"/>
                      <w:szCs w:val="21"/>
                      <w:lang w:eastAsia="zh-CN"/>
                    </w:rPr>
                  </w:pPr>
                </w:p>
              </w:tc>
              <w:tc>
                <w:tcPr>
                  <w:tcW w:w="571" w:type="pct"/>
                  <w:vAlign w:val="center"/>
                </w:tcPr>
                <w:p w14:paraId="57BE29B1">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生产废水</w:t>
                  </w:r>
                </w:p>
              </w:tc>
              <w:tc>
                <w:tcPr>
                  <w:tcW w:w="3477" w:type="pct"/>
                  <w:vAlign w:val="center"/>
                </w:tcPr>
                <w:p w14:paraId="35523DCC">
                  <w:pPr>
                    <w:spacing w:line="300" w:lineRule="auto"/>
                    <w:ind w:firstLine="210" w:firstLineChars="100"/>
                    <w:jc w:val="both"/>
                    <w:rPr>
                      <w:rFonts w:ascii="Times New Roman" w:hAnsi="Times New Roman" w:cs="宋体"/>
                      <w:bCs/>
                      <w:color w:val="000000"/>
                      <w:sz w:val="21"/>
                      <w:szCs w:val="21"/>
                      <w:lang w:eastAsia="zh-CN"/>
                    </w:rPr>
                  </w:pPr>
                  <w:r>
                    <w:rPr>
                      <w:rFonts w:hint="eastAsia" w:ascii="Times New Roman" w:hAnsi="Times New Roman"/>
                      <w:bCs/>
                      <w:color w:val="000000"/>
                      <w:sz w:val="21"/>
                      <w:szCs w:val="21"/>
                      <w:lang w:eastAsia="zh-CN"/>
                    </w:rPr>
                    <w:t>生产废水中工艺用水经回水池沉淀后回用，不外排；抑尘用水自然蒸发损失，不外排。</w:t>
                  </w:r>
                </w:p>
              </w:tc>
            </w:tr>
            <w:tr w14:paraId="3705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1042016F">
                  <w:pPr>
                    <w:pStyle w:val="62"/>
                    <w:spacing w:line="300" w:lineRule="auto"/>
                    <w:ind w:left="0"/>
                    <w:rPr>
                      <w:rFonts w:ascii="Times New Roman" w:hAnsi="Times New Roman"/>
                      <w:color w:val="000000"/>
                      <w:szCs w:val="21"/>
                    </w:rPr>
                  </w:pPr>
                </w:p>
              </w:tc>
              <w:tc>
                <w:tcPr>
                  <w:tcW w:w="934" w:type="pct"/>
                  <w:gridSpan w:val="2"/>
                  <w:vAlign w:val="center"/>
                </w:tcPr>
                <w:p w14:paraId="4F3DCAED">
                  <w:pPr>
                    <w:pStyle w:val="62"/>
                    <w:spacing w:line="300" w:lineRule="auto"/>
                    <w:ind w:left="0"/>
                    <w:rPr>
                      <w:rFonts w:ascii="Times New Roman" w:hAnsi="Times New Roman"/>
                      <w:color w:val="000000"/>
                      <w:szCs w:val="21"/>
                    </w:rPr>
                  </w:pPr>
                  <w:r>
                    <w:rPr>
                      <w:rFonts w:ascii="Times New Roman" w:hAnsi="Times New Roman"/>
                      <w:color w:val="000000"/>
                      <w:szCs w:val="21"/>
                    </w:rPr>
                    <w:t>噪声治理</w:t>
                  </w:r>
                </w:p>
              </w:tc>
              <w:tc>
                <w:tcPr>
                  <w:tcW w:w="3477" w:type="pct"/>
                  <w:vAlign w:val="center"/>
                </w:tcPr>
                <w:p w14:paraId="109ECA81">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olor w:val="000000"/>
                      <w:szCs w:val="21"/>
                      <w:lang w:eastAsia="zh-CN"/>
                    </w:rPr>
                    <w:t>选用低噪声设备、设备基础减振、加强设备维护等</w:t>
                  </w:r>
                </w:p>
              </w:tc>
            </w:tr>
            <w:tr w14:paraId="096E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7312A7E0">
                  <w:pPr>
                    <w:pStyle w:val="62"/>
                    <w:spacing w:line="300" w:lineRule="auto"/>
                    <w:ind w:left="0"/>
                    <w:rPr>
                      <w:rFonts w:ascii="Times New Roman" w:hAnsi="Times New Roman"/>
                      <w:color w:val="000000"/>
                      <w:szCs w:val="21"/>
                    </w:rPr>
                  </w:pPr>
                </w:p>
              </w:tc>
              <w:tc>
                <w:tcPr>
                  <w:tcW w:w="363" w:type="pct"/>
                  <w:vMerge w:val="restart"/>
                  <w:vAlign w:val="center"/>
                </w:tcPr>
                <w:p w14:paraId="2DBF30AA">
                  <w:pPr>
                    <w:pStyle w:val="62"/>
                    <w:spacing w:line="300" w:lineRule="auto"/>
                    <w:ind w:left="0"/>
                    <w:rPr>
                      <w:rFonts w:ascii="Times New Roman" w:hAnsi="Times New Roman"/>
                      <w:color w:val="000000"/>
                      <w:szCs w:val="21"/>
                    </w:rPr>
                  </w:pPr>
                  <w:r>
                    <w:rPr>
                      <w:rFonts w:ascii="Times New Roman" w:hAnsi="Times New Roman"/>
                      <w:color w:val="000000"/>
                      <w:szCs w:val="21"/>
                    </w:rPr>
                    <w:t>固废处置</w:t>
                  </w:r>
                </w:p>
              </w:tc>
              <w:tc>
                <w:tcPr>
                  <w:tcW w:w="571" w:type="pct"/>
                  <w:vAlign w:val="center"/>
                </w:tcPr>
                <w:p w14:paraId="1ABAC001">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生活垃圾</w:t>
                  </w:r>
                </w:p>
              </w:tc>
              <w:tc>
                <w:tcPr>
                  <w:tcW w:w="3477" w:type="pct"/>
                  <w:vAlign w:val="center"/>
                </w:tcPr>
                <w:p w14:paraId="09649C77">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olor w:val="000000"/>
                      <w:szCs w:val="21"/>
                      <w:lang w:eastAsia="zh-CN"/>
                    </w:rPr>
                    <w:t>生活垃圾经垃圾桶分类收集，交由环卫部门定期清运</w:t>
                  </w:r>
                </w:p>
              </w:tc>
            </w:tr>
            <w:tr w14:paraId="41F3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30" w:hRule="atLeast"/>
                <w:jc w:val="center"/>
              </w:trPr>
              <w:tc>
                <w:tcPr>
                  <w:tcW w:w="587" w:type="pct"/>
                  <w:vMerge w:val="continue"/>
                  <w:vAlign w:val="center"/>
                </w:tcPr>
                <w:p w14:paraId="70F82BE5">
                  <w:pPr>
                    <w:pStyle w:val="62"/>
                    <w:spacing w:line="300" w:lineRule="auto"/>
                    <w:ind w:left="0"/>
                    <w:rPr>
                      <w:rFonts w:ascii="Times New Roman" w:hAnsi="Times New Roman"/>
                      <w:color w:val="000000"/>
                      <w:szCs w:val="21"/>
                    </w:rPr>
                  </w:pPr>
                </w:p>
              </w:tc>
              <w:tc>
                <w:tcPr>
                  <w:tcW w:w="363" w:type="pct"/>
                  <w:vMerge w:val="continue"/>
                  <w:vAlign w:val="center"/>
                </w:tcPr>
                <w:p w14:paraId="7BB8DA23">
                  <w:pPr>
                    <w:pStyle w:val="62"/>
                    <w:spacing w:line="300" w:lineRule="auto"/>
                    <w:ind w:left="0"/>
                    <w:rPr>
                      <w:rFonts w:ascii="Times New Roman" w:hAnsi="Times New Roman"/>
                      <w:color w:val="000000"/>
                      <w:szCs w:val="21"/>
                    </w:rPr>
                  </w:pPr>
                </w:p>
              </w:tc>
              <w:tc>
                <w:tcPr>
                  <w:tcW w:w="571" w:type="pct"/>
                  <w:vAlign w:val="center"/>
                </w:tcPr>
                <w:p w14:paraId="7D956AEB">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一般工业</w:t>
                  </w:r>
                </w:p>
                <w:p w14:paraId="6833C376">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固废</w:t>
                  </w:r>
                </w:p>
              </w:tc>
              <w:tc>
                <w:tcPr>
                  <w:tcW w:w="3477" w:type="pct"/>
                  <w:vAlign w:val="center"/>
                </w:tcPr>
                <w:p w14:paraId="24DE7D15">
                  <w:pPr>
                    <w:spacing w:line="300" w:lineRule="auto"/>
                    <w:ind w:firstLine="210" w:firstLineChars="100"/>
                    <w:jc w:val="both"/>
                    <w:rPr>
                      <w:rFonts w:ascii="Times New Roman" w:hAnsi="Times New Roman"/>
                      <w:color w:val="000000"/>
                      <w:sz w:val="21"/>
                      <w:szCs w:val="21"/>
                      <w:lang w:eastAsia="zh-CN"/>
                    </w:rPr>
                  </w:pPr>
                  <w:r>
                    <w:rPr>
                      <w:rFonts w:hint="eastAsia" w:ascii="Times New Roman" w:hAnsi="Times New Roman"/>
                      <w:color w:val="000000"/>
                      <w:sz w:val="21"/>
                      <w:szCs w:val="21"/>
                      <w:lang w:eastAsia="zh-CN"/>
                    </w:rPr>
                    <w:t>建设1座200m</w:t>
                  </w:r>
                  <w:r>
                    <w:rPr>
                      <w:rFonts w:hint="eastAsia" w:ascii="Times New Roman" w:hAnsi="Times New Roman"/>
                      <w:color w:val="000000"/>
                      <w:sz w:val="21"/>
                      <w:szCs w:val="21"/>
                      <w:vertAlign w:val="superscript"/>
                      <w:lang w:eastAsia="zh-CN"/>
                    </w:rPr>
                    <w:t>2</w:t>
                  </w:r>
                  <w:r>
                    <w:rPr>
                      <w:rFonts w:hint="eastAsia" w:ascii="Times New Roman" w:hAnsi="Times New Roman"/>
                      <w:color w:val="000000"/>
                      <w:sz w:val="21"/>
                      <w:szCs w:val="21"/>
                      <w:lang w:eastAsia="zh-CN"/>
                    </w:rPr>
                    <w:t>一般固废暂存间，用于存放生产过程中筛出的杂石、枯枝，浮选药剂废包装，压滤产生的干态废渣滤饼。</w:t>
                  </w:r>
                </w:p>
              </w:tc>
            </w:tr>
            <w:tr w14:paraId="3DD2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87" w:type="pct"/>
                  <w:vMerge w:val="continue"/>
                  <w:vAlign w:val="center"/>
                </w:tcPr>
                <w:p w14:paraId="3454519F">
                  <w:pPr>
                    <w:pStyle w:val="62"/>
                    <w:spacing w:line="300" w:lineRule="auto"/>
                    <w:ind w:left="0"/>
                    <w:rPr>
                      <w:rFonts w:ascii="Times New Roman" w:hAnsi="Times New Roman"/>
                      <w:color w:val="000000"/>
                      <w:szCs w:val="21"/>
                    </w:rPr>
                  </w:pPr>
                </w:p>
              </w:tc>
              <w:tc>
                <w:tcPr>
                  <w:tcW w:w="363" w:type="pct"/>
                  <w:vMerge w:val="continue"/>
                  <w:vAlign w:val="center"/>
                </w:tcPr>
                <w:p w14:paraId="21CC0D1E">
                  <w:pPr>
                    <w:pStyle w:val="62"/>
                    <w:spacing w:line="300" w:lineRule="auto"/>
                    <w:ind w:left="0"/>
                    <w:rPr>
                      <w:rFonts w:ascii="Times New Roman" w:hAnsi="Times New Roman"/>
                      <w:color w:val="000000"/>
                      <w:szCs w:val="21"/>
                    </w:rPr>
                  </w:pPr>
                </w:p>
              </w:tc>
              <w:tc>
                <w:tcPr>
                  <w:tcW w:w="571" w:type="pct"/>
                  <w:vAlign w:val="center"/>
                </w:tcPr>
                <w:p w14:paraId="2C1FEEE6">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危险废物</w:t>
                  </w:r>
                </w:p>
              </w:tc>
              <w:tc>
                <w:tcPr>
                  <w:tcW w:w="3477" w:type="pct"/>
                  <w:vAlign w:val="center"/>
                </w:tcPr>
                <w:p w14:paraId="601CAD78">
                  <w:pPr>
                    <w:spacing w:line="300" w:lineRule="auto"/>
                    <w:ind w:firstLine="210" w:firstLineChars="100"/>
                    <w:jc w:val="both"/>
                    <w:rPr>
                      <w:rFonts w:ascii="Times New Roman" w:hAnsi="Times New Roman"/>
                      <w:color w:val="000000"/>
                      <w:sz w:val="21"/>
                      <w:szCs w:val="21"/>
                      <w:lang w:eastAsia="zh-CN"/>
                    </w:rPr>
                  </w:pPr>
                  <w:r>
                    <w:rPr>
                      <w:rFonts w:hint="eastAsia" w:ascii="Times New Roman" w:hAnsi="Times New Roman"/>
                      <w:color w:val="000000"/>
                      <w:sz w:val="21"/>
                      <w:szCs w:val="21"/>
                      <w:lang w:eastAsia="zh-CN"/>
                    </w:rPr>
                    <w:t>建设1座5m</w:t>
                  </w:r>
                  <w:r>
                    <w:rPr>
                      <w:rFonts w:hint="eastAsia" w:ascii="Times New Roman" w:hAnsi="Times New Roman"/>
                      <w:color w:val="000000"/>
                      <w:sz w:val="21"/>
                      <w:szCs w:val="21"/>
                      <w:vertAlign w:val="superscript"/>
                      <w:lang w:eastAsia="zh-CN"/>
                    </w:rPr>
                    <w:t>2</w:t>
                  </w:r>
                  <w:r>
                    <w:rPr>
                      <w:rFonts w:hint="eastAsia" w:ascii="Times New Roman" w:hAnsi="Times New Roman"/>
                      <w:color w:val="000000"/>
                      <w:sz w:val="21"/>
                      <w:szCs w:val="21"/>
                      <w:lang w:eastAsia="zh-CN"/>
                    </w:rPr>
                    <w:t>危险废物暂存间，设备保养维修过程中产生的废润滑油以及废润滑油桶作为危废暂存于危废贮存库，定期交由资质单位进行处置。</w:t>
                  </w:r>
                </w:p>
              </w:tc>
            </w:tr>
            <w:tr w14:paraId="0A24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 w:hRule="atLeast"/>
                <w:jc w:val="center"/>
              </w:trPr>
              <w:tc>
                <w:tcPr>
                  <w:tcW w:w="587" w:type="pct"/>
                  <w:vMerge w:val="continue"/>
                  <w:vAlign w:val="center"/>
                </w:tcPr>
                <w:p w14:paraId="519EA26A">
                  <w:pPr>
                    <w:pStyle w:val="62"/>
                    <w:spacing w:line="300" w:lineRule="auto"/>
                    <w:ind w:left="0"/>
                    <w:rPr>
                      <w:rFonts w:ascii="Times New Roman" w:hAnsi="Times New Roman"/>
                      <w:color w:val="000000"/>
                      <w:szCs w:val="21"/>
                    </w:rPr>
                  </w:pPr>
                </w:p>
              </w:tc>
              <w:tc>
                <w:tcPr>
                  <w:tcW w:w="934" w:type="pct"/>
                  <w:gridSpan w:val="2"/>
                  <w:vAlign w:val="center"/>
                </w:tcPr>
                <w:p w14:paraId="4DC9A57B">
                  <w:pPr>
                    <w:pStyle w:val="62"/>
                    <w:spacing w:line="300" w:lineRule="auto"/>
                    <w:ind w:left="0"/>
                    <w:rPr>
                      <w:rFonts w:ascii="Times New Roman" w:hAnsi="Times New Roman"/>
                      <w:color w:val="000000"/>
                      <w:szCs w:val="21"/>
                      <w:lang w:eastAsia="zh-CN"/>
                    </w:rPr>
                  </w:pPr>
                  <w:r>
                    <w:rPr>
                      <w:rFonts w:hint="eastAsia" w:ascii="Times New Roman" w:hAnsi="Times New Roman"/>
                      <w:color w:val="000000"/>
                      <w:szCs w:val="21"/>
                      <w:lang w:eastAsia="zh-CN"/>
                    </w:rPr>
                    <w:t>土壤、</w:t>
                  </w:r>
                  <w:r>
                    <w:rPr>
                      <w:rFonts w:ascii="Times New Roman" w:hAnsi="Times New Roman"/>
                      <w:color w:val="000000"/>
                      <w:szCs w:val="21"/>
                      <w:lang w:eastAsia="zh-CN"/>
                    </w:rPr>
                    <w:t>地下水</w:t>
                  </w:r>
                  <w:r>
                    <w:rPr>
                      <w:rFonts w:hint="eastAsia" w:ascii="Times New Roman" w:hAnsi="Times New Roman"/>
                      <w:color w:val="000000"/>
                      <w:szCs w:val="21"/>
                      <w:lang w:eastAsia="zh-CN"/>
                    </w:rPr>
                    <w:t>、环境风险防范</w:t>
                  </w:r>
                </w:p>
              </w:tc>
              <w:tc>
                <w:tcPr>
                  <w:tcW w:w="3477" w:type="pct"/>
                  <w:vAlign w:val="center"/>
                </w:tcPr>
                <w:p w14:paraId="4BDE4BE1">
                  <w:pPr>
                    <w:pStyle w:val="62"/>
                    <w:spacing w:line="300" w:lineRule="auto"/>
                    <w:ind w:left="0" w:firstLine="210" w:firstLineChars="100"/>
                    <w:jc w:val="both"/>
                    <w:rPr>
                      <w:rFonts w:ascii="Times New Roman" w:hAnsi="Times New Roman"/>
                      <w:color w:val="000000"/>
                      <w:szCs w:val="21"/>
                      <w:lang w:eastAsia="zh-CN"/>
                    </w:rPr>
                  </w:pPr>
                  <w:r>
                    <w:rPr>
                      <w:rFonts w:hint="eastAsia" w:ascii="Times New Roman" w:hAnsi="Times New Roman"/>
                      <w:color w:val="000000"/>
                      <w:szCs w:val="21"/>
                      <w:lang w:eastAsia="zh-CN"/>
                    </w:rPr>
                    <w:t>通过采取环境风险源头控制和分区防渗措施、严格落实各项消防措施、加强环境风险物质的管理、及时编制突发环境事件应急预案，并定期组织演练等措施。</w:t>
                  </w:r>
                </w:p>
              </w:tc>
            </w:tr>
          </w:tbl>
          <w:p w14:paraId="2DBE8DD2">
            <w:pPr>
              <w:pStyle w:val="67"/>
              <w:spacing w:line="360" w:lineRule="auto"/>
              <w:ind w:firstLine="480"/>
              <w:rPr>
                <w:color w:val="000000"/>
              </w:rPr>
            </w:pPr>
          </w:p>
        </w:tc>
      </w:tr>
    </w:tbl>
    <w:p w14:paraId="693EC786">
      <w:pPr>
        <w:pStyle w:val="76"/>
        <w:spacing w:after="120"/>
        <w:rPr>
          <w:rFonts w:ascii="Times New Roman" w:hAnsi="Times New Roman" w:eastAsia="宋体"/>
          <w:b/>
          <w:bCs/>
          <w:color w:val="000000"/>
        </w:rPr>
      </w:pPr>
      <w:bookmarkStart w:id="2" w:name="_Toc66545435"/>
      <w:r>
        <w:rPr>
          <w:rFonts w:ascii="Times New Roman" w:hAnsi="Times New Roman" w:eastAsia="宋体"/>
          <w:b/>
          <w:bCs/>
          <w:color w:val="000000"/>
        </w:rPr>
        <w:br w:type="page"/>
      </w:r>
      <w:r>
        <w:rPr>
          <w:rFonts w:ascii="Times New Roman" w:hAnsi="Times New Roman" w:eastAsia="宋体"/>
          <w:b/>
          <w:bCs/>
          <w:color w:val="000000"/>
        </w:rPr>
        <w:t>三、区域环境质量现状、环境保护目标及评价标准</w:t>
      </w:r>
      <w:bookmarkEnd w:id="2"/>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28" w:type="dxa"/>
          <w:left w:w="28" w:type="dxa"/>
          <w:bottom w:w="28" w:type="dxa"/>
          <w:right w:w="28" w:type="dxa"/>
        </w:tblCellMar>
      </w:tblPr>
      <w:tblGrid>
        <w:gridCol w:w="766"/>
        <w:gridCol w:w="8932"/>
      </w:tblGrid>
      <w:tr w14:paraId="66F4375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28" w:type="dxa"/>
            <w:bottom w:w="28" w:type="dxa"/>
            <w:right w:w="28" w:type="dxa"/>
          </w:tblCellMar>
        </w:tblPrEx>
        <w:trPr>
          <w:trHeight w:val="567" w:hRule="atLeast"/>
          <w:jc w:val="center"/>
        </w:trPr>
        <w:tc>
          <w:tcPr>
            <w:tcW w:w="395" w:type="pct"/>
            <w:vAlign w:val="center"/>
          </w:tcPr>
          <w:p w14:paraId="72AC31AA">
            <w:pPr>
              <w:spacing w:line="360" w:lineRule="auto"/>
              <w:jc w:val="center"/>
              <w:rPr>
                <w:rFonts w:ascii="Times New Roman" w:hAnsi="Times New Roman"/>
                <w:color w:val="000000"/>
                <w:sz w:val="24"/>
                <w:szCs w:val="24"/>
                <w:lang w:eastAsia="zh-CN"/>
              </w:rPr>
            </w:pPr>
            <w:r>
              <w:rPr>
                <w:rFonts w:hint="eastAsia" w:ascii="Times New Roman" w:hAnsi="Times New Roman"/>
                <w:color w:val="000000"/>
                <w:sz w:val="24"/>
                <w:szCs w:val="24"/>
                <w:lang w:eastAsia="zh-CN"/>
              </w:rPr>
              <w:t>环境保护目标</w:t>
            </w:r>
          </w:p>
        </w:tc>
        <w:tc>
          <w:tcPr>
            <w:tcW w:w="4604" w:type="pct"/>
            <w:vAlign w:val="center"/>
          </w:tcPr>
          <w:p w14:paraId="52FA36B4">
            <w:pPr>
              <w:pStyle w:val="72"/>
              <w:spacing w:line="360" w:lineRule="auto"/>
              <w:ind w:firstLine="0" w:firstLineChars="0"/>
              <w:rPr>
                <w:color w:val="000000"/>
              </w:rPr>
            </w:pPr>
            <w:r>
              <w:rPr>
                <w:rFonts w:hint="eastAsia"/>
                <w:color w:val="000000"/>
              </w:rPr>
              <w:t>（一）大气环境</w:t>
            </w:r>
          </w:p>
          <w:p w14:paraId="6411702E">
            <w:pPr>
              <w:pStyle w:val="67"/>
              <w:spacing w:line="360" w:lineRule="auto"/>
              <w:ind w:firstLine="480"/>
              <w:rPr>
                <w:color w:val="000000"/>
              </w:rPr>
            </w:pPr>
            <w:r>
              <w:rPr>
                <w:rFonts w:hint="eastAsia"/>
                <w:bCs/>
                <w:color w:val="000000"/>
              </w:rPr>
              <w:t>根据现场踏勘调查，</w:t>
            </w:r>
            <w:r>
              <w:rPr>
                <w:rFonts w:hint="eastAsia"/>
                <w:color w:val="000000"/>
              </w:rPr>
              <w:t>本项目厂界外500m范围内不存在自然保护区、风景名胜区等、居民区、文化区和农村地区中人群较集中的区域等保护目标。</w:t>
            </w:r>
          </w:p>
          <w:p w14:paraId="0C0977EB">
            <w:pPr>
              <w:pStyle w:val="72"/>
              <w:spacing w:line="360" w:lineRule="auto"/>
              <w:ind w:firstLine="0" w:firstLineChars="0"/>
              <w:rPr>
                <w:color w:val="000000"/>
              </w:rPr>
            </w:pPr>
            <w:r>
              <w:rPr>
                <w:rFonts w:hint="eastAsia"/>
                <w:color w:val="000000"/>
              </w:rPr>
              <w:t>（二）声环境</w:t>
            </w:r>
          </w:p>
          <w:p w14:paraId="624A38BA">
            <w:pPr>
              <w:pStyle w:val="67"/>
              <w:spacing w:line="360" w:lineRule="auto"/>
              <w:ind w:firstLine="480"/>
              <w:rPr>
                <w:color w:val="000000"/>
              </w:rPr>
            </w:pPr>
            <w:r>
              <w:rPr>
                <w:rFonts w:hint="eastAsia"/>
                <w:color w:val="000000"/>
              </w:rPr>
              <w:t>根据现场踏勘，本项目厂界外50米范围内无声环境保护目标。</w:t>
            </w:r>
          </w:p>
          <w:p w14:paraId="546F26EA">
            <w:pPr>
              <w:pStyle w:val="72"/>
              <w:spacing w:line="360" w:lineRule="auto"/>
              <w:ind w:firstLine="0" w:firstLineChars="0"/>
              <w:rPr>
                <w:color w:val="000000"/>
              </w:rPr>
            </w:pPr>
            <w:r>
              <w:rPr>
                <w:rFonts w:hint="eastAsia"/>
                <w:color w:val="000000"/>
              </w:rPr>
              <w:t>（三）地下水环境</w:t>
            </w:r>
          </w:p>
          <w:p w14:paraId="4734B5B3">
            <w:pPr>
              <w:pStyle w:val="67"/>
              <w:spacing w:line="360" w:lineRule="auto"/>
              <w:ind w:firstLine="480"/>
              <w:rPr>
                <w:color w:val="000000"/>
              </w:rPr>
            </w:pPr>
            <w:r>
              <w:rPr>
                <w:rFonts w:hint="eastAsia"/>
                <w:color w:val="000000"/>
              </w:rPr>
              <w:t>根据现场调查，本项目厂界外500米范围内无地下水集中式饮用水水源和热水、矿泉水、温泉等特殊地下水资源。</w:t>
            </w:r>
          </w:p>
          <w:p w14:paraId="4C2B73EF">
            <w:pPr>
              <w:pStyle w:val="72"/>
              <w:spacing w:line="360" w:lineRule="auto"/>
              <w:ind w:firstLine="0" w:firstLineChars="0"/>
              <w:rPr>
                <w:color w:val="000000"/>
              </w:rPr>
            </w:pPr>
            <w:r>
              <w:rPr>
                <w:rFonts w:hint="eastAsia"/>
                <w:color w:val="000000"/>
              </w:rPr>
              <w:t>（四）生态环境</w:t>
            </w:r>
          </w:p>
          <w:p w14:paraId="3A0B84D8">
            <w:pPr>
              <w:pStyle w:val="67"/>
              <w:spacing w:line="360" w:lineRule="auto"/>
              <w:ind w:firstLine="480"/>
              <w:rPr>
                <w:color w:val="000000"/>
              </w:rPr>
            </w:pPr>
            <w:r>
              <w:rPr>
                <w:rFonts w:hint="eastAsia"/>
                <w:color w:val="000000"/>
              </w:rPr>
              <w:t>本项目在租赁场地空置区域内建设，用地类型为工业用地，且不新增用地，因此无需明确生态环境保护目标。</w:t>
            </w:r>
          </w:p>
        </w:tc>
      </w:tr>
      <w:tr w14:paraId="1CC80A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28" w:type="dxa"/>
            <w:left w:w="28" w:type="dxa"/>
            <w:bottom w:w="28" w:type="dxa"/>
            <w:right w:w="28" w:type="dxa"/>
          </w:tblCellMar>
        </w:tblPrEx>
        <w:trPr>
          <w:trHeight w:val="567" w:hRule="atLeast"/>
          <w:jc w:val="center"/>
        </w:trPr>
        <w:tc>
          <w:tcPr>
            <w:tcW w:w="395" w:type="pct"/>
            <w:vAlign w:val="center"/>
          </w:tcPr>
          <w:p w14:paraId="41FB315C">
            <w:pPr>
              <w:spacing w:line="360" w:lineRule="auto"/>
              <w:jc w:val="center"/>
              <w:rPr>
                <w:rFonts w:ascii="Times New Roman" w:hAnsi="Times New Roman"/>
                <w:color w:val="000000"/>
                <w:sz w:val="24"/>
                <w:szCs w:val="24"/>
                <w:lang w:eastAsia="zh-CN"/>
              </w:rPr>
            </w:pPr>
            <w:r>
              <w:rPr>
                <w:rFonts w:hint="eastAsia" w:ascii="Times New Roman" w:hAnsi="Times New Roman"/>
                <w:color w:val="000000"/>
                <w:sz w:val="24"/>
                <w:szCs w:val="24"/>
                <w:lang w:eastAsia="zh-CN"/>
              </w:rPr>
              <w:t>污染物排放控制标准</w:t>
            </w:r>
          </w:p>
        </w:tc>
        <w:tc>
          <w:tcPr>
            <w:tcW w:w="4604" w:type="pct"/>
            <w:vAlign w:val="center"/>
          </w:tcPr>
          <w:p w14:paraId="5CA177D4">
            <w:pPr>
              <w:pStyle w:val="67"/>
              <w:spacing w:line="360" w:lineRule="auto"/>
              <w:ind w:firstLine="0" w:firstLineChars="0"/>
              <w:jc w:val="left"/>
              <w:rPr>
                <w:b/>
                <w:bCs/>
                <w:color w:val="000000"/>
              </w:rPr>
            </w:pPr>
            <w:r>
              <w:rPr>
                <w:rFonts w:hint="eastAsia"/>
                <w:b/>
                <w:bCs/>
                <w:color w:val="000000"/>
              </w:rPr>
              <w:t>（一）废气</w:t>
            </w:r>
          </w:p>
          <w:p w14:paraId="397EDEF3">
            <w:pPr>
              <w:pStyle w:val="67"/>
              <w:spacing w:line="360" w:lineRule="auto"/>
              <w:ind w:firstLine="480"/>
              <w:rPr>
                <w:color w:val="000000"/>
              </w:rPr>
            </w:pPr>
            <w:r>
              <w:rPr>
                <w:rFonts w:hint="eastAsia"/>
                <w:color w:val="000000"/>
              </w:rPr>
              <w:t>本项目废气主要为装卸粉尘、运输扬尘、上料粉尘和筛分上料口粉尘，污染物主要为颗粒物，均为无组织排放。废气排放执行《大气污染物综合排放标准》（GB16297-1996）表2无组织排放浓度。</w:t>
            </w:r>
          </w:p>
          <w:p w14:paraId="4F9202D1">
            <w:pPr>
              <w:pStyle w:val="67"/>
              <w:spacing w:before="120" w:beforeLines="50" w:line="360" w:lineRule="auto"/>
              <w:ind w:firstLine="0" w:firstLineChars="0"/>
              <w:jc w:val="left"/>
              <w:rPr>
                <w:b/>
                <w:bCs/>
                <w:color w:val="000000"/>
              </w:rPr>
            </w:pPr>
            <w:r>
              <w:rPr>
                <w:rFonts w:hint="eastAsia"/>
                <w:b/>
                <w:bCs/>
                <w:color w:val="000000"/>
              </w:rPr>
              <w:t>（二）废水</w:t>
            </w:r>
          </w:p>
          <w:p w14:paraId="2F82FCEB">
            <w:pPr>
              <w:pStyle w:val="67"/>
              <w:spacing w:line="360" w:lineRule="auto"/>
              <w:ind w:firstLine="480"/>
              <w:rPr>
                <w:color w:val="000000"/>
              </w:rPr>
            </w:pPr>
            <w:r>
              <w:rPr>
                <w:rFonts w:hint="eastAsia"/>
                <w:color w:val="000000"/>
              </w:rPr>
              <w:t>本项</w:t>
            </w:r>
            <w:r>
              <w:rPr>
                <w:rFonts w:hint="eastAsia"/>
                <w:color w:val="000000"/>
                <w:lang w:val="en-US" w:eastAsia="zh-CN"/>
              </w:rPr>
              <w:t>目</w:t>
            </w:r>
            <w:r>
              <w:rPr>
                <w:rFonts w:hint="eastAsia"/>
                <w:color w:val="000000"/>
              </w:rPr>
              <w:t>生活污水排入化粪池，生活污水满足《污水综合排放标准》（GB8978-1996）三级标准，由环卫部门吸粪车定期抽运，送七克台镇生活污水处理站集中处理后排放。生产废水中工艺用水经回水池沉淀后回用，不外排；抑尘用水自然蒸发，不外排。</w:t>
            </w:r>
          </w:p>
          <w:p w14:paraId="0997EBD5">
            <w:pPr>
              <w:pStyle w:val="67"/>
              <w:spacing w:before="120" w:beforeLines="50" w:line="360" w:lineRule="auto"/>
              <w:ind w:firstLine="0" w:firstLineChars="0"/>
              <w:jc w:val="left"/>
              <w:rPr>
                <w:b/>
                <w:bCs/>
                <w:color w:val="000000"/>
              </w:rPr>
            </w:pPr>
            <w:r>
              <w:rPr>
                <w:rFonts w:hint="eastAsia"/>
                <w:b/>
                <w:bCs/>
                <w:color w:val="000000"/>
              </w:rPr>
              <w:t>（二）噪声</w:t>
            </w:r>
          </w:p>
          <w:p w14:paraId="243EED73">
            <w:pPr>
              <w:pStyle w:val="55"/>
              <w:spacing w:line="360" w:lineRule="auto"/>
              <w:ind w:firstLine="482"/>
              <w:jc w:val="left"/>
              <w:rPr>
                <w:rFonts w:ascii="Times New Roman" w:hAnsi="Times New Roman" w:cs="Times New Roman"/>
                <w:b/>
                <w:bCs/>
                <w:color w:val="000000"/>
              </w:rPr>
            </w:pPr>
            <w:r>
              <w:rPr>
                <w:rFonts w:hint="eastAsia" w:ascii="Times New Roman" w:hAnsi="Times New Roman" w:cs="Times New Roman"/>
                <w:b/>
                <w:bCs/>
                <w:color w:val="000000"/>
              </w:rPr>
              <w:t>1、施工期</w:t>
            </w:r>
          </w:p>
          <w:p w14:paraId="1D28088E">
            <w:pPr>
              <w:pStyle w:val="55"/>
              <w:spacing w:line="360" w:lineRule="auto"/>
              <w:ind w:firstLine="480"/>
              <w:jc w:val="left"/>
              <w:rPr>
                <w:rFonts w:hint="eastAsia" w:ascii="Times New Roman" w:hAnsi="Times New Roman" w:eastAsia="宋体" w:cs="Times New Roman"/>
                <w:color w:val="000000"/>
                <w:lang w:eastAsia="zh-CN"/>
              </w:rPr>
            </w:pPr>
            <w:r>
              <w:rPr>
                <w:rFonts w:hint="eastAsia" w:ascii="Times New Roman" w:hAnsi="Times New Roman" w:cs="Times New Roman"/>
                <w:color w:val="000000"/>
              </w:rPr>
              <w:t>本项目</w:t>
            </w:r>
            <w:r>
              <w:rPr>
                <w:rFonts w:ascii="Times New Roman" w:hAnsi="Times New Roman" w:cs="Times New Roman"/>
                <w:color w:val="000000"/>
              </w:rPr>
              <w:t>施工期噪声执行《</w:t>
            </w:r>
            <w:r>
              <w:rPr>
                <w:rFonts w:hint="eastAsia" w:ascii="Times New Roman" w:hAnsi="Times New Roman" w:cs="Times New Roman"/>
                <w:color w:val="000000"/>
              </w:rPr>
              <w:t>建筑施工</w:t>
            </w:r>
            <w:r>
              <w:rPr>
                <w:rFonts w:ascii="Times New Roman" w:hAnsi="Times New Roman" w:cs="Times New Roman"/>
                <w:color w:val="000000"/>
              </w:rPr>
              <w:t>噪声排放标准》（GB12523-20</w:t>
            </w:r>
            <w:r>
              <w:rPr>
                <w:rFonts w:hint="eastAsia" w:ascii="Times New Roman" w:hAnsi="Times New Roman" w:cs="Times New Roman"/>
                <w:color w:val="000000"/>
              </w:rPr>
              <w:t>25</w:t>
            </w:r>
            <w:r>
              <w:rPr>
                <w:rFonts w:ascii="Times New Roman" w:hAnsi="Times New Roman" w:cs="Times New Roman"/>
                <w:color w:val="000000"/>
              </w:rPr>
              <w:t>）标准</w:t>
            </w:r>
            <w:r>
              <w:rPr>
                <w:rFonts w:hint="eastAsia" w:ascii="Times New Roman" w:hAnsi="Times New Roman"/>
                <w:bCs/>
                <w:color w:val="000000"/>
                <w:lang w:eastAsia="zh-CN"/>
              </w:rPr>
              <w:t>。</w:t>
            </w:r>
          </w:p>
          <w:p w14:paraId="45B25589">
            <w:pPr>
              <w:pStyle w:val="55"/>
              <w:spacing w:before="120" w:beforeLines="50" w:line="360" w:lineRule="auto"/>
              <w:ind w:firstLine="482"/>
              <w:jc w:val="left"/>
              <w:rPr>
                <w:rFonts w:ascii="Times New Roman" w:hAnsi="Times New Roman" w:cs="Times New Roman"/>
                <w:b/>
                <w:bCs/>
                <w:color w:val="000000"/>
              </w:rPr>
            </w:pPr>
            <w:r>
              <w:rPr>
                <w:rFonts w:hint="eastAsia" w:ascii="Times New Roman" w:hAnsi="Times New Roman" w:cs="Times New Roman"/>
                <w:b/>
                <w:bCs/>
                <w:color w:val="000000"/>
              </w:rPr>
              <w:t>2、运营期</w:t>
            </w:r>
          </w:p>
          <w:p w14:paraId="65884D06">
            <w:pPr>
              <w:pStyle w:val="55"/>
              <w:spacing w:line="360" w:lineRule="auto"/>
              <w:ind w:firstLine="480"/>
              <w:jc w:val="left"/>
              <w:rPr>
                <w:rFonts w:ascii="Times New Roman" w:hAnsi="Times New Roman" w:cs="Times New Roman"/>
                <w:color w:val="000000"/>
              </w:rPr>
            </w:pPr>
            <w:r>
              <w:rPr>
                <w:rFonts w:hint="eastAsia" w:ascii="Times New Roman" w:hAnsi="Times New Roman" w:cs="Times New Roman"/>
                <w:color w:val="000000"/>
              </w:rPr>
              <w:t>本项目</w:t>
            </w:r>
            <w:r>
              <w:rPr>
                <w:rFonts w:ascii="Times New Roman" w:hAnsi="Times New Roman" w:cs="Times New Roman"/>
                <w:color w:val="000000"/>
              </w:rPr>
              <w:t>营运期</w:t>
            </w:r>
            <w:r>
              <w:rPr>
                <w:rFonts w:hint="eastAsia" w:ascii="Times New Roman" w:hAnsi="Times New Roman" w:cs="Times New Roman"/>
                <w:color w:val="000000"/>
              </w:rPr>
              <w:t>厂界</w:t>
            </w:r>
            <w:r>
              <w:rPr>
                <w:rFonts w:ascii="Times New Roman" w:hAnsi="Times New Roman" w:cs="Times New Roman"/>
                <w:color w:val="000000"/>
              </w:rPr>
              <w:t>噪声执行《工业企业厂界环境噪声排放标准》（GB12348-2008）中</w:t>
            </w:r>
            <w:r>
              <w:rPr>
                <w:rFonts w:hint="eastAsia" w:ascii="Times New Roman" w:hAnsi="Times New Roman" w:cs="Times New Roman"/>
                <w:color w:val="000000"/>
              </w:rPr>
              <w:t>3</w:t>
            </w:r>
            <w:r>
              <w:rPr>
                <w:rFonts w:ascii="Times New Roman" w:hAnsi="Times New Roman" w:cs="Times New Roman"/>
                <w:color w:val="000000"/>
              </w:rPr>
              <w:t>类标准</w:t>
            </w:r>
            <w:r>
              <w:rPr>
                <w:rFonts w:ascii="Times New Roman" w:hAnsi="Times New Roman"/>
                <w:bCs/>
                <w:color w:val="000000"/>
              </w:rPr>
              <w:t>，具体见</w:t>
            </w:r>
            <w:r>
              <w:rPr>
                <w:rFonts w:hint="eastAsia" w:ascii="Times New Roman" w:hAnsi="Times New Roman"/>
                <w:bCs/>
                <w:color w:val="000000"/>
              </w:rPr>
              <w:t>下</w:t>
            </w:r>
            <w:r>
              <w:rPr>
                <w:rFonts w:ascii="Times New Roman" w:hAnsi="Times New Roman"/>
                <w:bCs/>
                <w:color w:val="000000"/>
              </w:rPr>
              <w:t>表</w:t>
            </w:r>
            <w:r>
              <w:rPr>
                <w:rFonts w:hint="eastAsia" w:ascii="Times New Roman" w:hAnsi="Times New Roman"/>
                <w:bCs/>
                <w:color w:val="000000"/>
              </w:rPr>
              <w:t>。</w:t>
            </w:r>
          </w:p>
          <w:p w14:paraId="25342D40">
            <w:pPr>
              <w:pStyle w:val="67"/>
              <w:spacing w:line="360" w:lineRule="auto"/>
              <w:ind w:firstLine="0" w:firstLineChars="0"/>
              <w:jc w:val="left"/>
              <w:rPr>
                <w:rFonts w:hint="eastAsia"/>
                <w:b/>
                <w:bCs/>
                <w:color w:val="000000"/>
              </w:rPr>
            </w:pPr>
          </w:p>
          <w:p w14:paraId="324204AD">
            <w:pPr>
              <w:pStyle w:val="67"/>
              <w:spacing w:line="360" w:lineRule="auto"/>
              <w:ind w:firstLine="0" w:firstLineChars="0"/>
              <w:jc w:val="left"/>
              <w:rPr>
                <w:b/>
                <w:bCs/>
                <w:color w:val="000000"/>
              </w:rPr>
            </w:pPr>
            <w:r>
              <w:rPr>
                <w:rFonts w:hint="eastAsia"/>
                <w:b/>
                <w:bCs/>
                <w:color w:val="000000"/>
              </w:rPr>
              <w:t>（三）固体废物</w:t>
            </w:r>
          </w:p>
          <w:p w14:paraId="29BA2F00">
            <w:pPr>
              <w:pStyle w:val="67"/>
              <w:spacing w:line="360" w:lineRule="auto"/>
              <w:ind w:firstLine="480"/>
              <w:jc w:val="left"/>
              <w:rPr>
                <w:color w:val="000000"/>
              </w:rPr>
            </w:pPr>
            <w:r>
              <w:rPr>
                <w:rFonts w:hint="eastAsia"/>
                <w:color w:val="000000"/>
              </w:rPr>
              <w:t>一般固体废物参照《一般工业固体废物贮存和填埋污染控制标准》（GB18599-2020）执行。</w:t>
            </w:r>
          </w:p>
          <w:p w14:paraId="66A9D7C8">
            <w:pPr>
              <w:pStyle w:val="67"/>
              <w:spacing w:line="360" w:lineRule="auto"/>
              <w:ind w:firstLine="480"/>
              <w:jc w:val="left"/>
              <w:rPr>
                <w:color w:val="000000"/>
              </w:rPr>
            </w:pPr>
            <w:r>
              <w:rPr>
                <w:rFonts w:hint="eastAsia"/>
                <w:color w:val="000000"/>
              </w:rPr>
              <w:t>危险废物按照《国家危险废物名录》（2025年版）进行分类收集，按《危险废物贮存污染控制标准》（GB18597-2023）相关要求暂存、处置。</w:t>
            </w:r>
          </w:p>
        </w:tc>
      </w:tr>
    </w:tbl>
    <w:p w14:paraId="08C5EDD8">
      <w:pPr>
        <w:pStyle w:val="76"/>
        <w:spacing w:after="120"/>
        <w:rPr>
          <w:rFonts w:ascii="Times New Roman" w:hAnsi="Times New Roman" w:eastAsia="宋体"/>
          <w:b/>
          <w:bCs/>
          <w:color w:val="000000"/>
        </w:rPr>
      </w:pPr>
      <w:bookmarkStart w:id="3" w:name="_Toc66545436"/>
      <w:r>
        <w:rPr>
          <w:rFonts w:ascii="Times New Roman" w:hAnsi="Times New Roman" w:eastAsia="宋体"/>
          <w:b/>
          <w:bCs/>
          <w:color w:val="000000"/>
        </w:rPr>
        <w:br w:type="page"/>
      </w:r>
      <w:r>
        <w:rPr>
          <w:rFonts w:ascii="Times New Roman" w:hAnsi="Times New Roman" w:eastAsia="宋体"/>
          <w:b/>
          <w:bCs/>
          <w:color w:val="000000"/>
        </w:rPr>
        <w:t>四、主要环境影响和保护措施</w:t>
      </w:r>
      <w:bookmarkEnd w:id="3"/>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28" w:type="dxa"/>
          <w:bottom w:w="0" w:type="dxa"/>
          <w:right w:w="28" w:type="dxa"/>
        </w:tblCellMar>
      </w:tblPr>
      <w:tblGrid>
        <w:gridCol w:w="640"/>
        <w:gridCol w:w="9058"/>
      </w:tblGrid>
      <w:tr w14:paraId="0D6E5A1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90" w:hRule="atLeast"/>
          <w:jc w:val="center"/>
        </w:trPr>
        <w:tc>
          <w:tcPr>
            <w:tcW w:w="330" w:type="pct"/>
            <w:vAlign w:val="center"/>
          </w:tcPr>
          <w:p w14:paraId="2C4224A7">
            <w:pPr>
              <w:jc w:val="center"/>
              <w:rPr>
                <w:rFonts w:ascii="Times New Roman" w:hAnsi="Times New Roman"/>
                <w:color w:val="000000"/>
                <w:sz w:val="24"/>
                <w:szCs w:val="24"/>
              </w:rPr>
            </w:pPr>
            <w:r>
              <w:rPr>
                <w:rFonts w:hint="eastAsia" w:ascii="Times New Roman" w:hAnsi="Times New Roman"/>
                <w:color w:val="000000"/>
                <w:sz w:val="24"/>
                <w:szCs w:val="24"/>
              </w:rPr>
              <w:t>施工期环境保护措施</w:t>
            </w:r>
          </w:p>
        </w:tc>
        <w:tc>
          <w:tcPr>
            <w:tcW w:w="4669" w:type="pct"/>
            <w:vAlign w:val="center"/>
          </w:tcPr>
          <w:p w14:paraId="0084E274">
            <w:pPr>
              <w:pStyle w:val="69"/>
              <w:spacing w:line="360" w:lineRule="auto"/>
              <w:rPr>
                <w:rFonts w:eastAsia="宋体"/>
                <w:color w:val="000000"/>
                <w:szCs w:val="24"/>
              </w:rPr>
            </w:pPr>
            <w:r>
              <w:rPr>
                <w:rFonts w:hint="eastAsia" w:eastAsia="宋体"/>
                <w:color w:val="000000"/>
                <w:szCs w:val="24"/>
              </w:rPr>
              <w:t>（一）施工期大气污染物排放及治理措施</w:t>
            </w:r>
          </w:p>
          <w:p w14:paraId="0D70D14D">
            <w:pPr>
              <w:spacing w:line="360" w:lineRule="auto"/>
              <w:ind w:firstLine="480" w:firstLineChars="200"/>
              <w:rPr>
                <w:rFonts w:ascii="Times New Roman" w:hAnsi="Times New Roman"/>
                <w:color w:val="000000"/>
                <w:sz w:val="24"/>
                <w:szCs w:val="24"/>
                <w:lang w:eastAsia="zh-CN"/>
              </w:rPr>
            </w:pPr>
            <w:r>
              <w:rPr>
                <w:rFonts w:ascii="Times New Roman" w:hAnsi="Times New Roman"/>
                <w:color w:val="000000"/>
                <w:sz w:val="24"/>
                <w:szCs w:val="24"/>
                <w:lang w:eastAsia="zh-CN"/>
              </w:rPr>
              <w:t>施工期废气产生来源：</w:t>
            </w:r>
          </w:p>
          <w:p w14:paraId="50CE8910">
            <w:pPr>
              <w:spacing w:line="360" w:lineRule="auto"/>
              <w:ind w:firstLine="480" w:firstLineChars="200"/>
              <w:rPr>
                <w:rFonts w:ascii="Times New Roman" w:hAnsi="Times New Roman"/>
                <w:color w:val="000000"/>
                <w:sz w:val="24"/>
                <w:szCs w:val="24"/>
                <w:lang w:eastAsia="zh-CN"/>
              </w:rPr>
            </w:pPr>
            <w:r>
              <w:rPr>
                <w:rFonts w:ascii="Times New Roman" w:hAnsi="Times New Roman"/>
                <w:color w:val="000000"/>
                <w:sz w:val="24"/>
                <w:szCs w:val="24"/>
                <w:lang w:eastAsia="zh-CN"/>
              </w:rPr>
              <w:t>（1）施工扬尘。施工扬尘产生环节为：场地平整、基础主体工程等。（2）汽车尾气。施工期间使用的各种动力机械（如载重汽车、铲车等）产生的尾气也使大气环境受到污染，尾气中所含的有害物质主要有CO、THC、NOx等。</w:t>
            </w:r>
          </w:p>
          <w:p w14:paraId="1E6D1284">
            <w:pPr>
              <w:spacing w:line="360" w:lineRule="auto"/>
              <w:ind w:firstLine="480" w:firstLineChars="200"/>
              <w:rPr>
                <w:rFonts w:ascii="Times New Roman" w:hAnsi="Times New Roman"/>
                <w:color w:val="000000"/>
                <w:sz w:val="24"/>
                <w:szCs w:val="24"/>
                <w:lang w:eastAsia="zh-CN"/>
              </w:rPr>
            </w:pPr>
            <w:r>
              <w:rPr>
                <w:rFonts w:ascii="Times New Roman" w:hAnsi="Times New Roman"/>
                <w:color w:val="000000"/>
                <w:sz w:val="24"/>
                <w:szCs w:val="24"/>
                <w:lang w:eastAsia="zh-CN"/>
              </w:rPr>
              <w:t>施工期废气防治措施：</w:t>
            </w:r>
          </w:p>
          <w:p w14:paraId="596C146A">
            <w:pPr>
              <w:spacing w:line="360" w:lineRule="auto"/>
              <w:ind w:firstLine="480" w:firstLineChars="200"/>
              <w:rPr>
                <w:rFonts w:ascii="Times New Roman" w:hAnsi="Times New Roman"/>
                <w:color w:val="000000"/>
                <w:sz w:val="24"/>
                <w:szCs w:val="24"/>
                <w:lang w:eastAsia="zh-CN"/>
              </w:rPr>
            </w:pPr>
            <w:r>
              <w:rPr>
                <w:rFonts w:ascii="Times New Roman" w:hAnsi="Times New Roman"/>
                <w:color w:val="000000"/>
                <w:sz w:val="24"/>
                <w:szCs w:val="24"/>
                <w:lang w:eastAsia="zh-CN"/>
              </w:rPr>
              <w:t>（1）制定合理的施工计划。针对施工任务和施工场地环境，制定合理的施工计划，项目施工采取集中施工方式，缩短工期。</w:t>
            </w:r>
          </w:p>
          <w:p w14:paraId="225804C5">
            <w:pPr>
              <w:spacing w:line="360" w:lineRule="auto"/>
              <w:ind w:firstLine="480" w:firstLineChars="200"/>
              <w:rPr>
                <w:rFonts w:ascii="Times New Roman" w:hAnsi="Times New Roman"/>
                <w:color w:val="000000"/>
                <w:sz w:val="24"/>
                <w:szCs w:val="24"/>
                <w:lang w:eastAsia="zh-CN"/>
              </w:rPr>
            </w:pPr>
            <w:r>
              <w:rPr>
                <w:rFonts w:ascii="Times New Roman" w:hAnsi="Times New Roman"/>
                <w:color w:val="000000"/>
                <w:sz w:val="24"/>
                <w:szCs w:val="24"/>
                <w:lang w:eastAsia="zh-CN"/>
              </w:rPr>
              <w:t>（2）设置围挡。在施工场地周围设置围挡，建筑垃圾的堆放不准超出场地围挡范围，施工场地内不准堆放生活垃圾；严禁高空</w:t>
            </w:r>
            <w:r>
              <w:rPr>
                <w:rFonts w:hint="eastAsia" w:ascii="Times New Roman" w:hAnsi="Times New Roman"/>
                <w:color w:val="000000"/>
                <w:sz w:val="24"/>
                <w:szCs w:val="24"/>
                <w:lang w:eastAsia="zh-CN"/>
              </w:rPr>
              <w:t>抛洒</w:t>
            </w:r>
            <w:r>
              <w:rPr>
                <w:rFonts w:ascii="Times New Roman" w:hAnsi="Times New Roman"/>
                <w:color w:val="000000"/>
                <w:sz w:val="24"/>
                <w:szCs w:val="24"/>
                <w:lang w:eastAsia="zh-CN"/>
              </w:rPr>
              <w:t>建筑垃圾。粉料及其他原料堆存使用遮盖，建筑材料运输过程中进行遮盖，防止撒漏，尽可能减少运输中产生的扬尘。</w:t>
            </w:r>
          </w:p>
          <w:p w14:paraId="25BBC060">
            <w:pPr>
              <w:spacing w:line="360" w:lineRule="auto"/>
              <w:ind w:firstLine="480" w:firstLineChars="200"/>
              <w:rPr>
                <w:rFonts w:ascii="Times New Roman" w:hAnsi="Times New Roman"/>
                <w:color w:val="000000"/>
                <w:sz w:val="24"/>
                <w:szCs w:val="24"/>
                <w:lang w:eastAsia="zh-CN"/>
              </w:rPr>
            </w:pPr>
            <w:r>
              <w:rPr>
                <w:rFonts w:ascii="Times New Roman" w:hAnsi="Times New Roman"/>
                <w:color w:val="000000"/>
                <w:sz w:val="24"/>
                <w:szCs w:val="24"/>
                <w:lang w:eastAsia="zh-CN"/>
              </w:rPr>
              <w:t>（3）定期洒水。在施工场地安排人员定期对施工场地洒水以减少扬尘量，洒水次数根据天气状况而定，一般每天洒水1-2次，若遇大风或干燥天气可适当增加次数。</w:t>
            </w:r>
          </w:p>
          <w:p w14:paraId="2ECFEF4E">
            <w:pPr>
              <w:spacing w:line="360" w:lineRule="auto"/>
              <w:ind w:firstLine="480" w:firstLineChars="200"/>
              <w:rPr>
                <w:rFonts w:ascii="Times New Roman" w:hAnsi="Times New Roman"/>
                <w:color w:val="000000"/>
                <w:sz w:val="24"/>
                <w:szCs w:val="24"/>
                <w:lang w:eastAsia="zh-CN"/>
              </w:rPr>
            </w:pPr>
            <w:r>
              <w:rPr>
                <w:rFonts w:ascii="Times New Roman" w:hAnsi="Times New Roman"/>
                <w:color w:val="000000"/>
                <w:sz w:val="24"/>
                <w:szCs w:val="24"/>
                <w:lang w:eastAsia="zh-CN"/>
              </w:rPr>
              <w:t>（4）合理规划车辆行驶路线。施工现场应合理布置车辆行驶路线，保证行驶速度，减少怠速时间，以减少机动车尾气的排放。</w:t>
            </w:r>
          </w:p>
          <w:p w14:paraId="7A1C414C">
            <w:pPr>
              <w:spacing w:line="360" w:lineRule="auto"/>
              <w:ind w:firstLine="480" w:firstLineChars="200"/>
              <w:rPr>
                <w:rFonts w:ascii="Times New Roman" w:hAnsi="Times New Roman"/>
                <w:color w:val="000000"/>
                <w:sz w:val="24"/>
                <w:szCs w:val="24"/>
                <w:lang w:eastAsia="zh-CN"/>
              </w:rPr>
            </w:pPr>
            <w:r>
              <w:rPr>
                <w:rFonts w:ascii="Times New Roman" w:hAnsi="Times New Roman"/>
                <w:color w:val="000000"/>
                <w:sz w:val="24"/>
                <w:szCs w:val="24"/>
                <w:lang w:eastAsia="zh-CN"/>
              </w:rPr>
              <w:t>综上所述，项目施工期大气污染物采取合理防护措施后对项目区及周围大气环境影响不大，且随施工结束而消除，不会造成长期影响。</w:t>
            </w:r>
          </w:p>
          <w:p w14:paraId="29020921">
            <w:pPr>
              <w:pStyle w:val="69"/>
              <w:spacing w:line="360" w:lineRule="auto"/>
              <w:rPr>
                <w:rFonts w:eastAsia="宋体"/>
                <w:color w:val="000000"/>
                <w:szCs w:val="24"/>
              </w:rPr>
            </w:pPr>
            <w:r>
              <w:rPr>
                <w:rFonts w:hint="eastAsia" w:eastAsia="宋体"/>
                <w:color w:val="000000"/>
                <w:szCs w:val="24"/>
              </w:rPr>
              <w:t>（二）施工期废水排放及处理措施</w:t>
            </w:r>
          </w:p>
          <w:p w14:paraId="4E250F07">
            <w:pPr>
              <w:spacing w:line="360" w:lineRule="auto"/>
              <w:ind w:firstLine="480" w:firstLineChars="200"/>
              <w:rPr>
                <w:rFonts w:ascii="Times New Roman" w:hAnsi="Times New Roman"/>
                <w:color w:val="000000"/>
                <w:sz w:val="24"/>
                <w:szCs w:val="24"/>
                <w:lang w:eastAsia="zh-CN"/>
              </w:rPr>
            </w:pPr>
            <w:r>
              <w:rPr>
                <w:rFonts w:hint="eastAsia" w:ascii="Times New Roman" w:hAnsi="Times New Roman"/>
                <w:color w:val="000000"/>
                <w:sz w:val="24"/>
                <w:szCs w:val="24"/>
                <w:lang w:eastAsia="zh-CN"/>
              </w:rPr>
              <w:t>施工期废水主要是施工人员产生的生活污水</w:t>
            </w:r>
            <w:r>
              <w:rPr>
                <w:rFonts w:hint="eastAsia"/>
                <w:lang w:eastAsia="zh-CN"/>
              </w:rPr>
              <w:t>和</w:t>
            </w:r>
            <w:r>
              <w:rPr>
                <w:rFonts w:hint="eastAsia" w:ascii="Times New Roman" w:hAnsi="Times New Roman"/>
                <w:color w:val="000000"/>
                <w:sz w:val="24"/>
                <w:szCs w:val="24"/>
                <w:lang w:eastAsia="zh-CN"/>
              </w:rPr>
              <w:t>施工废水。</w:t>
            </w:r>
          </w:p>
          <w:p w14:paraId="7EBE69CA">
            <w:pPr>
              <w:spacing w:line="360" w:lineRule="auto"/>
              <w:ind w:firstLine="480" w:firstLineChars="200"/>
              <w:rPr>
                <w:rFonts w:ascii="Times New Roman" w:hAnsi="Times New Roman"/>
                <w:color w:val="000000"/>
                <w:sz w:val="24"/>
                <w:szCs w:val="24"/>
                <w:lang w:eastAsia="zh-CN"/>
              </w:rPr>
            </w:pPr>
            <w:r>
              <w:rPr>
                <w:rFonts w:hint="eastAsia" w:ascii="Times New Roman" w:hAnsi="Times New Roman"/>
                <w:color w:val="000000"/>
                <w:sz w:val="24"/>
                <w:szCs w:val="24"/>
                <w:lang w:eastAsia="zh-CN"/>
              </w:rPr>
              <w:t>（1）生活污水</w:t>
            </w:r>
          </w:p>
          <w:p w14:paraId="69ED59F3">
            <w:pPr>
              <w:spacing w:line="360" w:lineRule="auto"/>
              <w:ind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生活污水由环卫部门吸粪车定期抽运，送七克台镇生活污水处理站集中处理后排放。</w:t>
            </w:r>
          </w:p>
          <w:p w14:paraId="51A0AAF3">
            <w:pPr>
              <w:spacing w:line="360" w:lineRule="auto"/>
              <w:ind w:firstLine="480" w:firstLineChars="200"/>
              <w:rPr>
                <w:rFonts w:ascii="Times New Roman" w:hAnsi="Times New Roman"/>
                <w:color w:val="000000"/>
                <w:sz w:val="24"/>
                <w:szCs w:val="24"/>
                <w:lang w:eastAsia="zh-CN"/>
              </w:rPr>
            </w:pPr>
            <w:r>
              <w:rPr>
                <w:rFonts w:hint="eastAsia" w:ascii="Times New Roman" w:hAnsi="Times New Roman"/>
                <w:color w:val="000000"/>
                <w:sz w:val="24"/>
                <w:szCs w:val="24"/>
                <w:lang w:eastAsia="zh-CN"/>
              </w:rPr>
              <w:t>（2）施工废水</w:t>
            </w:r>
          </w:p>
          <w:p w14:paraId="1BCB06CB">
            <w:pPr>
              <w:spacing w:line="360" w:lineRule="auto"/>
              <w:ind w:firstLine="480" w:firstLineChars="200"/>
              <w:rPr>
                <w:rFonts w:ascii="Times New Roman" w:hAnsi="Times New Roman"/>
                <w:color w:val="000000"/>
                <w:sz w:val="24"/>
                <w:szCs w:val="24"/>
                <w:lang w:eastAsia="zh-CN"/>
              </w:rPr>
            </w:pPr>
            <w:r>
              <w:rPr>
                <w:rFonts w:hint="eastAsia" w:ascii="Times New Roman" w:hAnsi="Times New Roman"/>
                <w:color w:val="000000"/>
                <w:sz w:val="24"/>
                <w:szCs w:val="24"/>
                <w:lang w:eastAsia="zh-CN"/>
              </w:rPr>
              <w:t>施工废水来源于施工设备和机械设备的洗涤水、建筑施工过程中的混凝土养护废水等，其中：混凝土养护废水自然蒸发后消耗；施工设备、机械设备废水中主要含有少量的泥沙、SS外，基本不含其他污染指标，经沉淀处理后回用。</w:t>
            </w:r>
          </w:p>
          <w:p w14:paraId="56D05D68">
            <w:pPr>
              <w:spacing w:line="360" w:lineRule="auto"/>
              <w:ind w:firstLine="480" w:firstLineChars="200"/>
              <w:rPr>
                <w:rFonts w:ascii="Times New Roman" w:hAnsi="Times New Roman"/>
                <w:color w:val="000000"/>
                <w:lang w:eastAsia="zh-CN"/>
              </w:rPr>
            </w:pPr>
            <w:r>
              <w:rPr>
                <w:rFonts w:hint="eastAsia" w:ascii="Times New Roman" w:hAnsi="Times New Roman"/>
                <w:color w:val="000000"/>
                <w:sz w:val="24"/>
                <w:szCs w:val="24"/>
                <w:lang w:eastAsia="zh-CN"/>
              </w:rPr>
              <w:t>综上所述，在严格执行以上环保措施后，项目施工废水对周围环境影响很小</w:t>
            </w:r>
            <w:r>
              <w:rPr>
                <w:rFonts w:hint="eastAsia" w:ascii="Times New Roman" w:hAnsi="Times New Roman"/>
                <w:color w:val="000000"/>
                <w:lang w:eastAsia="zh-CN"/>
              </w:rPr>
              <w:t>。</w:t>
            </w:r>
          </w:p>
          <w:p w14:paraId="3AA0F24C">
            <w:pPr>
              <w:pStyle w:val="69"/>
              <w:spacing w:line="360" w:lineRule="auto"/>
              <w:rPr>
                <w:rFonts w:hint="eastAsia" w:eastAsia="宋体"/>
                <w:color w:val="000000"/>
              </w:rPr>
            </w:pPr>
          </w:p>
          <w:p w14:paraId="129C3973">
            <w:pPr>
              <w:pStyle w:val="69"/>
              <w:spacing w:line="360" w:lineRule="auto"/>
              <w:rPr>
                <w:rFonts w:eastAsia="宋体"/>
                <w:color w:val="000000"/>
              </w:rPr>
            </w:pPr>
            <w:r>
              <w:rPr>
                <w:rFonts w:hint="eastAsia" w:eastAsia="宋体"/>
                <w:color w:val="000000"/>
              </w:rPr>
              <w:t>（三）施工期噪声污染及治理措施</w:t>
            </w:r>
          </w:p>
          <w:p w14:paraId="0E549C04">
            <w:pPr>
              <w:spacing w:line="360" w:lineRule="auto"/>
              <w:ind w:firstLine="480" w:firstLineChars="200"/>
              <w:rPr>
                <w:rFonts w:ascii="Times New Roman" w:hAnsi="Times New Roman"/>
                <w:color w:val="000000"/>
                <w:sz w:val="24"/>
                <w:szCs w:val="24"/>
                <w:lang w:eastAsia="zh-CN"/>
              </w:rPr>
            </w:pPr>
            <w:r>
              <w:rPr>
                <w:rFonts w:hint="eastAsia" w:ascii="Times New Roman" w:hAnsi="Times New Roman"/>
                <w:color w:val="000000"/>
                <w:sz w:val="24"/>
                <w:szCs w:val="24"/>
                <w:lang w:eastAsia="zh-CN"/>
              </w:rPr>
              <w:t>本项目施工噪声主要为设备噪声。在施工期间，为降低本项目施工期间噪声对声环境造成的影响，施工方要加强管理，采取如下噪声控制措施：</w:t>
            </w:r>
          </w:p>
          <w:p w14:paraId="5EF1F182">
            <w:pPr>
              <w:spacing w:line="360" w:lineRule="auto"/>
              <w:ind w:firstLine="480" w:firstLineChars="200"/>
              <w:rPr>
                <w:rFonts w:ascii="Times New Roman" w:hAnsi="Times New Roman"/>
                <w:color w:val="000000"/>
                <w:sz w:val="24"/>
                <w:szCs w:val="24"/>
                <w:lang w:eastAsia="zh-CN"/>
              </w:rPr>
            </w:pPr>
            <w:r>
              <w:rPr>
                <w:rFonts w:hint="eastAsia" w:ascii="Times New Roman" w:hAnsi="Times New Roman"/>
                <w:color w:val="000000"/>
                <w:sz w:val="24"/>
                <w:szCs w:val="24"/>
                <w:lang w:eastAsia="zh-CN"/>
              </w:rPr>
              <w:t>（1）建设单位应当按照规定将噪声污染防治费用列入工程造价，在施工合同中明确施工单位的噪声污染防治责任。施工单位应当按照规定制定噪声污染防治实施方案，采取有效措施，减少振动、降低噪声。建设单位应当监督施工单位落实噪声污染防治实施方案。</w:t>
            </w:r>
          </w:p>
          <w:p w14:paraId="02CB00F1">
            <w:pPr>
              <w:spacing w:line="360" w:lineRule="auto"/>
              <w:ind w:firstLine="480" w:firstLineChars="200"/>
              <w:rPr>
                <w:rFonts w:ascii="Times New Roman" w:hAnsi="Times New Roman"/>
                <w:color w:val="000000"/>
                <w:sz w:val="24"/>
                <w:szCs w:val="24"/>
                <w:lang w:eastAsia="zh-CN"/>
              </w:rPr>
            </w:pPr>
            <w:r>
              <w:rPr>
                <w:rFonts w:hint="eastAsia" w:ascii="Times New Roman" w:hAnsi="Times New Roman"/>
                <w:color w:val="000000"/>
                <w:sz w:val="24"/>
                <w:szCs w:val="24"/>
                <w:lang w:eastAsia="zh-CN"/>
              </w:rPr>
              <w:t>（2）优先使用低噪声施工工艺和设备。</w:t>
            </w:r>
          </w:p>
          <w:p w14:paraId="40EFC291">
            <w:pPr>
              <w:spacing w:line="360" w:lineRule="auto"/>
              <w:ind w:firstLine="480" w:firstLineChars="200"/>
              <w:rPr>
                <w:rFonts w:ascii="Times New Roman" w:hAnsi="Times New Roman"/>
                <w:color w:val="000000"/>
                <w:kern w:val="2"/>
                <w:lang w:eastAsia="zh-CN"/>
              </w:rPr>
            </w:pPr>
            <w:r>
              <w:rPr>
                <w:rFonts w:hint="eastAsia" w:ascii="Times New Roman" w:hAnsi="Times New Roman"/>
                <w:color w:val="000000"/>
                <w:sz w:val="24"/>
                <w:szCs w:val="24"/>
                <w:lang w:eastAsia="zh-CN"/>
              </w:rPr>
              <w:t>通过上述噪声预防控制措施落实后，项目施工用地噪声可满足</w:t>
            </w:r>
            <w:r>
              <w:rPr>
                <w:rFonts w:ascii="Times New Roman" w:hAnsi="Times New Roman"/>
                <w:color w:val="000000"/>
                <w:lang w:eastAsia="zh-CN"/>
              </w:rPr>
              <w:t>《</w:t>
            </w:r>
            <w:r>
              <w:rPr>
                <w:rFonts w:hint="eastAsia" w:ascii="Times New Roman" w:hAnsi="Times New Roman"/>
                <w:color w:val="000000"/>
                <w:lang w:eastAsia="zh-CN"/>
              </w:rPr>
              <w:t>建筑施工</w:t>
            </w:r>
            <w:r>
              <w:rPr>
                <w:rFonts w:ascii="Times New Roman" w:hAnsi="Times New Roman"/>
                <w:color w:val="000000"/>
                <w:lang w:eastAsia="zh-CN"/>
              </w:rPr>
              <w:t>噪声排放标准》</w:t>
            </w:r>
            <w:r>
              <w:rPr>
                <w:rFonts w:hint="eastAsia" w:ascii="Times New Roman" w:hAnsi="Times New Roman"/>
                <w:color w:val="000000"/>
                <w:sz w:val="24"/>
                <w:szCs w:val="24"/>
                <w:lang w:eastAsia="zh-CN"/>
              </w:rPr>
              <w:t>（GB12523-2025）标准的要求，同时对周边声环境保护目标的影响可接受</w:t>
            </w:r>
            <w:r>
              <w:rPr>
                <w:rFonts w:ascii="Times New Roman" w:hAnsi="Times New Roman"/>
                <w:color w:val="000000"/>
                <w:sz w:val="24"/>
                <w:szCs w:val="24"/>
                <w:lang w:eastAsia="zh-CN"/>
              </w:rPr>
              <w:t>。</w:t>
            </w:r>
          </w:p>
          <w:p w14:paraId="4908042D">
            <w:pPr>
              <w:pStyle w:val="69"/>
              <w:spacing w:line="360" w:lineRule="auto"/>
              <w:rPr>
                <w:rFonts w:eastAsia="宋体"/>
                <w:color w:val="000000"/>
              </w:rPr>
            </w:pPr>
            <w:r>
              <w:rPr>
                <w:rFonts w:hint="eastAsia" w:eastAsia="宋体"/>
                <w:color w:val="000000"/>
              </w:rPr>
              <w:t>（四）施工期固体废物处置措施</w:t>
            </w:r>
          </w:p>
          <w:p w14:paraId="53951879">
            <w:pPr>
              <w:spacing w:line="360" w:lineRule="auto"/>
              <w:ind w:left="502" w:leftChars="228"/>
              <w:rPr>
                <w:rFonts w:ascii="Times New Roman" w:hAnsi="Times New Roman"/>
                <w:color w:val="000000"/>
                <w:sz w:val="24"/>
                <w:szCs w:val="24"/>
                <w:lang w:eastAsia="zh-CN"/>
              </w:rPr>
            </w:pPr>
            <w:r>
              <w:rPr>
                <w:rFonts w:hint="eastAsia" w:ascii="Times New Roman" w:hAnsi="Times New Roman"/>
                <w:color w:val="000000"/>
                <w:sz w:val="24"/>
                <w:szCs w:val="24"/>
                <w:lang w:eastAsia="zh-CN"/>
              </w:rPr>
              <w:t>（1）生活垃圾</w:t>
            </w:r>
          </w:p>
          <w:p w14:paraId="19D8C9E7">
            <w:pPr>
              <w:spacing w:line="360" w:lineRule="auto"/>
              <w:ind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生活垃圾经垃圾桶分类收集，交由环卫部门清运至指定地点。</w:t>
            </w:r>
          </w:p>
          <w:p w14:paraId="2CC664A2">
            <w:pPr>
              <w:spacing w:line="360" w:lineRule="auto"/>
              <w:ind w:firstLine="480" w:firstLineChars="200"/>
              <w:rPr>
                <w:rFonts w:ascii="Times New Roman" w:hAnsi="Times New Roman"/>
                <w:color w:val="000000"/>
                <w:sz w:val="24"/>
                <w:szCs w:val="24"/>
                <w:lang w:eastAsia="zh-CN"/>
              </w:rPr>
            </w:pPr>
            <w:r>
              <w:rPr>
                <w:rFonts w:hint="eastAsia" w:ascii="Times New Roman" w:hAnsi="Times New Roman"/>
                <w:color w:val="000000"/>
                <w:sz w:val="24"/>
                <w:szCs w:val="24"/>
                <w:lang w:eastAsia="zh-CN"/>
              </w:rPr>
              <w:t>（2）废弃建筑材料</w:t>
            </w:r>
          </w:p>
          <w:p w14:paraId="520F59CA">
            <w:pPr>
              <w:spacing w:line="360" w:lineRule="auto"/>
              <w:ind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本项目建设过程中会产生部分废弃建筑材料，主要为废金属、废材料包装，外售废品回收站利用。</w:t>
            </w:r>
          </w:p>
          <w:p w14:paraId="31F48A67">
            <w:pPr>
              <w:pStyle w:val="67"/>
              <w:spacing w:line="360" w:lineRule="auto"/>
              <w:ind w:firstLine="480"/>
              <w:rPr>
                <w:color w:val="000000"/>
              </w:rPr>
            </w:pPr>
            <w:r>
              <w:rPr>
                <w:rFonts w:hint="eastAsia"/>
                <w:color w:val="000000"/>
              </w:rPr>
              <w:t>综上所述，项目施工期在严格落实了本环评提出的上述措施后，施工期的固体废物可得到合理处置，不会造成二次污染。</w:t>
            </w:r>
          </w:p>
        </w:tc>
      </w:tr>
      <w:tr w14:paraId="5EC54CC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567" w:hRule="atLeast"/>
          <w:jc w:val="center"/>
        </w:trPr>
        <w:tc>
          <w:tcPr>
            <w:tcW w:w="330" w:type="pct"/>
            <w:vAlign w:val="center"/>
          </w:tcPr>
          <w:p w14:paraId="5D835243">
            <w:pPr>
              <w:jc w:val="center"/>
              <w:rPr>
                <w:rFonts w:ascii="Times New Roman" w:hAnsi="Times New Roman"/>
                <w:color w:val="000000"/>
                <w:sz w:val="24"/>
                <w:szCs w:val="24"/>
                <w:lang w:eastAsia="zh-CN"/>
              </w:rPr>
            </w:pPr>
            <w:r>
              <w:rPr>
                <w:rFonts w:hint="eastAsia" w:ascii="Times New Roman" w:hAnsi="Times New Roman"/>
                <w:color w:val="000000"/>
                <w:sz w:val="24"/>
                <w:szCs w:val="24"/>
                <w:lang w:eastAsia="zh-CN"/>
              </w:rPr>
              <w:t>运营期环境影响和保护措施</w:t>
            </w:r>
          </w:p>
        </w:tc>
        <w:tc>
          <w:tcPr>
            <w:tcW w:w="4669" w:type="pct"/>
            <w:vAlign w:val="center"/>
          </w:tcPr>
          <w:p w14:paraId="11F7C4BC">
            <w:pPr>
              <w:pStyle w:val="69"/>
              <w:spacing w:before="120" w:beforeLines="50" w:line="360" w:lineRule="auto"/>
              <w:rPr>
                <w:rFonts w:eastAsia="宋体"/>
                <w:color w:val="000000"/>
                <w:szCs w:val="24"/>
              </w:rPr>
            </w:pPr>
            <w:r>
              <w:rPr>
                <w:rFonts w:hint="eastAsia" w:eastAsia="宋体"/>
                <w:color w:val="000000"/>
                <w:szCs w:val="24"/>
              </w:rPr>
              <w:t>（一）废气</w:t>
            </w:r>
          </w:p>
          <w:p w14:paraId="69432574">
            <w:pPr>
              <w:pStyle w:val="72"/>
              <w:spacing w:line="360" w:lineRule="auto"/>
              <w:ind w:firstLine="482"/>
              <w:rPr>
                <w:color w:val="000000"/>
              </w:rPr>
            </w:pPr>
            <w:r>
              <w:rPr>
                <w:rFonts w:hint="eastAsia"/>
                <w:color w:val="000000"/>
              </w:rPr>
              <w:t>1、废气产污环节及治理措施</w:t>
            </w:r>
          </w:p>
          <w:p w14:paraId="5000C614">
            <w:pPr>
              <w:pStyle w:val="72"/>
              <w:spacing w:line="360" w:lineRule="auto"/>
              <w:ind w:firstLine="480"/>
              <w:rPr>
                <w:b w:val="0"/>
                <w:bCs/>
                <w:color w:val="000000"/>
              </w:rPr>
            </w:pPr>
            <w:r>
              <w:rPr>
                <w:rFonts w:hint="eastAsia"/>
                <w:b w:val="0"/>
                <w:bCs/>
                <w:color w:val="000000"/>
              </w:rPr>
              <w:t>本项目废气主要为装料粉尘、运输扬尘、卸料粉尘和筛分上料口粉尘。</w:t>
            </w:r>
          </w:p>
          <w:p w14:paraId="3AD354D3">
            <w:pPr>
              <w:pStyle w:val="72"/>
              <w:spacing w:before="120" w:beforeLines="50" w:line="360" w:lineRule="auto"/>
              <w:ind w:firstLine="482"/>
              <w:rPr>
                <w:color w:val="000000"/>
              </w:rPr>
            </w:pPr>
            <w:r>
              <w:rPr>
                <w:rFonts w:hint="eastAsia"/>
                <w:color w:val="000000"/>
              </w:rPr>
              <w:t>2、废气源强计算</w:t>
            </w:r>
          </w:p>
          <w:p w14:paraId="5869EC75">
            <w:pPr>
              <w:pStyle w:val="69"/>
              <w:spacing w:line="360" w:lineRule="auto"/>
              <w:ind w:firstLine="480" w:firstLineChars="200"/>
              <w:rPr>
                <w:rFonts w:eastAsia="宋体"/>
                <w:b w:val="0"/>
                <w:bCs/>
                <w:color w:val="000000"/>
                <w:szCs w:val="24"/>
              </w:rPr>
            </w:pPr>
            <w:r>
              <w:rPr>
                <w:rFonts w:hint="eastAsia" w:eastAsia="宋体"/>
                <w:b w:val="0"/>
                <w:bCs/>
                <w:color w:val="000000"/>
                <w:szCs w:val="24"/>
              </w:rPr>
              <w:t>（1）装料粉尘</w:t>
            </w:r>
          </w:p>
          <w:p w14:paraId="47BEEE22">
            <w:pPr>
              <w:pStyle w:val="67"/>
              <w:spacing w:line="360" w:lineRule="auto"/>
              <w:ind w:firstLine="480"/>
              <w:jc w:val="left"/>
              <w:rPr>
                <w:position w:val="-28"/>
              </w:rPr>
            </w:pPr>
            <w:r>
              <w:rPr>
                <w:rFonts w:hint="eastAsia" w:eastAsia="宋体"/>
                <w:b w:val="0"/>
                <w:bCs/>
                <w:color w:val="000000"/>
                <w:szCs w:val="24"/>
              </w:rPr>
              <w:t>本项目原料主要为含金</w:t>
            </w:r>
            <w:r>
              <w:rPr>
                <w:rFonts w:hint="eastAsia" w:eastAsia="宋体"/>
                <w:b w:val="0"/>
                <w:bCs/>
                <w:color w:val="000000"/>
                <w:szCs w:val="24"/>
                <w:lang w:eastAsia="zh-CN"/>
              </w:rPr>
              <w:t>废渣</w:t>
            </w:r>
            <w:r>
              <w:rPr>
                <w:rFonts w:hint="eastAsia" w:eastAsia="宋体"/>
                <w:b w:val="0"/>
                <w:bCs/>
                <w:color w:val="000000"/>
                <w:szCs w:val="24"/>
              </w:rPr>
              <w:t>，装料粉尘主要为</w:t>
            </w:r>
            <w:r>
              <w:rPr>
                <w:rFonts w:hint="eastAsia" w:eastAsia="宋体"/>
                <w:b w:val="0"/>
                <w:bCs/>
                <w:color w:val="000000"/>
                <w:szCs w:val="24"/>
                <w:lang w:eastAsia="zh-CN"/>
              </w:rPr>
              <w:t>废渣</w:t>
            </w:r>
            <w:r>
              <w:rPr>
                <w:rFonts w:hint="eastAsia" w:eastAsia="宋体"/>
                <w:b w:val="0"/>
                <w:bCs/>
                <w:color w:val="000000"/>
                <w:szCs w:val="24"/>
              </w:rPr>
              <w:t>装料时产生的粉尘（使用铲车仅装料，装料后送往上料车间内给料仓进行上料），装料产生的粉尘与物料的湿度、装卸区风速等因素有关</w:t>
            </w:r>
            <w:r>
              <w:rPr>
                <w:rFonts w:hint="eastAsia"/>
                <w:b w:val="0"/>
                <w:bCs/>
                <w:color w:val="000000"/>
                <w:szCs w:val="24"/>
                <w:lang w:eastAsia="zh-CN"/>
              </w:rPr>
              <w:t>，项目同步采取洒水、设置围挡、出入车辆冲洗等多重粉尘管控措施</w:t>
            </w:r>
            <w:r>
              <w:rPr>
                <w:rFonts w:hint="eastAsia" w:eastAsia="宋体"/>
                <w:b w:val="0"/>
                <w:bCs/>
                <w:color w:val="000000"/>
                <w:szCs w:val="24"/>
              </w:rPr>
              <w:t>。</w:t>
            </w:r>
          </w:p>
          <w:p w14:paraId="4B441847">
            <w:pPr>
              <w:pStyle w:val="67"/>
              <w:spacing w:line="360" w:lineRule="auto"/>
              <w:ind w:firstLine="480"/>
              <w:rPr>
                <w:szCs w:val="22"/>
              </w:rPr>
            </w:pPr>
            <w:r>
              <w:rPr>
                <w:rFonts w:hint="eastAsia"/>
                <w:szCs w:val="22"/>
              </w:rPr>
              <w:t>（2）运输扬尘</w:t>
            </w:r>
          </w:p>
          <w:p w14:paraId="1C6119CA">
            <w:pPr>
              <w:pStyle w:val="67"/>
              <w:spacing w:line="360" w:lineRule="auto"/>
              <w:ind w:firstLine="480"/>
              <w:jc w:val="center"/>
              <w:rPr>
                <w:position w:val="-6"/>
              </w:rPr>
            </w:pPr>
            <w:r>
              <w:rPr>
                <w:rFonts w:hint="eastAsia"/>
                <w:szCs w:val="22"/>
              </w:rPr>
              <w:t>本项目运输过程会产生扬尘，</w:t>
            </w:r>
            <w:r>
              <w:rPr>
                <w:rFonts w:hint="eastAsia"/>
                <w:szCs w:val="22"/>
                <w:lang w:val="en-US" w:eastAsia="zh-CN"/>
              </w:rPr>
              <w:t>通过</w:t>
            </w:r>
            <w:r>
              <w:rPr>
                <w:rFonts w:hint="eastAsia"/>
              </w:rPr>
              <w:t>控制车速</w:t>
            </w:r>
            <w:r>
              <w:rPr>
                <w:rFonts w:hint="eastAsia"/>
                <w:lang w:eastAsia="zh-CN"/>
              </w:rPr>
              <w:t>，</w:t>
            </w:r>
            <w:r>
              <w:rPr>
                <w:rFonts w:hint="eastAsia"/>
              </w:rPr>
              <w:t>洒水抑尘等措施，</w:t>
            </w:r>
            <w:r>
              <w:rPr>
                <w:rFonts w:hint="eastAsia"/>
                <w:lang w:val="en-US" w:eastAsia="zh-CN"/>
              </w:rPr>
              <w:t>控制运输扬尘。</w:t>
            </w:r>
          </w:p>
          <w:p w14:paraId="3E96E3D0">
            <w:pPr>
              <w:pStyle w:val="69"/>
              <w:spacing w:line="360" w:lineRule="auto"/>
              <w:ind w:firstLine="480" w:firstLineChars="200"/>
              <w:rPr>
                <w:bCs/>
                <w:color w:val="000000"/>
              </w:rPr>
            </w:pPr>
            <w:r>
              <w:rPr>
                <w:rFonts w:hint="eastAsia" w:eastAsia="宋体"/>
                <w:b w:val="0"/>
                <w:bCs/>
                <w:color w:val="000000"/>
                <w:szCs w:val="24"/>
              </w:rPr>
              <w:t>（3）卸料粉尘</w:t>
            </w:r>
          </w:p>
          <w:p w14:paraId="7D4126E8">
            <w:pPr>
              <w:pStyle w:val="67"/>
              <w:spacing w:line="360" w:lineRule="auto"/>
              <w:ind w:firstLine="480"/>
            </w:pPr>
            <w:r>
              <w:rPr>
                <w:rFonts w:hint="eastAsia" w:eastAsia="宋体"/>
                <w:b w:val="0"/>
                <w:bCs/>
                <w:color w:val="000000"/>
                <w:szCs w:val="24"/>
              </w:rPr>
              <w:t xml:space="preserve">  </w:t>
            </w:r>
            <w:r>
              <w:rPr>
                <w:rFonts w:hint="eastAsia" w:eastAsia="宋体"/>
                <w:b w:val="0"/>
                <w:bCs/>
                <w:color w:val="000000"/>
                <w:szCs w:val="24"/>
                <w:lang w:eastAsia="zh-CN"/>
              </w:rPr>
              <w:t>废渣</w:t>
            </w:r>
            <w:r>
              <w:rPr>
                <w:rFonts w:hint="eastAsia" w:eastAsia="宋体"/>
                <w:b w:val="0"/>
                <w:bCs/>
                <w:color w:val="000000"/>
                <w:szCs w:val="24"/>
              </w:rPr>
              <w:t>卸料位于密闭车间内（即上料车间），在</w:t>
            </w:r>
            <w:r>
              <w:rPr>
                <w:rFonts w:hint="eastAsia" w:eastAsia="宋体"/>
                <w:b w:val="0"/>
                <w:bCs/>
                <w:color w:val="000000"/>
                <w:szCs w:val="24"/>
                <w:lang w:eastAsia="zh-CN"/>
              </w:rPr>
              <w:t>废渣</w:t>
            </w:r>
            <w:r>
              <w:rPr>
                <w:rFonts w:hint="eastAsia" w:eastAsia="宋体"/>
                <w:b w:val="0"/>
                <w:bCs/>
                <w:color w:val="000000"/>
                <w:szCs w:val="24"/>
              </w:rPr>
              <w:t>卸料点上方安装水雾喷头。</w:t>
            </w:r>
          </w:p>
          <w:p w14:paraId="477E903C">
            <w:pPr>
              <w:pStyle w:val="67"/>
              <w:spacing w:line="360" w:lineRule="auto"/>
              <w:ind w:firstLine="480"/>
            </w:pPr>
            <w:r>
              <w:rPr>
                <w:rFonts w:hint="eastAsia"/>
              </w:rPr>
              <w:t>（4）筛分上料口粉尘</w:t>
            </w:r>
          </w:p>
          <w:p w14:paraId="5D7034AC">
            <w:pPr>
              <w:pStyle w:val="67"/>
              <w:spacing w:line="360" w:lineRule="auto"/>
              <w:ind w:firstLine="480"/>
            </w:pPr>
            <w:r>
              <w:rPr>
                <w:rFonts w:hint="eastAsia"/>
                <w:lang w:eastAsia="zh-CN"/>
              </w:rPr>
              <w:t>废渣</w:t>
            </w:r>
            <w:r>
              <w:rPr>
                <w:rFonts w:hint="eastAsia"/>
              </w:rPr>
              <w:t>经给料仓底部给料机经密闭传送带输送至无轴滚筒筛，进行物料筛分，物料经密闭皮带输送至无轴滚筒筛落料口，密闭传送带末端落料点位设置高压喷淋装置，持续喷洒清水使干渣充分润湿制浆后再落入无轴滚筒筛；物料完全以湿矿浆状态进入筛分设备，消除干料落差上料起尘条件，该工段筛分上料口粉尘产生量可忽略不计，因此不再核算源强。</w:t>
            </w:r>
          </w:p>
          <w:p w14:paraId="00199F7D">
            <w:pPr>
              <w:pStyle w:val="69"/>
              <w:spacing w:before="120" w:beforeLines="50" w:line="360" w:lineRule="auto"/>
              <w:rPr>
                <w:rFonts w:eastAsia="宋体"/>
                <w:color w:val="000000"/>
                <w:szCs w:val="24"/>
              </w:rPr>
            </w:pPr>
            <w:r>
              <w:rPr>
                <w:rFonts w:hint="eastAsia" w:eastAsia="宋体"/>
                <w:color w:val="000000"/>
                <w:szCs w:val="24"/>
              </w:rPr>
              <w:t>（二）废水</w:t>
            </w:r>
          </w:p>
          <w:p w14:paraId="7208388D">
            <w:pPr>
              <w:pStyle w:val="72"/>
              <w:spacing w:line="360" w:lineRule="auto"/>
              <w:ind w:firstLine="482"/>
              <w:rPr>
                <w:color w:val="000000"/>
              </w:rPr>
            </w:pPr>
            <w:r>
              <w:rPr>
                <w:rFonts w:hint="eastAsia"/>
                <w:color w:val="000000"/>
              </w:rPr>
              <w:t>1、废水产生情况</w:t>
            </w:r>
          </w:p>
          <w:p w14:paraId="406E77A1">
            <w:pPr>
              <w:pStyle w:val="72"/>
              <w:spacing w:line="360" w:lineRule="auto"/>
              <w:ind w:firstLine="480"/>
              <w:rPr>
                <w:b w:val="0"/>
                <w:bCs/>
                <w:color w:val="000000"/>
              </w:rPr>
            </w:pPr>
            <w:r>
              <w:rPr>
                <w:rFonts w:hint="eastAsia"/>
                <w:b w:val="0"/>
                <w:bCs/>
                <w:color w:val="000000"/>
              </w:rPr>
              <w:t>（1）生活污水</w:t>
            </w:r>
          </w:p>
          <w:p w14:paraId="68F02D15">
            <w:pPr>
              <w:pStyle w:val="72"/>
              <w:spacing w:line="360" w:lineRule="auto"/>
              <w:ind w:firstLine="480"/>
              <w:rPr>
                <w:b w:val="0"/>
                <w:bCs/>
                <w:color w:val="000000"/>
              </w:rPr>
            </w:pPr>
            <w:r>
              <w:rPr>
                <w:rFonts w:hint="eastAsia"/>
                <w:b w:val="0"/>
                <w:bCs/>
                <w:color w:val="000000"/>
              </w:rPr>
              <w:t>生活污水经化粪池处理达到《污水综合排放标准》（GB8978-1996）三级标准后，由环卫部门吸粪车定期抽运，送七克台镇生活污水处理站集中处理后排放。</w:t>
            </w:r>
          </w:p>
          <w:p w14:paraId="60FE7769">
            <w:pPr>
              <w:pStyle w:val="72"/>
              <w:spacing w:line="360" w:lineRule="auto"/>
              <w:ind w:firstLine="480"/>
              <w:rPr>
                <w:b w:val="0"/>
                <w:bCs/>
              </w:rPr>
            </w:pPr>
            <w:r>
              <w:rPr>
                <w:rFonts w:hint="eastAsia"/>
                <w:b w:val="0"/>
                <w:bCs/>
              </w:rPr>
              <w:t>（2）生产废水</w:t>
            </w:r>
          </w:p>
          <w:p w14:paraId="1D37EFDB">
            <w:pPr>
              <w:pStyle w:val="72"/>
              <w:spacing w:line="360" w:lineRule="auto"/>
              <w:ind w:firstLine="480"/>
              <w:rPr>
                <w:b w:val="0"/>
                <w:bCs/>
              </w:rPr>
            </w:pPr>
            <w:r>
              <w:rPr>
                <w:rFonts w:hint="eastAsia"/>
                <w:b w:val="0"/>
                <w:bCs/>
              </w:rPr>
              <w:t>生产废水</w:t>
            </w:r>
            <w:r>
              <w:rPr>
                <w:rFonts w:hint="eastAsia"/>
                <w:b w:val="0"/>
                <w:bCs/>
                <w:color w:val="000000"/>
              </w:rPr>
              <w:t>排入回水池经沉淀后回用，不外排；抑尘用水自然蒸发，不外排。</w:t>
            </w:r>
          </w:p>
          <w:p w14:paraId="3B34E8DC">
            <w:pPr>
              <w:pStyle w:val="69"/>
              <w:spacing w:line="360" w:lineRule="auto"/>
              <w:rPr>
                <w:rFonts w:eastAsia="宋体"/>
                <w:color w:val="000000"/>
                <w:szCs w:val="24"/>
              </w:rPr>
            </w:pPr>
            <w:r>
              <w:rPr>
                <w:rFonts w:hint="eastAsia" w:eastAsia="宋体"/>
                <w:color w:val="000000"/>
                <w:szCs w:val="24"/>
              </w:rPr>
              <w:t>（三）噪声</w:t>
            </w:r>
          </w:p>
          <w:p w14:paraId="77D61842">
            <w:pPr>
              <w:spacing w:line="360" w:lineRule="auto"/>
              <w:ind w:firstLine="482" w:firstLineChars="200"/>
              <w:rPr>
                <w:rFonts w:ascii="Times New Roman" w:hAnsi="Times New Roman" w:cs="宋体"/>
                <w:b/>
                <w:bCs/>
                <w:color w:val="000000"/>
                <w:sz w:val="24"/>
                <w:szCs w:val="24"/>
                <w:lang w:eastAsia="zh-CN"/>
              </w:rPr>
            </w:pPr>
            <w:r>
              <w:rPr>
                <w:rFonts w:hint="eastAsia" w:ascii="Times New Roman" w:hAnsi="Times New Roman" w:cs="宋体"/>
                <w:b/>
                <w:bCs/>
                <w:color w:val="000000"/>
                <w:sz w:val="24"/>
                <w:szCs w:val="24"/>
                <w:lang w:eastAsia="zh-CN"/>
              </w:rPr>
              <w:t>1、噪声源强</w:t>
            </w:r>
          </w:p>
          <w:p w14:paraId="3AA65BF7">
            <w:pPr>
              <w:pStyle w:val="72"/>
              <w:spacing w:before="120" w:beforeLines="50" w:line="360" w:lineRule="auto"/>
              <w:ind w:firstLine="480"/>
              <w:rPr>
                <w:b w:val="0"/>
                <w:bCs/>
                <w:color w:val="000000"/>
              </w:rPr>
            </w:pPr>
            <w:r>
              <w:rPr>
                <w:rFonts w:hint="eastAsia" w:ascii="Times New Roman" w:hAnsi="Times New Roman" w:cs="宋体"/>
                <w:b w:val="0"/>
                <w:bCs/>
                <w:color w:val="000000"/>
                <w:sz w:val="24"/>
                <w:szCs w:val="24"/>
                <w:lang w:eastAsia="zh-CN"/>
              </w:rPr>
              <w:t>本项目噪声的来源主要为给料机、密封传输带、无轴滚筒筛、螺旋溜槽、摇床、浮选搅拌机、浓密机、泵类、铲车等运转过程中产生的噪声</w:t>
            </w:r>
            <w:r>
              <w:rPr>
                <w:rFonts w:hint="eastAsia" w:cs="宋体"/>
                <w:b w:val="0"/>
                <w:bCs/>
                <w:color w:val="000000"/>
                <w:sz w:val="24"/>
                <w:szCs w:val="24"/>
                <w:lang w:eastAsia="zh-CN"/>
              </w:rPr>
              <w:t>，</w:t>
            </w:r>
            <w:r>
              <w:rPr>
                <w:rFonts w:hint="eastAsia"/>
                <w:b w:val="0"/>
                <w:bCs/>
                <w:color w:val="000000"/>
              </w:rPr>
              <w:t>项目建成投运后，厂界噪声昼间贡献值满足《工业企业厂界环境噪声排放标准》（GB12348-2008）中的3类标准。</w:t>
            </w:r>
          </w:p>
          <w:p w14:paraId="2530633B">
            <w:pPr>
              <w:pStyle w:val="69"/>
              <w:spacing w:line="360" w:lineRule="auto"/>
              <w:rPr>
                <w:rFonts w:eastAsia="宋体"/>
                <w:color w:val="000000"/>
                <w:szCs w:val="24"/>
              </w:rPr>
            </w:pPr>
            <w:r>
              <w:rPr>
                <w:rFonts w:hint="eastAsia" w:eastAsia="宋体"/>
                <w:color w:val="000000"/>
                <w:szCs w:val="24"/>
              </w:rPr>
              <w:t>（四）固废</w:t>
            </w:r>
          </w:p>
          <w:p w14:paraId="4C5BA7E6">
            <w:pPr>
              <w:pStyle w:val="67"/>
              <w:spacing w:line="360" w:lineRule="auto"/>
              <w:ind w:firstLine="480"/>
              <w:rPr>
                <w:color w:val="000000"/>
              </w:rPr>
            </w:pPr>
            <w:r>
              <w:rPr>
                <w:rFonts w:hint="eastAsia"/>
                <w:color w:val="000000"/>
              </w:rPr>
              <w:t>项目运营期固废主要为生活垃圾、一般工业固废、危险废物。</w:t>
            </w:r>
          </w:p>
          <w:p w14:paraId="7344F7BF">
            <w:pPr>
              <w:pStyle w:val="52"/>
              <w:spacing w:line="360" w:lineRule="auto"/>
              <w:ind w:firstLine="482" w:firstLineChars="200"/>
              <w:rPr>
                <w:rFonts w:hAnsi="Times New Roman"/>
                <w:b/>
                <w:bCs/>
                <w:color w:val="000000"/>
                <w:sz w:val="24"/>
                <w:szCs w:val="24"/>
                <w:lang w:eastAsia="zh-CN"/>
              </w:rPr>
            </w:pPr>
            <w:r>
              <w:rPr>
                <w:rFonts w:hint="eastAsia" w:hAnsi="Times New Roman"/>
                <w:b/>
                <w:bCs/>
                <w:color w:val="000000"/>
                <w:sz w:val="24"/>
                <w:szCs w:val="24"/>
                <w:lang w:eastAsia="zh-CN"/>
              </w:rPr>
              <w:t>1、生活垃圾</w:t>
            </w:r>
          </w:p>
          <w:p w14:paraId="37E14862">
            <w:pPr>
              <w:pStyle w:val="52"/>
              <w:spacing w:line="360" w:lineRule="auto"/>
              <w:ind w:firstLine="480" w:firstLineChars="200"/>
              <w:jc w:val="both"/>
              <w:rPr>
                <w:rFonts w:hAnsi="Times New Roman"/>
                <w:color w:val="000000"/>
                <w:sz w:val="24"/>
                <w:szCs w:val="24"/>
                <w:lang w:eastAsia="zh-CN"/>
              </w:rPr>
            </w:pPr>
            <w:r>
              <w:rPr>
                <w:rFonts w:hint="eastAsia" w:hAnsi="Times New Roman"/>
                <w:color w:val="000000"/>
                <w:sz w:val="24"/>
                <w:szCs w:val="24"/>
                <w:lang w:eastAsia="zh-CN"/>
              </w:rPr>
              <w:t>本项目生活垃圾经垃圾桶分类收集，交由环卫部门清运至指定地点。</w:t>
            </w:r>
          </w:p>
          <w:p w14:paraId="58A2A3F4">
            <w:pPr>
              <w:pStyle w:val="52"/>
              <w:spacing w:line="360" w:lineRule="auto"/>
              <w:ind w:firstLine="482" w:firstLineChars="200"/>
              <w:rPr>
                <w:rFonts w:hAnsi="Times New Roman"/>
                <w:b/>
                <w:bCs/>
                <w:color w:val="000000"/>
                <w:sz w:val="24"/>
                <w:szCs w:val="24"/>
                <w:lang w:eastAsia="zh-CN"/>
              </w:rPr>
            </w:pPr>
            <w:r>
              <w:rPr>
                <w:rFonts w:hint="eastAsia" w:hAnsi="Times New Roman"/>
                <w:b/>
                <w:bCs/>
                <w:color w:val="000000"/>
                <w:sz w:val="24"/>
                <w:szCs w:val="24"/>
                <w:lang w:eastAsia="zh-CN"/>
              </w:rPr>
              <w:t>2、一般工业固废</w:t>
            </w:r>
          </w:p>
          <w:p w14:paraId="7278A500">
            <w:pPr>
              <w:pStyle w:val="52"/>
              <w:spacing w:line="360" w:lineRule="auto"/>
              <w:ind w:firstLine="482" w:firstLineChars="200"/>
              <w:rPr>
                <w:rFonts w:hAnsi="Times New Roman"/>
                <w:b/>
                <w:bCs/>
                <w:color w:val="000000"/>
                <w:sz w:val="24"/>
                <w:szCs w:val="24"/>
                <w:lang w:eastAsia="zh-CN"/>
              </w:rPr>
            </w:pPr>
            <w:r>
              <w:rPr>
                <w:rFonts w:hint="eastAsia" w:hAnsi="Times New Roman"/>
                <w:b/>
                <w:bCs/>
                <w:color w:val="000000"/>
                <w:sz w:val="24"/>
                <w:szCs w:val="24"/>
                <w:lang w:eastAsia="zh-CN"/>
              </w:rPr>
              <w:t>（1）一般工业固废种类</w:t>
            </w:r>
          </w:p>
          <w:p w14:paraId="195ED748">
            <w:pPr>
              <w:pStyle w:val="52"/>
              <w:spacing w:line="360" w:lineRule="auto"/>
              <w:ind w:firstLine="480" w:firstLineChars="200"/>
              <w:rPr>
                <w:rFonts w:hAnsi="Times New Roman"/>
                <w:color w:val="000000"/>
                <w:sz w:val="24"/>
                <w:szCs w:val="24"/>
                <w:lang w:eastAsia="zh-CN"/>
              </w:rPr>
            </w:pPr>
            <w:r>
              <w:rPr>
                <w:rFonts w:hint="eastAsia" w:hAnsi="Times New Roman"/>
                <w:color w:val="000000"/>
                <w:sz w:val="24"/>
                <w:szCs w:val="24"/>
                <w:lang w:eastAsia="zh-CN"/>
              </w:rPr>
              <w:t>①废石</w:t>
            </w:r>
          </w:p>
          <w:p w14:paraId="66759662">
            <w:pPr>
              <w:pStyle w:val="52"/>
              <w:spacing w:line="360" w:lineRule="auto"/>
              <w:jc w:val="both"/>
              <w:rPr>
                <w:rFonts w:hAnsi="Times New Roman"/>
                <w:color w:val="000000"/>
                <w:sz w:val="24"/>
                <w:szCs w:val="24"/>
                <w:lang w:eastAsia="zh-CN"/>
              </w:rPr>
            </w:pPr>
            <w:r>
              <w:rPr>
                <w:rFonts w:hint="eastAsia" w:hAnsi="Times New Roman"/>
                <w:color w:val="000000"/>
                <w:sz w:val="24"/>
                <w:szCs w:val="24"/>
                <w:lang w:eastAsia="zh-CN"/>
              </w:rPr>
              <w:t>金矿山开采出的矿石，经选矿厂选出有价值的精矿后产生的固体废物”，暂存于一般固废暂存间，定期拉运至鄯善县汇鑫恒泰新型建材有限责任公司综合利用。</w:t>
            </w:r>
          </w:p>
          <w:p w14:paraId="48171467">
            <w:pPr>
              <w:pStyle w:val="52"/>
              <w:spacing w:line="360" w:lineRule="auto"/>
              <w:ind w:firstLine="480" w:firstLineChars="200"/>
              <w:rPr>
                <w:rFonts w:hAnsi="Times New Roman"/>
                <w:color w:val="000000"/>
                <w:sz w:val="24"/>
                <w:szCs w:val="24"/>
                <w:lang w:eastAsia="zh-CN"/>
              </w:rPr>
            </w:pPr>
            <w:r>
              <w:rPr>
                <w:rFonts w:hint="eastAsia" w:hAnsi="Times New Roman"/>
                <w:color w:val="000000"/>
                <w:sz w:val="24"/>
                <w:szCs w:val="24"/>
                <w:lang w:eastAsia="zh-CN"/>
              </w:rPr>
              <w:t>②捕收剂废包装袋</w:t>
            </w:r>
          </w:p>
          <w:p w14:paraId="3876955A">
            <w:pPr>
              <w:pStyle w:val="52"/>
              <w:spacing w:line="360" w:lineRule="auto"/>
              <w:ind w:firstLine="480" w:firstLineChars="200"/>
              <w:jc w:val="both"/>
              <w:rPr>
                <w:rFonts w:hAnsi="Times New Roman"/>
                <w:color w:val="000000"/>
                <w:sz w:val="24"/>
                <w:szCs w:val="24"/>
                <w:lang w:eastAsia="zh-CN"/>
              </w:rPr>
            </w:pPr>
            <w:r>
              <w:rPr>
                <w:rFonts w:hint="eastAsia" w:hAnsi="Times New Roman"/>
                <w:color w:val="000000"/>
                <w:sz w:val="24"/>
                <w:szCs w:val="24"/>
                <w:lang w:eastAsia="zh-CN"/>
              </w:rPr>
              <w:t>本项目浮选过程需使用浮选药剂，产生的固废主要为捕收剂包装袋（捕收剂即黄药）、水玻璃包装桶、起泡剂包装桶（起泡剂即2#油），其中起泡剂包装桶、水玻璃包装桶由厂家回收后再利用，属于“工业生产活动中产生的塑料废弃边角料、废弃塑料包装等废物”，送一般工业固体废物填埋场填埋。</w:t>
            </w:r>
          </w:p>
          <w:p w14:paraId="384C60AF">
            <w:pPr>
              <w:pStyle w:val="52"/>
              <w:spacing w:line="360" w:lineRule="auto"/>
              <w:ind w:firstLine="480" w:firstLineChars="200"/>
              <w:jc w:val="both"/>
              <w:rPr>
                <w:rFonts w:hAnsi="Times New Roman"/>
                <w:color w:val="000000"/>
                <w:sz w:val="24"/>
                <w:szCs w:val="24"/>
                <w:lang w:eastAsia="zh-CN"/>
              </w:rPr>
            </w:pPr>
            <w:r>
              <w:rPr>
                <w:rFonts w:hint="eastAsia" w:hAnsi="Times New Roman"/>
                <w:color w:val="000000"/>
                <w:sz w:val="24"/>
                <w:szCs w:val="24"/>
                <w:lang w:eastAsia="zh-CN"/>
              </w:rPr>
              <w:t>③废渣滤饼</w:t>
            </w:r>
          </w:p>
          <w:p w14:paraId="6525DBE2">
            <w:pPr>
              <w:pStyle w:val="52"/>
              <w:spacing w:line="360" w:lineRule="auto"/>
              <w:ind w:firstLine="480" w:firstLineChars="200"/>
              <w:jc w:val="both"/>
              <w:rPr>
                <w:rFonts w:hAnsi="Times New Roman"/>
                <w:color w:val="000000"/>
                <w:sz w:val="24"/>
                <w:szCs w:val="24"/>
                <w:lang w:eastAsia="zh-CN"/>
              </w:rPr>
            </w:pPr>
            <w:r>
              <w:rPr>
                <w:rFonts w:hint="eastAsia" w:hAnsi="Times New Roman"/>
                <w:color w:val="000000"/>
                <w:sz w:val="24"/>
                <w:szCs w:val="24"/>
                <w:lang w:eastAsia="zh-CN"/>
              </w:rPr>
              <w:t xml:space="preserve">浮选压滤产出的废渣滤饼，根据《固体废物分类与代码名录（2024年版）》，金矿山开采出的矿石，经选矿厂选出有价值的精矿后产生的固体废物”，拉运至鄯善县汇鑫恒泰新型建材有限责任公司综合利用。 </w:t>
            </w:r>
          </w:p>
          <w:p w14:paraId="787163C9">
            <w:pPr>
              <w:pStyle w:val="52"/>
              <w:spacing w:line="360" w:lineRule="auto"/>
              <w:ind w:firstLine="482" w:firstLineChars="200"/>
              <w:rPr>
                <w:rFonts w:hAnsi="Times New Roman"/>
                <w:b/>
                <w:bCs/>
                <w:color w:val="000000"/>
                <w:sz w:val="24"/>
                <w:szCs w:val="24"/>
                <w:lang w:eastAsia="zh-CN"/>
              </w:rPr>
            </w:pPr>
            <w:r>
              <w:rPr>
                <w:rFonts w:hint="eastAsia" w:hAnsi="Times New Roman"/>
                <w:b/>
                <w:bCs/>
                <w:color w:val="000000"/>
                <w:sz w:val="24"/>
                <w:szCs w:val="24"/>
                <w:lang w:eastAsia="zh-CN"/>
              </w:rPr>
              <w:t>（2）废石、废渣滤饼依托处理可行性分析</w:t>
            </w:r>
          </w:p>
          <w:p w14:paraId="6A3A643E">
            <w:pPr>
              <w:pStyle w:val="52"/>
              <w:spacing w:line="360" w:lineRule="auto"/>
              <w:ind w:firstLine="480" w:firstLineChars="200"/>
              <w:jc w:val="both"/>
              <w:rPr>
                <w:rFonts w:hAnsi="Times New Roman"/>
                <w:color w:val="000000"/>
                <w:sz w:val="24"/>
                <w:szCs w:val="24"/>
                <w:lang w:eastAsia="zh-CN"/>
              </w:rPr>
            </w:pPr>
            <w:r>
              <w:rPr>
                <w:rFonts w:hint="eastAsia" w:hAnsi="Times New Roman"/>
                <w:color w:val="000000"/>
                <w:sz w:val="24"/>
                <w:szCs w:val="24"/>
                <w:lang w:eastAsia="zh-CN"/>
              </w:rPr>
              <w:t>本项目废石、废渣滤饼为一般工业固废，拟送往</w:t>
            </w:r>
            <w:r>
              <w:rPr>
                <w:rFonts w:hint="eastAsia" w:hAnsi="Times New Roman"/>
                <w:color w:val="000000"/>
                <w:sz w:val="24"/>
                <w:szCs w:val="24"/>
                <w:lang w:val="en-US" w:eastAsia="zh-CN"/>
              </w:rPr>
              <w:t>拥有相关资质单位</w:t>
            </w:r>
            <w:r>
              <w:rPr>
                <w:rFonts w:hint="eastAsia" w:hAnsi="Times New Roman"/>
                <w:color w:val="000000"/>
                <w:sz w:val="24"/>
                <w:szCs w:val="24"/>
                <w:lang w:eastAsia="zh-CN"/>
              </w:rPr>
              <w:t>综合利用。</w:t>
            </w:r>
          </w:p>
          <w:p w14:paraId="44CF5D55">
            <w:pPr>
              <w:pStyle w:val="52"/>
              <w:spacing w:line="360" w:lineRule="auto"/>
              <w:ind w:firstLine="482" w:firstLineChars="200"/>
              <w:rPr>
                <w:rFonts w:hAnsi="Times New Roman"/>
                <w:b/>
                <w:bCs/>
                <w:color w:val="000000"/>
                <w:sz w:val="24"/>
                <w:szCs w:val="24"/>
                <w:lang w:eastAsia="zh-CN"/>
              </w:rPr>
            </w:pPr>
            <w:r>
              <w:rPr>
                <w:rFonts w:hint="eastAsia" w:hAnsi="Times New Roman"/>
                <w:b/>
                <w:bCs/>
                <w:color w:val="000000"/>
                <w:sz w:val="24"/>
                <w:szCs w:val="24"/>
                <w:lang w:eastAsia="zh-CN"/>
              </w:rPr>
              <w:t>3、危险废物</w:t>
            </w:r>
          </w:p>
          <w:p w14:paraId="623C5081">
            <w:pPr>
              <w:pStyle w:val="52"/>
              <w:spacing w:line="360" w:lineRule="auto"/>
              <w:ind w:firstLine="480" w:firstLineChars="200"/>
              <w:rPr>
                <w:rFonts w:hAnsi="Times New Roman"/>
                <w:color w:val="000000"/>
                <w:sz w:val="24"/>
                <w:szCs w:val="24"/>
                <w:lang w:eastAsia="zh-CN"/>
              </w:rPr>
            </w:pPr>
            <w:r>
              <w:rPr>
                <w:rFonts w:hint="eastAsia" w:hAnsi="Times New Roman"/>
                <w:color w:val="000000"/>
                <w:sz w:val="24"/>
                <w:szCs w:val="24"/>
                <w:lang w:eastAsia="zh-CN"/>
              </w:rPr>
              <w:t>（1）废润滑油</w:t>
            </w:r>
          </w:p>
          <w:p w14:paraId="3EE961C5">
            <w:pPr>
              <w:spacing w:line="360" w:lineRule="auto"/>
              <w:ind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本项目生产设备使用润滑油，暂存于危废贮存库，定期交由资质单位处置。</w:t>
            </w:r>
          </w:p>
          <w:p w14:paraId="1A58948A">
            <w:pPr>
              <w:pStyle w:val="52"/>
              <w:spacing w:line="360" w:lineRule="auto"/>
              <w:ind w:firstLine="480" w:firstLineChars="200"/>
              <w:rPr>
                <w:rFonts w:hAnsi="Times New Roman"/>
                <w:color w:val="000000"/>
                <w:sz w:val="24"/>
                <w:szCs w:val="24"/>
                <w:lang w:eastAsia="zh-CN"/>
              </w:rPr>
            </w:pPr>
            <w:r>
              <w:rPr>
                <w:rFonts w:hint="eastAsia" w:hAnsi="Times New Roman"/>
                <w:color w:val="000000"/>
                <w:sz w:val="24"/>
                <w:szCs w:val="24"/>
                <w:lang w:eastAsia="zh-CN"/>
              </w:rPr>
              <w:t>（2）润滑油包装桶</w:t>
            </w:r>
          </w:p>
          <w:p w14:paraId="53474108">
            <w:pPr>
              <w:pStyle w:val="52"/>
              <w:spacing w:line="360" w:lineRule="auto"/>
              <w:ind w:firstLine="480" w:firstLineChars="200"/>
              <w:jc w:val="both"/>
              <w:rPr>
                <w:rFonts w:hAnsi="Times New Roman"/>
                <w:color w:val="000000"/>
                <w:sz w:val="24"/>
                <w:szCs w:val="24"/>
                <w:lang w:eastAsia="zh-CN"/>
              </w:rPr>
            </w:pPr>
            <w:r>
              <w:rPr>
                <w:rFonts w:hint="eastAsia" w:hAnsi="Times New Roman"/>
                <w:color w:val="000000"/>
                <w:sz w:val="24"/>
                <w:szCs w:val="24"/>
                <w:lang w:eastAsia="zh-CN"/>
              </w:rPr>
              <w:t>本项目矿物油包装桶暂存于建设单位危废贮存库，定期交由资质单位处置。</w:t>
            </w:r>
          </w:p>
          <w:p w14:paraId="75A2EAA6">
            <w:pPr>
              <w:pStyle w:val="67"/>
              <w:spacing w:before="120" w:beforeLines="50" w:line="360" w:lineRule="auto"/>
              <w:ind w:firstLine="482"/>
              <w:rPr>
                <w:color w:val="000000"/>
                <w:lang w:bidi="zh-CN"/>
              </w:rPr>
            </w:pPr>
            <w:r>
              <w:rPr>
                <w:rFonts w:hint="eastAsia"/>
                <w:b/>
                <w:bCs/>
                <w:color w:val="000000"/>
                <w:lang w:bidi="zh-CN"/>
              </w:rPr>
              <w:t>2、污染防控措施</w:t>
            </w:r>
          </w:p>
          <w:p w14:paraId="0610DC38">
            <w:pPr>
              <w:pStyle w:val="67"/>
              <w:spacing w:line="360" w:lineRule="auto"/>
              <w:ind w:firstLine="480"/>
              <w:rPr>
                <w:color w:val="000000"/>
                <w:lang w:bidi="zh-CN"/>
              </w:rPr>
            </w:pPr>
            <w:r>
              <w:rPr>
                <w:rFonts w:hint="eastAsia"/>
                <w:color w:val="000000"/>
                <w:lang w:bidi="zh-CN"/>
              </w:rPr>
              <w:t>（1）源头控制措施</w:t>
            </w:r>
          </w:p>
          <w:p w14:paraId="4FDCF1D6">
            <w:pPr>
              <w:pStyle w:val="67"/>
              <w:spacing w:line="360" w:lineRule="auto"/>
              <w:ind w:firstLine="480"/>
              <w:rPr>
                <w:color w:val="000000"/>
                <w:lang w:bidi="zh-CN"/>
              </w:rPr>
            </w:pPr>
            <w:r>
              <w:rPr>
                <w:rFonts w:hint="eastAsia"/>
                <w:color w:val="000000"/>
                <w:lang w:bidi="zh-CN"/>
              </w:rPr>
              <w:t>1）对液体药剂输送管道、设备、储存设施采取控制措施，防止污染物的跑、冒、滴、漏现象。</w:t>
            </w:r>
          </w:p>
          <w:p w14:paraId="6A367FFF">
            <w:pPr>
              <w:pStyle w:val="67"/>
              <w:spacing w:line="360" w:lineRule="auto"/>
              <w:ind w:firstLine="480"/>
              <w:rPr>
                <w:color w:val="000000"/>
                <w:lang w:bidi="zh-CN"/>
              </w:rPr>
            </w:pPr>
            <w:r>
              <w:rPr>
                <w:rFonts w:hint="eastAsia"/>
                <w:color w:val="000000"/>
                <w:lang w:bidi="zh-CN"/>
              </w:rPr>
              <w:t>2）加强对厂区暂存的液体药剂包装容器的检查，确保容器完好。</w:t>
            </w:r>
          </w:p>
          <w:p w14:paraId="47D950FF">
            <w:pPr>
              <w:pStyle w:val="67"/>
              <w:spacing w:line="360" w:lineRule="auto"/>
              <w:ind w:firstLine="480"/>
              <w:rPr>
                <w:color w:val="000000"/>
                <w:lang w:bidi="zh-CN"/>
              </w:rPr>
            </w:pPr>
            <w:r>
              <w:rPr>
                <w:rFonts w:hint="eastAsia"/>
                <w:color w:val="000000"/>
                <w:lang w:bidi="zh-CN"/>
              </w:rPr>
              <w:t>（2）分区控制措施</w:t>
            </w:r>
          </w:p>
          <w:p w14:paraId="77052E09">
            <w:pPr>
              <w:pStyle w:val="67"/>
              <w:spacing w:line="360" w:lineRule="auto"/>
              <w:ind w:firstLine="480"/>
              <w:rPr>
                <w:color w:val="000000"/>
                <w:lang w:bidi="zh-CN"/>
              </w:rPr>
            </w:pPr>
            <w:r>
              <w:rPr>
                <w:rFonts w:hint="eastAsia"/>
                <w:color w:val="000000"/>
                <w:lang w:bidi="zh-CN"/>
              </w:rPr>
              <w:t>1）危废贮存库</w:t>
            </w:r>
          </w:p>
          <w:p w14:paraId="1CC40296">
            <w:pPr>
              <w:pStyle w:val="67"/>
              <w:spacing w:line="360" w:lineRule="auto"/>
              <w:ind w:firstLine="480"/>
              <w:rPr>
                <w:color w:val="000000"/>
                <w:lang w:bidi="zh-CN"/>
              </w:rPr>
            </w:pPr>
            <w:r>
              <w:rPr>
                <w:rFonts w:hint="eastAsia"/>
                <w:color w:val="000000"/>
                <w:lang w:bidi="zh-CN"/>
              </w:rPr>
              <w:t>危废贮存库需进行重点防渗，需使用2mm厚HDPE膜（或等效防渗材料）、抗渗混凝土、环氧树脂漆进行重点防渗，危废贮存库液体状危险废物贮存区需设置有围堰，内设收集池（0.2m</w:t>
            </w:r>
            <w:r>
              <w:rPr>
                <w:rFonts w:hint="eastAsia"/>
                <w:color w:val="000000"/>
                <w:vertAlign w:val="superscript"/>
                <w:lang w:bidi="zh-CN"/>
              </w:rPr>
              <w:t>3</w:t>
            </w:r>
            <w:r>
              <w:rPr>
                <w:rFonts w:hint="eastAsia"/>
                <w:color w:val="000000"/>
                <w:lang w:bidi="zh-CN"/>
              </w:rPr>
              <w:t>，可以容纳全部废润滑油）。</w:t>
            </w:r>
          </w:p>
          <w:p w14:paraId="26A3FCF3">
            <w:pPr>
              <w:pStyle w:val="67"/>
              <w:spacing w:line="360" w:lineRule="auto"/>
              <w:ind w:firstLine="480"/>
              <w:rPr>
                <w:color w:val="000000"/>
                <w:lang w:bidi="zh-CN"/>
              </w:rPr>
            </w:pPr>
            <w:r>
              <w:rPr>
                <w:rFonts w:hint="eastAsia"/>
                <w:color w:val="000000"/>
                <w:lang w:bidi="zh-CN"/>
              </w:rPr>
              <w:t>2）浮选药剂间</w:t>
            </w:r>
          </w:p>
          <w:p w14:paraId="7C2BC28D">
            <w:pPr>
              <w:pStyle w:val="67"/>
              <w:spacing w:line="360" w:lineRule="auto"/>
              <w:ind w:firstLine="480"/>
              <w:rPr>
                <w:color w:val="000000"/>
                <w:lang w:bidi="zh-CN"/>
              </w:rPr>
            </w:pPr>
            <w:r>
              <w:rPr>
                <w:rFonts w:hint="eastAsia"/>
                <w:color w:val="000000"/>
                <w:lang w:bidi="zh-CN"/>
              </w:rPr>
              <w:t>浮选药剂间需进行重点防渗，使用抗渗混凝土、环氧树脂漆进行重点防渗，设置导流沟，在起泡剂存放点四周设置15cm高环形围堰，内设防渗收集池（0.5m</w:t>
            </w:r>
            <w:r>
              <w:rPr>
                <w:rFonts w:hint="eastAsia"/>
                <w:color w:val="000000"/>
                <w:vertAlign w:val="superscript"/>
                <w:lang w:bidi="zh-CN"/>
              </w:rPr>
              <w:t>3</w:t>
            </w:r>
            <w:r>
              <w:rPr>
                <w:rFonts w:hint="eastAsia"/>
                <w:color w:val="000000"/>
                <w:lang w:bidi="zh-CN"/>
              </w:rPr>
              <w:t>，可以承接全部起泡剂）。</w:t>
            </w:r>
          </w:p>
          <w:p w14:paraId="35D397FB">
            <w:pPr>
              <w:pStyle w:val="67"/>
              <w:spacing w:line="360" w:lineRule="auto"/>
              <w:ind w:firstLine="480"/>
              <w:rPr>
                <w:iCs/>
                <w:color w:val="000000"/>
                <w:kern w:val="2"/>
                <w:lang w:bidi="zh-CN"/>
              </w:rPr>
            </w:pPr>
            <w:r>
              <w:rPr>
                <w:rFonts w:hint="eastAsia"/>
                <w:iCs/>
                <w:color w:val="000000"/>
                <w:kern w:val="2"/>
                <w:lang w:bidi="zh-CN"/>
              </w:rPr>
              <w:t>由污染途径及对应措施分析可知，项目对可能产生地下水、土壤影响的各项途径均进行有效预防，在确保各项防渗措施得以落实，并加强环境管理的前提下，可有效防治地下水环境和土壤环境受到污染。</w:t>
            </w:r>
          </w:p>
          <w:p w14:paraId="68C16825">
            <w:pPr>
              <w:pStyle w:val="67"/>
              <w:ind w:firstLine="480"/>
              <w:rPr>
                <w:color w:val="000000"/>
              </w:rPr>
            </w:pPr>
          </w:p>
        </w:tc>
      </w:tr>
    </w:tbl>
    <w:p w14:paraId="521E3E83">
      <w:pPr>
        <w:pStyle w:val="76"/>
        <w:spacing w:after="120"/>
        <w:rPr>
          <w:rFonts w:ascii="Times New Roman" w:hAnsi="Times New Roman" w:eastAsia="宋体"/>
          <w:b/>
          <w:bCs/>
          <w:color w:val="000000"/>
        </w:rPr>
      </w:pPr>
      <w:bookmarkStart w:id="4" w:name="_Toc66545437"/>
      <w:r>
        <w:rPr>
          <w:rFonts w:ascii="Times New Roman" w:hAnsi="Times New Roman" w:eastAsia="宋体"/>
          <w:b/>
          <w:bCs/>
          <w:color w:val="000000"/>
        </w:rPr>
        <w:br w:type="page"/>
      </w:r>
      <w:r>
        <w:rPr>
          <w:rFonts w:ascii="Times New Roman" w:hAnsi="Times New Roman" w:eastAsia="宋体"/>
          <w:b/>
          <w:bCs/>
          <w:color w:val="000000"/>
        </w:rPr>
        <w:t>五、环境保护措施监督检查清单</w:t>
      </w:r>
      <w:bookmarkEnd w:id="4"/>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44"/>
        <w:gridCol w:w="1597"/>
        <w:gridCol w:w="1048"/>
        <w:gridCol w:w="3183"/>
        <w:gridCol w:w="2626"/>
      </w:tblGrid>
      <w:tr w14:paraId="54B20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41" w:type="pct"/>
            <w:tcBorders>
              <w:tl2br w:val="nil"/>
              <w:tr2bl w:val="nil"/>
            </w:tcBorders>
            <w:vAlign w:val="center"/>
          </w:tcPr>
          <w:p w14:paraId="6D50FC7B">
            <w:pPr>
              <w:pStyle w:val="62"/>
              <w:spacing w:line="360" w:lineRule="exact"/>
              <w:ind w:right="240" w:firstLine="241" w:firstLineChars="100"/>
              <w:jc w:val="both"/>
              <w:rPr>
                <w:rFonts w:ascii="Times New Roman" w:hAnsi="Times New Roman"/>
                <w:b/>
                <w:color w:val="000000"/>
                <w:sz w:val="24"/>
                <w:szCs w:val="24"/>
              </w:rPr>
            </w:pPr>
            <w:r>
              <w:rPr>
                <w:rFonts w:hint="eastAsia" w:ascii="Times New Roman" w:hAnsi="Times New Roman"/>
                <w:b/>
                <w:color w:val="000000"/>
                <w:sz w:val="24"/>
                <w:szCs w:val="24"/>
              </w:rPr>
              <w:t>内容</w:t>
            </w:r>
          </w:p>
          <w:p w14:paraId="56F2F32B">
            <w:pPr>
              <w:pStyle w:val="62"/>
              <w:spacing w:line="360" w:lineRule="exact"/>
              <w:jc w:val="left"/>
              <w:rPr>
                <w:rFonts w:ascii="Times New Roman" w:hAnsi="Times New Roman"/>
                <w:b/>
                <w:color w:val="000000"/>
                <w:sz w:val="24"/>
                <w:szCs w:val="24"/>
              </w:rPr>
            </w:pPr>
            <w:r>
              <w:rPr>
                <w:rFonts w:hint="eastAsia" w:ascii="Times New Roman" w:hAnsi="Times New Roman"/>
                <w:b/>
                <w:color w:val="000000"/>
                <w:sz w:val="24"/>
                <w:szCs w:val="24"/>
              </w:rPr>
              <w:t>要素</w:t>
            </w:r>
          </w:p>
        </w:tc>
        <w:tc>
          <w:tcPr>
            <w:tcW w:w="823" w:type="pct"/>
            <w:tcBorders>
              <w:tl2br w:val="nil"/>
              <w:tr2bl w:val="nil"/>
            </w:tcBorders>
            <w:vAlign w:val="center"/>
          </w:tcPr>
          <w:p w14:paraId="41679575">
            <w:pPr>
              <w:pStyle w:val="62"/>
              <w:ind w:left="0"/>
              <w:rPr>
                <w:rFonts w:ascii="Times New Roman" w:hAnsi="Times New Roman"/>
                <w:b/>
                <w:color w:val="000000"/>
                <w:sz w:val="24"/>
                <w:szCs w:val="24"/>
                <w:lang w:eastAsia="zh-CN"/>
              </w:rPr>
            </w:pPr>
            <w:r>
              <w:rPr>
                <w:rFonts w:hint="eastAsia" w:ascii="Times New Roman" w:hAnsi="Times New Roman"/>
                <w:b/>
                <w:color w:val="000000"/>
                <w:sz w:val="24"/>
                <w:szCs w:val="24"/>
                <w:lang w:eastAsia="zh-CN"/>
              </w:rPr>
              <w:t>排放口（编号、名称）/污染源</w:t>
            </w:r>
          </w:p>
        </w:tc>
        <w:tc>
          <w:tcPr>
            <w:tcW w:w="540" w:type="pct"/>
            <w:tcBorders>
              <w:tl2br w:val="nil"/>
              <w:tr2bl w:val="nil"/>
            </w:tcBorders>
            <w:vAlign w:val="center"/>
          </w:tcPr>
          <w:p w14:paraId="3DDD855E">
            <w:pPr>
              <w:pStyle w:val="62"/>
              <w:ind w:left="0"/>
              <w:rPr>
                <w:rFonts w:ascii="Times New Roman" w:hAnsi="Times New Roman"/>
                <w:b/>
                <w:color w:val="000000"/>
                <w:sz w:val="24"/>
                <w:szCs w:val="24"/>
              </w:rPr>
            </w:pPr>
            <w:r>
              <w:rPr>
                <w:rFonts w:hint="eastAsia" w:ascii="Times New Roman" w:hAnsi="Times New Roman"/>
                <w:b/>
                <w:color w:val="000000"/>
                <w:sz w:val="24"/>
                <w:szCs w:val="24"/>
              </w:rPr>
              <w:t>污染物项目</w:t>
            </w:r>
          </w:p>
        </w:tc>
        <w:tc>
          <w:tcPr>
            <w:tcW w:w="1641" w:type="pct"/>
            <w:tcBorders>
              <w:tl2br w:val="nil"/>
              <w:tr2bl w:val="nil"/>
            </w:tcBorders>
            <w:vAlign w:val="center"/>
          </w:tcPr>
          <w:p w14:paraId="76523525">
            <w:pPr>
              <w:pStyle w:val="62"/>
              <w:ind w:left="0"/>
              <w:rPr>
                <w:rFonts w:ascii="Times New Roman" w:hAnsi="Times New Roman"/>
                <w:b/>
                <w:color w:val="000000"/>
                <w:sz w:val="24"/>
                <w:szCs w:val="24"/>
              </w:rPr>
            </w:pPr>
            <w:r>
              <w:rPr>
                <w:rFonts w:hint="eastAsia" w:ascii="Times New Roman" w:hAnsi="Times New Roman"/>
                <w:b/>
                <w:color w:val="000000"/>
                <w:sz w:val="24"/>
                <w:szCs w:val="24"/>
              </w:rPr>
              <w:t>环境保护措施</w:t>
            </w:r>
          </w:p>
        </w:tc>
        <w:tc>
          <w:tcPr>
            <w:tcW w:w="1353" w:type="pct"/>
            <w:tcBorders>
              <w:tl2br w:val="nil"/>
              <w:tr2bl w:val="nil"/>
            </w:tcBorders>
            <w:vAlign w:val="center"/>
          </w:tcPr>
          <w:p w14:paraId="4ACDD004">
            <w:pPr>
              <w:pStyle w:val="62"/>
              <w:ind w:left="0"/>
              <w:rPr>
                <w:rFonts w:ascii="Times New Roman" w:hAnsi="Times New Roman"/>
                <w:b/>
                <w:color w:val="000000"/>
                <w:sz w:val="24"/>
                <w:szCs w:val="24"/>
              </w:rPr>
            </w:pPr>
            <w:r>
              <w:rPr>
                <w:rFonts w:hint="eastAsia" w:ascii="Times New Roman" w:hAnsi="Times New Roman"/>
                <w:b/>
                <w:color w:val="000000"/>
                <w:sz w:val="24"/>
                <w:szCs w:val="24"/>
              </w:rPr>
              <w:t>执行标准</w:t>
            </w:r>
          </w:p>
        </w:tc>
      </w:tr>
      <w:tr w14:paraId="06DAD4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390" w:hRule="atLeast"/>
          <w:jc w:val="center"/>
        </w:trPr>
        <w:tc>
          <w:tcPr>
            <w:tcW w:w="641" w:type="pct"/>
            <w:tcBorders>
              <w:tl2br w:val="nil"/>
              <w:tr2bl w:val="nil"/>
            </w:tcBorders>
            <w:vAlign w:val="center"/>
          </w:tcPr>
          <w:p w14:paraId="4BFBA881">
            <w:pPr>
              <w:pStyle w:val="62"/>
              <w:spacing w:line="440" w:lineRule="exact"/>
              <w:ind w:left="0"/>
              <w:rPr>
                <w:rFonts w:ascii="Times New Roman" w:hAnsi="Times New Roman"/>
                <w:color w:val="000000"/>
                <w:sz w:val="24"/>
                <w:szCs w:val="24"/>
              </w:rPr>
            </w:pPr>
            <w:r>
              <w:rPr>
                <w:rFonts w:hint="eastAsia" w:ascii="Times New Roman" w:hAnsi="Times New Roman"/>
                <w:color w:val="000000"/>
                <w:sz w:val="24"/>
                <w:szCs w:val="24"/>
              </w:rPr>
              <w:t>大气环境</w:t>
            </w:r>
          </w:p>
        </w:tc>
        <w:tc>
          <w:tcPr>
            <w:tcW w:w="823" w:type="pct"/>
            <w:tcBorders>
              <w:tl2br w:val="nil"/>
              <w:tr2bl w:val="nil"/>
            </w:tcBorders>
            <w:vAlign w:val="center"/>
          </w:tcPr>
          <w:p w14:paraId="107C3BF3">
            <w:pPr>
              <w:pStyle w:val="62"/>
              <w:spacing w:line="440" w:lineRule="exact"/>
              <w:ind w:left="0"/>
              <w:rPr>
                <w:rFonts w:ascii="Times New Roman" w:hAnsi="Times New Roman"/>
                <w:color w:val="000000"/>
                <w:sz w:val="24"/>
                <w:szCs w:val="24"/>
                <w:lang w:eastAsia="zh-CN"/>
              </w:rPr>
            </w:pPr>
            <w:r>
              <w:rPr>
                <w:rFonts w:hint="eastAsia" w:ascii="Times New Roman" w:hAnsi="Times New Roman"/>
                <w:color w:val="000000"/>
                <w:sz w:val="24"/>
                <w:szCs w:val="24"/>
                <w:lang w:eastAsia="zh-CN"/>
              </w:rPr>
              <w:t>无组织</w:t>
            </w:r>
          </w:p>
          <w:p w14:paraId="0914A003">
            <w:pPr>
              <w:pStyle w:val="62"/>
              <w:spacing w:line="440" w:lineRule="exact"/>
              <w:ind w:left="0"/>
              <w:rPr>
                <w:rFonts w:ascii="Times New Roman" w:hAnsi="Times New Roman"/>
                <w:color w:val="000000"/>
                <w:sz w:val="24"/>
                <w:szCs w:val="24"/>
                <w:lang w:eastAsia="zh-CN"/>
              </w:rPr>
            </w:pPr>
            <w:r>
              <w:rPr>
                <w:rFonts w:hint="eastAsia" w:ascii="Times New Roman" w:hAnsi="Times New Roman"/>
                <w:color w:val="000000"/>
                <w:sz w:val="24"/>
                <w:szCs w:val="24"/>
                <w:lang w:eastAsia="zh-CN"/>
              </w:rPr>
              <w:t>（厂界）</w:t>
            </w:r>
          </w:p>
        </w:tc>
        <w:tc>
          <w:tcPr>
            <w:tcW w:w="540" w:type="pct"/>
            <w:tcBorders>
              <w:tl2br w:val="nil"/>
              <w:tr2bl w:val="nil"/>
            </w:tcBorders>
            <w:vAlign w:val="center"/>
          </w:tcPr>
          <w:p w14:paraId="774B588C">
            <w:pPr>
              <w:pStyle w:val="62"/>
              <w:spacing w:line="440" w:lineRule="exact"/>
              <w:ind w:left="0"/>
              <w:rPr>
                <w:rFonts w:ascii="Times New Roman" w:hAnsi="Times New Roman"/>
                <w:color w:val="000000"/>
                <w:sz w:val="24"/>
                <w:szCs w:val="24"/>
                <w:lang w:eastAsia="zh-CN"/>
              </w:rPr>
            </w:pPr>
            <w:r>
              <w:rPr>
                <w:rFonts w:hint="eastAsia" w:ascii="Times New Roman" w:hAnsi="Times New Roman"/>
                <w:color w:val="000000"/>
                <w:sz w:val="24"/>
                <w:szCs w:val="24"/>
                <w:lang w:eastAsia="zh-CN"/>
              </w:rPr>
              <w:t>颗粒物</w:t>
            </w:r>
          </w:p>
        </w:tc>
        <w:tc>
          <w:tcPr>
            <w:tcW w:w="1641" w:type="pct"/>
            <w:tcBorders>
              <w:tl2br w:val="nil"/>
              <w:tr2bl w:val="nil"/>
            </w:tcBorders>
            <w:vAlign w:val="center"/>
          </w:tcPr>
          <w:p w14:paraId="2090DB50">
            <w:pPr>
              <w:spacing w:line="440" w:lineRule="exact"/>
              <w:jc w:val="center"/>
              <w:rPr>
                <w:rFonts w:ascii="Times New Roman" w:hAnsi="Times New Roman" w:cs="宋体"/>
                <w:bCs/>
                <w:color w:val="000000"/>
                <w:sz w:val="24"/>
                <w:szCs w:val="24"/>
                <w:lang w:eastAsia="zh-CN"/>
              </w:rPr>
            </w:pPr>
            <w:r>
              <w:rPr>
                <w:rFonts w:hint="eastAsia" w:ascii="Times New Roman" w:hAnsi="Times New Roman" w:cs="宋体"/>
                <w:bCs/>
                <w:color w:val="000000"/>
                <w:sz w:val="24"/>
                <w:szCs w:val="24"/>
                <w:lang w:eastAsia="zh-CN"/>
              </w:rPr>
              <w:t>设置围挡、密闭车间、洒水抑尘、控制车速、出入车辆冲洗</w:t>
            </w:r>
          </w:p>
        </w:tc>
        <w:tc>
          <w:tcPr>
            <w:tcW w:w="1353" w:type="pct"/>
            <w:tcBorders>
              <w:tl2br w:val="nil"/>
              <w:tr2bl w:val="nil"/>
            </w:tcBorders>
            <w:vAlign w:val="center"/>
          </w:tcPr>
          <w:p w14:paraId="703A47A1">
            <w:pPr>
              <w:spacing w:line="440" w:lineRule="exact"/>
              <w:jc w:val="center"/>
              <w:rPr>
                <w:rFonts w:ascii="Times New Roman" w:hAnsi="Times New Roman"/>
                <w:color w:val="000000"/>
                <w:sz w:val="24"/>
                <w:szCs w:val="24"/>
                <w:lang w:eastAsia="zh-CN"/>
              </w:rPr>
            </w:pPr>
            <w:r>
              <w:rPr>
                <w:rFonts w:hint="eastAsia" w:ascii="Times New Roman" w:hAnsi="Times New Roman" w:cs="宋体"/>
                <w:bCs/>
                <w:color w:val="000000"/>
                <w:sz w:val="24"/>
                <w:szCs w:val="24"/>
                <w:lang w:eastAsia="zh-CN"/>
              </w:rPr>
              <w:t xml:space="preserve">《大气污染物综合排放标准》（GB 16297-1996）中表2 </w:t>
            </w:r>
          </w:p>
        </w:tc>
      </w:tr>
      <w:tr w14:paraId="22BC73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41" w:type="pct"/>
            <w:tcBorders>
              <w:tl2br w:val="nil"/>
              <w:tr2bl w:val="nil"/>
            </w:tcBorders>
            <w:vAlign w:val="center"/>
          </w:tcPr>
          <w:p w14:paraId="1423FE92">
            <w:pPr>
              <w:pStyle w:val="62"/>
              <w:spacing w:line="440" w:lineRule="exact"/>
              <w:ind w:left="0"/>
              <w:rPr>
                <w:rFonts w:ascii="Times New Roman" w:hAnsi="Times New Roman"/>
                <w:color w:val="000000"/>
                <w:sz w:val="24"/>
                <w:szCs w:val="24"/>
                <w:lang w:eastAsia="zh-CN"/>
              </w:rPr>
            </w:pPr>
            <w:r>
              <w:rPr>
                <w:rFonts w:hint="eastAsia" w:ascii="Times New Roman" w:hAnsi="Times New Roman"/>
                <w:color w:val="000000"/>
                <w:sz w:val="24"/>
                <w:szCs w:val="24"/>
                <w:lang w:eastAsia="zh-CN"/>
              </w:rPr>
              <w:t>地表水环境</w:t>
            </w:r>
          </w:p>
        </w:tc>
        <w:tc>
          <w:tcPr>
            <w:tcW w:w="823" w:type="pct"/>
            <w:tcBorders>
              <w:tl2br w:val="nil"/>
              <w:tr2bl w:val="nil"/>
            </w:tcBorders>
            <w:vAlign w:val="center"/>
          </w:tcPr>
          <w:p w14:paraId="43E9DEF0">
            <w:pPr>
              <w:pStyle w:val="62"/>
              <w:spacing w:line="440" w:lineRule="exact"/>
              <w:ind w:left="0"/>
              <w:rPr>
                <w:rFonts w:ascii="Times New Roman" w:hAnsi="Times New Roman"/>
                <w:color w:val="000000"/>
                <w:sz w:val="24"/>
                <w:szCs w:val="24"/>
                <w:lang w:eastAsia="zh-CN"/>
              </w:rPr>
            </w:pPr>
            <w:r>
              <w:rPr>
                <w:rFonts w:hint="eastAsia" w:ascii="Times New Roman" w:hAnsi="Times New Roman"/>
                <w:color w:val="000000"/>
                <w:sz w:val="24"/>
                <w:szCs w:val="24"/>
                <w:lang w:eastAsia="zh-CN"/>
              </w:rPr>
              <w:t>员工生活污水</w:t>
            </w:r>
          </w:p>
        </w:tc>
        <w:tc>
          <w:tcPr>
            <w:tcW w:w="540" w:type="pct"/>
            <w:tcBorders>
              <w:tl2br w:val="nil"/>
              <w:tr2bl w:val="nil"/>
            </w:tcBorders>
            <w:vAlign w:val="center"/>
          </w:tcPr>
          <w:p w14:paraId="7E1A63FE">
            <w:pPr>
              <w:pStyle w:val="62"/>
              <w:spacing w:line="440" w:lineRule="exact"/>
              <w:ind w:left="0"/>
              <w:rPr>
                <w:rFonts w:ascii="Times New Roman" w:hAnsi="Times New Roman"/>
                <w:color w:val="000000"/>
                <w:sz w:val="24"/>
                <w:szCs w:val="24"/>
                <w:lang w:eastAsia="zh-CN"/>
              </w:rPr>
            </w:pPr>
            <w:r>
              <w:rPr>
                <w:rFonts w:hint="eastAsia" w:ascii="Times New Roman" w:hAnsi="Times New Roman"/>
                <w:color w:val="000000"/>
                <w:sz w:val="24"/>
                <w:szCs w:val="24"/>
                <w:lang w:eastAsia="zh-CN"/>
              </w:rPr>
              <w:t>生活污水</w:t>
            </w:r>
          </w:p>
        </w:tc>
        <w:tc>
          <w:tcPr>
            <w:tcW w:w="1641" w:type="pct"/>
            <w:tcBorders>
              <w:tl2br w:val="nil"/>
              <w:tr2bl w:val="nil"/>
            </w:tcBorders>
            <w:vAlign w:val="center"/>
          </w:tcPr>
          <w:p w14:paraId="557AFA10">
            <w:pPr>
              <w:spacing w:line="360" w:lineRule="exact"/>
              <w:ind w:firstLine="240" w:firstLineChars="100"/>
              <w:jc w:val="center"/>
              <w:rPr>
                <w:rFonts w:ascii="Times New Roman" w:hAnsi="Times New Roman"/>
                <w:color w:val="000000"/>
                <w:sz w:val="24"/>
                <w:szCs w:val="24"/>
                <w:lang w:eastAsia="zh-CN"/>
              </w:rPr>
            </w:pPr>
            <w:r>
              <w:rPr>
                <w:rFonts w:hint="eastAsia" w:ascii="Times New Roman" w:hAnsi="Times New Roman"/>
                <w:color w:val="000000"/>
                <w:sz w:val="24"/>
                <w:szCs w:val="24"/>
                <w:lang w:eastAsia="zh-CN"/>
              </w:rPr>
              <w:t>经化粪池处理后拉运至七克台镇污水处理站处理</w:t>
            </w:r>
          </w:p>
        </w:tc>
        <w:tc>
          <w:tcPr>
            <w:tcW w:w="1353" w:type="pct"/>
            <w:tcBorders>
              <w:tl2br w:val="nil"/>
              <w:tr2bl w:val="nil"/>
            </w:tcBorders>
            <w:vAlign w:val="center"/>
          </w:tcPr>
          <w:p w14:paraId="69D81C24">
            <w:pPr>
              <w:pStyle w:val="62"/>
              <w:spacing w:line="440" w:lineRule="exact"/>
              <w:ind w:left="0" w:firstLine="240" w:firstLineChars="100"/>
              <w:rPr>
                <w:rFonts w:ascii="Times New Roman" w:hAnsi="Times New Roman"/>
                <w:color w:val="000000"/>
                <w:sz w:val="24"/>
                <w:szCs w:val="24"/>
                <w:lang w:eastAsia="zh-CN"/>
              </w:rPr>
            </w:pPr>
            <w:r>
              <w:rPr>
                <w:rFonts w:hint="eastAsia" w:ascii="Times New Roman" w:hAnsi="Times New Roman"/>
                <w:color w:val="000000"/>
                <w:sz w:val="24"/>
                <w:szCs w:val="24"/>
                <w:lang w:eastAsia="zh-CN"/>
              </w:rPr>
              <w:t>《污水综合排放标准》（GB8978-1996）三级标准</w:t>
            </w:r>
          </w:p>
        </w:tc>
      </w:tr>
      <w:tr w14:paraId="552EB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41" w:type="pct"/>
            <w:tcBorders>
              <w:tl2br w:val="nil"/>
              <w:tr2bl w:val="nil"/>
            </w:tcBorders>
            <w:vAlign w:val="center"/>
          </w:tcPr>
          <w:p w14:paraId="329D9CB0">
            <w:pPr>
              <w:pStyle w:val="62"/>
              <w:spacing w:line="440" w:lineRule="exact"/>
              <w:ind w:left="0"/>
              <w:rPr>
                <w:rFonts w:ascii="Times New Roman" w:hAnsi="Times New Roman"/>
                <w:color w:val="000000"/>
                <w:sz w:val="24"/>
                <w:szCs w:val="24"/>
              </w:rPr>
            </w:pPr>
            <w:r>
              <w:rPr>
                <w:rFonts w:hint="eastAsia" w:ascii="Times New Roman" w:hAnsi="Times New Roman"/>
                <w:color w:val="000000"/>
                <w:sz w:val="24"/>
                <w:szCs w:val="24"/>
              </w:rPr>
              <w:t>声环境</w:t>
            </w:r>
          </w:p>
        </w:tc>
        <w:tc>
          <w:tcPr>
            <w:tcW w:w="823" w:type="pct"/>
            <w:tcBorders>
              <w:tl2br w:val="nil"/>
              <w:tr2bl w:val="nil"/>
            </w:tcBorders>
            <w:vAlign w:val="center"/>
          </w:tcPr>
          <w:p w14:paraId="6390E83F">
            <w:pPr>
              <w:pStyle w:val="62"/>
              <w:spacing w:line="440" w:lineRule="exact"/>
              <w:ind w:left="0"/>
              <w:rPr>
                <w:rFonts w:ascii="Times New Roman" w:hAnsi="Times New Roman"/>
                <w:color w:val="000000"/>
                <w:sz w:val="24"/>
                <w:szCs w:val="24"/>
                <w:lang w:eastAsia="zh-CN"/>
              </w:rPr>
            </w:pPr>
            <w:r>
              <w:rPr>
                <w:rFonts w:hint="eastAsia" w:ascii="Times New Roman" w:hAnsi="Times New Roman"/>
                <w:color w:val="000000"/>
                <w:sz w:val="24"/>
                <w:szCs w:val="24"/>
                <w:lang w:eastAsia="zh-CN"/>
              </w:rPr>
              <w:t>设备</w:t>
            </w:r>
          </w:p>
        </w:tc>
        <w:tc>
          <w:tcPr>
            <w:tcW w:w="540" w:type="pct"/>
            <w:tcBorders>
              <w:tl2br w:val="nil"/>
              <w:tr2bl w:val="nil"/>
            </w:tcBorders>
            <w:vAlign w:val="center"/>
          </w:tcPr>
          <w:p w14:paraId="492AB0B2">
            <w:pPr>
              <w:pStyle w:val="62"/>
              <w:spacing w:line="440" w:lineRule="exact"/>
              <w:ind w:left="0"/>
              <w:rPr>
                <w:rFonts w:ascii="Times New Roman" w:hAnsi="Times New Roman"/>
                <w:color w:val="000000"/>
                <w:sz w:val="24"/>
                <w:szCs w:val="24"/>
              </w:rPr>
            </w:pPr>
            <w:r>
              <w:rPr>
                <w:rFonts w:hint="eastAsia" w:ascii="Times New Roman" w:hAnsi="Times New Roman"/>
                <w:color w:val="000000"/>
                <w:sz w:val="24"/>
                <w:szCs w:val="24"/>
              </w:rPr>
              <w:t>噪声</w:t>
            </w:r>
          </w:p>
        </w:tc>
        <w:tc>
          <w:tcPr>
            <w:tcW w:w="1641" w:type="pct"/>
            <w:tcBorders>
              <w:tl2br w:val="nil"/>
              <w:tr2bl w:val="nil"/>
            </w:tcBorders>
            <w:vAlign w:val="center"/>
          </w:tcPr>
          <w:p w14:paraId="05C98784">
            <w:pPr>
              <w:pStyle w:val="62"/>
              <w:spacing w:line="440" w:lineRule="exact"/>
              <w:ind w:left="0" w:firstLine="240" w:firstLineChars="1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选用低噪声设备、设备基础减振、加强设备维护</w:t>
            </w:r>
          </w:p>
        </w:tc>
        <w:tc>
          <w:tcPr>
            <w:tcW w:w="1353" w:type="pct"/>
            <w:tcBorders>
              <w:tl2br w:val="nil"/>
              <w:tr2bl w:val="nil"/>
            </w:tcBorders>
            <w:vAlign w:val="center"/>
          </w:tcPr>
          <w:p w14:paraId="1F60872E">
            <w:pPr>
              <w:pStyle w:val="62"/>
              <w:spacing w:line="440" w:lineRule="exact"/>
              <w:ind w:left="0" w:firstLine="240" w:firstLineChars="1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《工业企业厂界环境噪声排放标准》（GB12348-2008）中3类标准</w:t>
            </w:r>
          </w:p>
        </w:tc>
      </w:tr>
      <w:tr w14:paraId="6D398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41" w:type="pct"/>
            <w:tcBorders>
              <w:tl2br w:val="nil"/>
              <w:tr2bl w:val="nil"/>
            </w:tcBorders>
            <w:vAlign w:val="center"/>
          </w:tcPr>
          <w:p w14:paraId="7CAF7225">
            <w:pPr>
              <w:pStyle w:val="62"/>
              <w:spacing w:line="440" w:lineRule="exact"/>
              <w:ind w:left="0"/>
              <w:rPr>
                <w:rFonts w:ascii="Times New Roman" w:hAnsi="Times New Roman"/>
                <w:color w:val="000000"/>
                <w:sz w:val="24"/>
                <w:szCs w:val="24"/>
              </w:rPr>
            </w:pPr>
            <w:r>
              <w:rPr>
                <w:rFonts w:hint="eastAsia" w:ascii="Times New Roman" w:hAnsi="Times New Roman"/>
                <w:color w:val="000000"/>
                <w:sz w:val="24"/>
                <w:szCs w:val="24"/>
              </w:rPr>
              <w:t>固体废物</w:t>
            </w:r>
          </w:p>
        </w:tc>
        <w:tc>
          <w:tcPr>
            <w:tcW w:w="4358" w:type="pct"/>
            <w:gridSpan w:val="4"/>
            <w:tcBorders>
              <w:tl2br w:val="nil"/>
              <w:tr2bl w:val="nil"/>
            </w:tcBorders>
            <w:vAlign w:val="center"/>
          </w:tcPr>
          <w:p w14:paraId="71BAEDC6">
            <w:pPr>
              <w:pStyle w:val="62"/>
              <w:spacing w:line="440" w:lineRule="exact"/>
              <w:ind w:left="0" w:firstLine="240" w:firstLineChars="100"/>
              <w:jc w:val="both"/>
              <w:rPr>
                <w:rFonts w:ascii="Times New Roman" w:hAnsi="Times New Roman"/>
                <w:bCs/>
                <w:color w:val="000000"/>
                <w:sz w:val="24"/>
                <w:szCs w:val="24"/>
                <w:lang w:eastAsia="zh-CN"/>
              </w:rPr>
            </w:pPr>
            <w:r>
              <w:rPr>
                <w:rFonts w:hint="eastAsia" w:ascii="Times New Roman" w:hAnsi="Times New Roman"/>
                <w:bCs/>
                <w:color w:val="000000"/>
                <w:sz w:val="24"/>
                <w:szCs w:val="24"/>
                <w:lang w:eastAsia="zh-CN"/>
              </w:rPr>
              <w:t>一般固废：暂存于一般固废暂存间，委托资质单位处置。</w:t>
            </w:r>
          </w:p>
          <w:p w14:paraId="2B40BA58">
            <w:pPr>
              <w:pStyle w:val="62"/>
              <w:spacing w:line="440" w:lineRule="exact"/>
              <w:ind w:left="0" w:firstLine="240" w:firstLineChars="100"/>
              <w:jc w:val="both"/>
              <w:rPr>
                <w:rFonts w:ascii="Times New Roman" w:hAnsi="Times New Roman"/>
                <w:lang w:eastAsia="zh-CN"/>
              </w:rPr>
            </w:pPr>
            <w:r>
              <w:rPr>
                <w:rFonts w:hint="eastAsia" w:ascii="Times New Roman" w:hAnsi="Times New Roman"/>
                <w:bCs/>
                <w:color w:val="000000"/>
                <w:sz w:val="24"/>
                <w:szCs w:val="24"/>
                <w:lang w:eastAsia="zh-CN"/>
              </w:rPr>
              <w:t>危险废物：危险废物分类收集暂存于危废贮存库，定期交由资质单位处置</w:t>
            </w:r>
            <w:r>
              <w:rPr>
                <w:rFonts w:hint="eastAsia" w:ascii="Times New Roman" w:hAnsi="Times New Roman"/>
                <w:color w:val="000000"/>
                <w:sz w:val="24"/>
                <w:szCs w:val="24"/>
                <w:lang w:eastAsia="zh-CN"/>
              </w:rPr>
              <w:t>。</w:t>
            </w:r>
          </w:p>
        </w:tc>
      </w:tr>
      <w:tr w14:paraId="1B5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41" w:type="pct"/>
            <w:tcBorders>
              <w:tl2br w:val="nil"/>
              <w:tr2bl w:val="nil"/>
            </w:tcBorders>
            <w:vAlign w:val="center"/>
          </w:tcPr>
          <w:p w14:paraId="53FEBE2F">
            <w:pPr>
              <w:pStyle w:val="62"/>
              <w:spacing w:line="440" w:lineRule="exact"/>
              <w:ind w:left="0"/>
              <w:rPr>
                <w:rFonts w:ascii="Times New Roman" w:hAnsi="Times New Roman"/>
                <w:color w:val="000000"/>
                <w:sz w:val="24"/>
                <w:szCs w:val="24"/>
              </w:rPr>
            </w:pPr>
            <w:r>
              <w:rPr>
                <w:rFonts w:hint="eastAsia" w:ascii="Times New Roman" w:hAnsi="Times New Roman"/>
                <w:color w:val="000000"/>
                <w:sz w:val="24"/>
                <w:szCs w:val="24"/>
              </w:rPr>
              <w:t>土壤及地下水污染防治措施</w:t>
            </w:r>
          </w:p>
        </w:tc>
        <w:tc>
          <w:tcPr>
            <w:tcW w:w="4358" w:type="pct"/>
            <w:gridSpan w:val="4"/>
            <w:tcBorders>
              <w:tl2br w:val="nil"/>
              <w:tr2bl w:val="nil"/>
            </w:tcBorders>
            <w:vAlign w:val="center"/>
          </w:tcPr>
          <w:p w14:paraId="6ED2F21B">
            <w:pPr>
              <w:pStyle w:val="62"/>
              <w:spacing w:line="440" w:lineRule="exact"/>
              <w:ind w:left="0" w:firstLine="240" w:firstLineChars="1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1、项目采取源头控制、分区防渗措施。</w:t>
            </w:r>
          </w:p>
          <w:p w14:paraId="2D9ED844">
            <w:pPr>
              <w:pStyle w:val="62"/>
              <w:spacing w:line="440" w:lineRule="exact"/>
              <w:ind w:left="0" w:firstLine="240" w:firstLineChars="1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2、对液体药剂输送管道、设备、储存设施采取控制措施，防止污染物的跑、冒、滴、漏现象。</w:t>
            </w:r>
          </w:p>
          <w:p w14:paraId="41DB7641">
            <w:pPr>
              <w:pStyle w:val="62"/>
              <w:spacing w:line="440" w:lineRule="exact"/>
              <w:ind w:left="0" w:firstLine="240" w:firstLineChars="1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3、加强对厂区暂存的液体药剂包装容器的检查，确保容器完好。</w:t>
            </w:r>
          </w:p>
        </w:tc>
      </w:tr>
      <w:tr w14:paraId="15E5D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41" w:type="pct"/>
            <w:tcBorders>
              <w:tl2br w:val="nil"/>
              <w:tr2bl w:val="nil"/>
            </w:tcBorders>
            <w:vAlign w:val="center"/>
          </w:tcPr>
          <w:p w14:paraId="1227D4F2">
            <w:pPr>
              <w:pStyle w:val="62"/>
              <w:spacing w:line="440" w:lineRule="exact"/>
              <w:ind w:left="0"/>
              <w:rPr>
                <w:rFonts w:ascii="Times New Roman" w:hAnsi="Times New Roman"/>
                <w:color w:val="000000"/>
                <w:sz w:val="24"/>
                <w:szCs w:val="24"/>
              </w:rPr>
            </w:pPr>
            <w:r>
              <w:rPr>
                <w:rFonts w:hint="eastAsia" w:ascii="Times New Roman" w:hAnsi="Times New Roman"/>
                <w:color w:val="000000"/>
                <w:sz w:val="24"/>
                <w:szCs w:val="24"/>
              </w:rPr>
              <w:t>生态保护措施</w:t>
            </w:r>
          </w:p>
        </w:tc>
        <w:tc>
          <w:tcPr>
            <w:tcW w:w="4358" w:type="pct"/>
            <w:gridSpan w:val="4"/>
            <w:tcBorders>
              <w:tl2br w:val="nil"/>
              <w:tr2bl w:val="nil"/>
            </w:tcBorders>
            <w:vAlign w:val="center"/>
          </w:tcPr>
          <w:p w14:paraId="1D20FF10">
            <w:pPr>
              <w:pStyle w:val="62"/>
              <w:spacing w:line="440" w:lineRule="exact"/>
              <w:ind w:left="0"/>
              <w:rPr>
                <w:rFonts w:ascii="Times New Roman" w:hAnsi="Times New Roman"/>
                <w:color w:val="000000"/>
                <w:sz w:val="24"/>
                <w:szCs w:val="24"/>
                <w:lang w:eastAsia="zh-CN"/>
              </w:rPr>
            </w:pPr>
            <w:r>
              <w:rPr>
                <w:rFonts w:hint="eastAsia" w:ascii="Times New Roman" w:hAnsi="Times New Roman"/>
                <w:color w:val="000000"/>
                <w:sz w:val="24"/>
                <w:szCs w:val="24"/>
                <w:lang w:eastAsia="zh-CN"/>
              </w:rPr>
              <w:t>无</w:t>
            </w:r>
          </w:p>
        </w:tc>
      </w:tr>
      <w:tr w14:paraId="70B00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41" w:type="pct"/>
            <w:tcBorders>
              <w:tl2br w:val="nil"/>
              <w:tr2bl w:val="nil"/>
            </w:tcBorders>
            <w:vAlign w:val="center"/>
          </w:tcPr>
          <w:p w14:paraId="2D690709">
            <w:pPr>
              <w:pStyle w:val="62"/>
              <w:spacing w:line="440" w:lineRule="exact"/>
              <w:ind w:left="0"/>
              <w:rPr>
                <w:rFonts w:ascii="Times New Roman" w:hAnsi="Times New Roman"/>
                <w:color w:val="000000"/>
                <w:sz w:val="24"/>
                <w:szCs w:val="24"/>
              </w:rPr>
            </w:pPr>
            <w:r>
              <w:rPr>
                <w:rFonts w:hint="eastAsia" w:ascii="Times New Roman" w:hAnsi="Times New Roman"/>
                <w:color w:val="000000"/>
                <w:sz w:val="24"/>
                <w:szCs w:val="24"/>
              </w:rPr>
              <w:t>环境风险防范措施</w:t>
            </w:r>
          </w:p>
        </w:tc>
        <w:tc>
          <w:tcPr>
            <w:tcW w:w="4358" w:type="pct"/>
            <w:gridSpan w:val="4"/>
            <w:tcBorders>
              <w:tl2br w:val="nil"/>
              <w:tr2bl w:val="nil"/>
            </w:tcBorders>
            <w:vAlign w:val="center"/>
          </w:tcPr>
          <w:p w14:paraId="313F9E7D">
            <w:pPr>
              <w:pStyle w:val="62"/>
              <w:spacing w:line="440" w:lineRule="exact"/>
              <w:ind w:left="0" w:firstLine="240" w:firstLineChars="1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通过采取做好环境风险源头控制和分区防渗措施、严格落实各项消防措施、加强环境风险物质的管理、及时编制突发环境事件应急预案，并定期组织演练等措施。</w:t>
            </w:r>
          </w:p>
        </w:tc>
      </w:tr>
      <w:tr w14:paraId="64A21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41" w:type="pct"/>
            <w:tcBorders>
              <w:tl2br w:val="nil"/>
              <w:tr2bl w:val="nil"/>
            </w:tcBorders>
            <w:vAlign w:val="center"/>
          </w:tcPr>
          <w:p w14:paraId="2B0CEF00">
            <w:pPr>
              <w:pStyle w:val="62"/>
              <w:spacing w:line="360" w:lineRule="exact"/>
              <w:ind w:left="0"/>
              <w:rPr>
                <w:rFonts w:ascii="Times New Roman" w:hAnsi="Times New Roman"/>
                <w:color w:val="000000"/>
                <w:sz w:val="24"/>
                <w:szCs w:val="24"/>
              </w:rPr>
            </w:pPr>
            <w:r>
              <w:rPr>
                <w:rFonts w:hint="eastAsia" w:ascii="Times New Roman" w:hAnsi="Times New Roman"/>
                <w:color w:val="000000"/>
                <w:sz w:val="24"/>
                <w:szCs w:val="24"/>
              </w:rPr>
              <w:t>其他环境管理要求</w:t>
            </w:r>
          </w:p>
        </w:tc>
        <w:tc>
          <w:tcPr>
            <w:tcW w:w="4358" w:type="pct"/>
            <w:gridSpan w:val="4"/>
            <w:tcBorders>
              <w:tl2br w:val="nil"/>
              <w:tr2bl w:val="nil"/>
            </w:tcBorders>
            <w:vAlign w:val="center"/>
          </w:tcPr>
          <w:p w14:paraId="2A399CA8">
            <w:pPr>
              <w:pStyle w:val="62"/>
              <w:spacing w:line="440" w:lineRule="exact"/>
              <w:ind w:left="0"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1、排污许可登记</w:t>
            </w:r>
          </w:p>
          <w:p w14:paraId="7F3BA1B5">
            <w:pPr>
              <w:pStyle w:val="63"/>
              <w:spacing w:line="440" w:lineRule="exact"/>
              <w:ind w:firstLine="480"/>
            </w:pPr>
            <w:r>
              <w:t>本项目在验收前，应当按照有关规定，填报排污登记表，明确基本信息、污染物排放去向、执行的污染物排放标准以及采取的污染防治措施等信息。</w:t>
            </w:r>
          </w:p>
          <w:p w14:paraId="2DB7A44D">
            <w:pPr>
              <w:pStyle w:val="62"/>
              <w:spacing w:line="440" w:lineRule="exact"/>
              <w:ind w:left="0"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2、环保验收</w:t>
            </w:r>
          </w:p>
          <w:p w14:paraId="7926E813">
            <w:pPr>
              <w:pStyle w:val="62"/>
              <w:spacing w:line="440" w:lineRule="exact"/>
              <w:ind w:left="0" w:firstLine="480" w:firstLineChars="200"/>
              <w:jc w:val="both"/>
              <w:rPr>
                <w:rFonts w:ascii="Times New Roman" w:hAnsi="Times New Roman"/>
                <w:color w:val="000000"/>
                <w:sz w:val="24"/>
                <w:szCs w:val="24"/>
                <w:lang w:eastAsia="zh-CN"/>
              </w:rPr>
            </w:pPr>
            <w:r>
              <w:rPr>
                <w:rFonts w:hint="eastAsia" w:ascii="Times New Roman" w:hAnsi="Times New Roman"/>
                <w:color w:val="000000"/>
                <w:sz w:val="24"/>
                <w:szCs w:val="24"/>
                <w:lang w:eastAsia="zh-CN"/>
              </w:rPr>
              <w:t>建设单位严格执行三同时制度，项目建成后按照《建设项目竣工环境保护验收技术指南 污染影响类》等文件开展建设项目竣工环境保护验收。</w:t>
            </w:r>
          </w:p>
        </w:tc>
      </w:tr>
    </w:tbl>
    <w:p w14:paraId="38CED226">
      <w:pPr>
        <w:pStyle w:val="76"/>
        <w:spacing w:after="120"/>
        <w:rPr>
          <w:rFonts w:ascii="Times New Roman" w:hAnsi="Times New Roman" w:eastAsia="宋体"/>
          <w:b/>
          <w:bCs/>
          <w:color w:val="000000"/>
        </w:rPr>
      </w:pPr>
      <w:bookmarkStart w:id="5" w:name="_Toc66545438"/>
      <w:r>
        <w:rPr>
          <w:rFonts w:ascii="Times New Roman" w:hAnsi="Times New Roman" w:eastAsia="宋体"/>
          <w:b/>
          <w:bCs/>
          <w:color w:val="000000"/>
        </w:rPr>
        <w:br w:type="page"/>
      </w:r>
      <w:r>
        <w:rPr>
          <w:rFonts w:ascii="Times New Roman" w:hAnsi="Times New Roman" w:eastAsia="宋体"/>
          <w:b/>
          <w:bCs/>
          <w:color w:val="000000"/>
        </w:rPr>
        <w:t>六、结论</w:t>
      </w:r>
      <w:bookmarkEnd w:id="5"/>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9698"/>
      </w:tblGrid>
      <w:tr w14:paraId="414667B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567" w:hRule="atLeast"/>
          <w:jc w:val="center"/>
        </w:trPr>
        <w:tc>
          <w:tcPr>
            <w:tcW w:w="5000" w:type="pct"/>
            <w:vAlign w:val="center"/>
          </w:tcPr>
          <w:p w14:paraId="7160C814">
            <w:pPr>
              <w:pStyle w:val="67"/>
              <w:spacing w:before="240" w:beforeLines="100" w:line="360" w:lineRule="auto"/>
              <w:ind w:firstLine="480"/>
              <w:jc w:val="center"/>
              <w:rPr>
                <w:color w:val="000000"/>
              </w:rPr>
            </w:pPr>
          </w:p>
          <w:p w14:paraId="28E8A406">
            <w:pPr>
              <w:pStyle w:val="67"/>
              <w:spacing w:before="240" w:beforeLines="100" w:line="360" w:lineRule="auto"/>
              <w:ind w:firstLine="480"/>
              <w:jc w:val="center"/>
              <w:rPr>
                <w:color w:val="000000"/>
              </w:rPr>
            </w:pPr>
          </w:p>
          <w:p w14:paraId="7FE93E49">
            <w:pPr>
              <w:pStyle w:val="67"/>
              <w:spacing w:before="240" w:beforeLines="100" w:line="360" w:lineRule="auto"/>
              <w:ind w:firstLine="480"/>
              <w:jc w:val="center"/>
              <w:rPr>
                <w:color w:val="000000"/>
              </w:rPr>
            </w:pPr>
          </w:p>
          <w:p w14:paraId="32077AFE">
            <w:pPr>
              <w:pStyle w:val="67"/>
              <w:tabs>
                <w:tab w:val="left" w:pos="7400"/>
              </w:tabs>
              <w:spacing w:before="240" w:beforeLines="100" w:line="360" w:lineRule="auto"/>
              <w:ind w:firstLine="480"/>
              <w:jc w:val="left"/>
              <w:rPr>
                <w:rFonts w:hint="eastAsia" w:eastAsia="宋体"/>
                <w:color w:val="000000"/>
                <w:lang w:eastAsia="zh-CN"/>
              </w:rPr>
            </w:pPr>
            <w:r>
              <w:rPr>
                <w:rFonts w:hint="eastAsia"/>
                <w:color w:val="000000"/>
                <w:lang w:eastAsia="zh-CN"/>
              </w:rPr>
              <w:tab/>
            </w:r>
            <w:bookmarkStart w:id="6" w:name="_GoBack"/>
            <w:bookmarkEnd w:id="6"/>
          </w:p>
          <w:p w14:paraId="64064181">
            <w:pPr>
              <w:pStyle w:val="67"/>
              <w:spacing w:before="240" w:beforeLines="100" w:line="360" w:lineRule="auto"/>
              <w:ind w:firstLine="480"/>
              <w:rPr>
                <w:color w:val="000000"/>
              </w:rPr>
            </w:pPr>
            <w:r>
              <w:rPr>
                <w:rFonts w:hint="eastAsia"/>
                <w:color w:val="000000"/>
              </w:rPr>
              <w:t>本项目行业类别属于金属废料和碎屑加工处理，项目符合国家产业政策，选址符合要求，项目所在区域内无重大环境制约要素。本项目正常生产运营过程中产生的废气（装料粉尘、运输扬尘、卸料粉尘、筛分上料口粉尘）、废水（生活污水）、噪声（设备噪声）、固体废物（废石、捕收剂废包装袋、</w:t>
            </w:r>
            <w:r>
              <w:rPr>
                <w:rFonts w:hint="eastAsia"/>
                <w:color w:val="000000"/>
                <w:lang w:eastAsia="zh-CN"/>
              </w:rPr>
              <w:t>废渣</w:t>
            </w:r>
            <w:r>
              <w:rPr>
                <w:rFonts w:hint="eastAsia"/>
                <w:color w:val="000000"/>
              </w:rPr>
              <w:t>滤饼、废润滑油、润滑油包装桶），均已采取相应的环境保护措施，对区域环境影响较小；在落实相应的风险事故防范措施和应急措施预案的前提下，可以把项目的事故风险减少到较小程度，项目的环境风险可接受。</w:t>
            </w:r>
          </w:p>
          <w:p w14:paraId="5F0BECE5">
            <w:pPr>
              <w:pStyle w:val="67"/>
              <w:spacing w:line="360" w:lineRule="auto"/>
              <w:ind w:firstLine="480"/>
              <w:rPr>
                <w:color w:val="000000"/>
              </w:rPr>
            </w:pPr>
            <w:r>
              <w:rPr>
                <w:rFonts w:hint="eastAsia"/>
                <w:color w:val="000000"/>
              </w:rPr>
              <w:t>综上所述，在落实本报告表中的各项环保措施以及各级环保主管部门管理要求的前提下，从环保角度分析，本项目</w:t>
            </w:r>
            <w:r>
              <w:rPr>
                <w:rFonts w:hint="eastAsia"/>
                <w:color w:val="000000"/>
                <w:lang w:val="en-US" w:eastAsia="zh-CN"/>
              </w:rPr>
              <w:t>建设可行</w:t>
            </w:r>
            <w:r>
              <w:rPr>
                <w:rFonts w:hint="eastAsia"/>
                <w:color w:val="000000"/>
              </w:rPr>
              <w:t>。</w:t>
            </w:r>
          </w:p>
          <w:p w14:paraId="678BF0C5">
            <w:pPr>
              <w:pStyle w:val="67"/>
              <w:ind w:firstLine="480"/>
              <w:jc w:val="center"/>
              <w:rPr>
                <w:color w:val="000000"/>
              </w:rPr>
            </w:pPr>
          </w:p>
          <w:p w14:paraId="7EA09EC3">
            <w:pPr>
              <w:pStyle w:val="67"/>
              <w:ind w:firstLine="480"/>
              <w:jc w:val="center"/>
              <w:rPr>
                <w:color w:val="000000"/>
              </w:rPr>
            </w:pPr>
          </w:p>
          <w:p w14:paraId="72F79FF0">
            <w:pPr>
              <w:pStyle w:val="67"/>
              <w:ind w:firstLine="480"/>
              <w:jc w:val="center"/>
              <w:rPr>
                <w:color w:val="000000"/>
              </w:rPr>
            </w:pPr>
          </w:p>
          <w:p w14:paraId="20BFB931">
            <w:pPr>
              <w:pStyle w:val="67"/>
              <w:ind w:firstLine="480"/>
              <w:jc w:val="center"/>
              <w:rPr>
                <w:color w:val="000000"/>
              </w:rPr>
            </w:pPr>
          </w:p>
          <w:p w14:paraId="76306224">
            <w:pPr>
              <w:pStyle w:val="67"/>
              <w:ind w:firstLine="480"/>
              <w:jc w:val="center"/>
              <w:rPr>
                <w:color w:val="000000"/>
              </w:rPr>
            </w:pPr>
          </w:p>
          <w:p w14:paraId="3931FB03">
            <w:pPr>
              <w:pStyle w:val="67"/>
              <w:ind w:firstLine="480"/>
              <w:jc w:val="center"/>
              <w:rPr>
                <w:color w:val="000000"/>
              </w:rPr>
            </w:pPr>
          </w:p>
          <w:p w14:paraId="4D776659">
            <w:pPr>
              <w:pStyle w:val="67"/>
              <w:ind w:firstLine="480"/>
              <w:jc w:val="center"/>
              <w:rPr>
                <w:color w:val="000000"/>
              </w:rPr>
            </w:pPr>
          </w:p>
          <w:p w14:paraId="789E5060">
            <w:pPr>
              <w:pStyle w:val="67"/>
              <w:ind w:firstLine="480"/>
              <w:jc w:val="center"/>
              <w:rPr>
                <w:color w:val="000000"/>
              </w:rPr>
            </w:pPr>
          </w:p>
          <w:p w14:paraId="6C7E703A">
            <w:pPr>
              <w:pStyle w:val="67"/>
              <w:ind w:firstLine="480"/>
              <w:jc w:val="center"/>
              <w:rPr>
                <w:color w:val="000000"/>
              </w:rPr>
            </w:pPr>
          </w:p>
          <w:p w14:paraId="49A45CED">
            <w:pPr>
              <w:pStyle w:val="67"/>
              <w:ind w:firstLine="480"/>
              <w:jc w:val="center"/>
              <w:rPr>
                <w:color w:val="000000"/>
              </w:rPr>
            </w:pPr>
          </w:p>
          <w:p w14:paraId="418DD3AD">
            <w:pPr>
              <w:pStyle w:val="67"/>
              <w:ind w:firstLine="480"/>
              <w:jc w:val="center"/>
              <w:rPr>
                <w:color w:val="000000"/>
              </w:rPr>
            </w:pPr>
          </w:p>
          <w:p w14:paraId="78FE7D0B">
            <w:pPr>
              <w:pStyle w:val="67"/>
              <w:ind w:firstLine="480"/>
              <w:jc w:val="center"/>
              <w:rPr>
                <w:color w:val="000000"/>
              </w:rPr>
            </w:pPr>
          </w:p>
          <w:p w14:paraId="56101019">
            <w:pPr>
              <w:pStyle w:val="67"/>
              <w:ind w:firstLine="0" w:firstLineChars="0"/>
              <w:rPr>
                <w:color w:val="000000"/>
              </w:rPr>
            </w:pPr>
          </w:p>
        </w:tc>
      </w:tr>
    </w:tbl>
    <w:p w14:paraId="4505F97A">
      <w:pPr>
        <w:rPr>
          <w:rFonts w:ascii="Times New Roman" w:hAnsi="Times New Roman" w:cs="宋体"/>
          <w:color w:val="000000"/>
          <w:sz w:val="21"/>
          <w:szCs w:val="21"/>
          <w:lang w:eastAsia="zh-CN"/>
        </w:rPr>
        <w:sectPr>
          <w:footerReference r:id="rId3" w:type="default"/>
          <w:footerReference r:id="rId4" w:type="even"/>
          <w:pgSz w:w="11910" w:h="16840"/>
          <w:pgMar w:top="1599" w:right="1134" w:bottom="1242" w:left="1134" w:header="0" w:footer="816" w:gutter="0"/>
          <w:pgNumType w:start="1"/>
          <w:cols w:space="720" w:num="1"/>
          <w:docGrid w:linePitch="1" w:charSpace="0"/>
        </w:sectPr>
      </w:pPr>
    </w:p>
    <w:p w14:paraId="362DA773">
      <w:pPr>
        <w:bidi w:val="0"/>
      </w:pPr>
    </w:p>
    <w:sectPr>
      <w:pgSz w:w="11910" w:h="16840"/>
      <w:pgMar w:top="1083" w:right="1134" w:bottom="1083" w:left="1134" w:header="0" w:footer="816" w:gutter="0"/>
      <w:cols w:space="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onder Arial">
    <w:altName w:val="Arial"/>
    <w:panose1 w:val="00000000000000000000"/>
    <w:charset w:val="00"/>
    <w:family w:val="auto"/>
    <w:pitch w:val="default"/>
    <w:sig w:usb0="00000000" w:usb1="00000000" w:usb2="00000000" w:usb3="00000000" w:csb0="20000011"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auto"/>
    <w:pitch w:val="default"/>
    <w:sig w:usb0="00000001" w:usb1="080E0000" w:usb2="00000000" w:usb3="00000000" w:csb0="00040000" w:csb1="00000000"/>
  </w:font>
  <w:font w:name="FontAwesome">
    <w:altName w:val="微软雅黑"/>
    <w:panose1 w:val="00000000000000000000"/>
    <w:charset w:val="0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0A811">
    <w:pPr>
      <w:spacing w:line="14" w:lineRule="auto"/>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7EDEAE">
                          <w:pPr>
                            <w:pStyle w:val="17"/>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wps:txbx>
                    <wps:bodyPr vert="horz" wrap="none" lIns="0" tIns="0" rIns="0" bIns="0" anchor="t" anchorCtr="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AqaKXvaAQAAtgMAAA4AAAAAAAAAAQAg&#10;AAAAHgEAAGRycy9lMm9Eb2MueG1sUEsFBgAAAAAGAAYAWQEAAGoFAAAAAA==&#10;">
              <v:fill on="f" focussize="0,0"/>
              <v:stroke on="f"/>
              <v:imagedata o:title=""/>
              <o:lock v:ext="edit" aspectratio="f"/>
              <v:textbox inset="0mm,0mm,0mm,0mm" style="mso-fit-shape-to-text:t;">
                <w:txbxContent>
                  <w:p w14:paraId="7C7EDEAE">
                    <w:pPr>
                      <w:pStyle w:val="17"/>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1833E">
    <w:pPr>
      <w:spacing w:line="14" w:lineRule="auto"/>
      <w:rPr>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0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F6F378">
                          <w:pPr>
                            <w:pStyle w:val="17"/>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205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KqIntLaAQAAtgMAAA4AAAAAAAAAAQAg&#10;AAAAHgEAAGRycy9lMm9Eb2MueG1sUEsFBgAAAAAGAAYAWQEAAGoFAAAAAA==&#10;">
              <v:fill on="f" focussize="0,0"/>
              <v:stroke on="f"/>
              <v:imagedata o:title=""/>
              <o:lock v:ext="edit" aspectratio="f"/>
              <v:textbox inset="0mm,0mm,0mm,0mm" style="mso-fit-shape-to-text:t;">
                <w:txbxContent>
                  <w:p w14:paraId="4CF6F378">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9EBDD"/>
    <w:multiLevelType w:val="singleLevel"/>
    <w:tmpl w:val="B969EBDD"/>
    <w:lvl w:ilvl="0" w:tentative="0">
      <w:start w:val="1"/>
      <w:numFmt w:val="bullet"/>
      <w:pStyle w:val="15"/>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cumentProtection w:enforcement="0"/>
  <w:defaultTabStop w:val="720"/>
  <w:drawingGridHorizontalSpacing w:val="110"/>
  <w:noPunctuationKerning w:val="1"/>
  <w:characterSpacingControl w:val="doNotCompress"/>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zNmU3ZTJiNjcwMmU5NDkzNWMwMGRkNDQwYjc0NDgifQ=="/>
    <w:docVar w:name="KSO_WPS_MARK_KEY" w:val="ced812e2-a699-46b7-b723-2c535c1db6de"/>
  </w:docVars>
  <w:rsids>
    <w:rsidRoot w:val="00172A27"/>
    <w:rsid w:val="000003A3"/>
    <w:rsid w:val="000008B6"/>
    <w:rsid w:val="0000098B"/>
    <w:rsid w:val="000015A3"/>
    <w:rsid w:val="000018DC"/>
    <w:rsid w:val="00002889"/>
    <w:rsid w:val="00003A1C"/>
    <w:rsid w:val="000046AB"/>
    <w:rsid w:val="00004FD2"/>
    <w:rsid w:val="00005C6A"/>
    <w:rsid w:val="00006C60"/>
    <w:rsid w:val="0001054D"/>
    <w:rsid w:val="00010C2D"/>
    <w:rsid w:val="00012B2B"/>
    <w:rsid w:val="00013947"/>
    <w:rsid w:val="00013BD2"/>
    <w:rsid w:val="00014292"/>
    <w:rsid w:val="0001457B"/>
    <w:rsid w:val="00015E86"/>
    <w:rsid w:val="0001654D"/>
    <w:rsid w:val="000178CB"/>
    <w:rsid w:val="00020606"/>
    <w:rsid w:val="000216BE"/>
    <w:rsid w:val="000216E3"/>
    <w:rsid w:val="00021AAF"/>
    <w:rsid w:val="00021FFE"/>
    <w:rsid w:val="000228B1"/>
    <w:rsid w:val="00025C71"/>
    <w:rsid w:val="00026910"/>
    <w:rsid w:val="000302B7"/>
    <w:rsid w:val="00030A1C"/>
    <w:rsid w:val="00030DD4"/>
    <w:rsid w:val="00030F99"/>
    <w:rsid w:val="00031AF9"/>
    <w:rsid w:val="000323C1"/>
    <w:rsid w:val="00032DCD"/>
    <w:rsid w:val="00034092"/>
    <w:rsid w:val="00034CBA"/>
    <w:rsid w:val="0003512C"/>
    <w:rsid w:val="00035B3A"/>
    <w:rsid w:val="00035C6E"/>
    <w:rsid w:val="000363F8"/>
    <w:rsid w:val="0004092E"/>
    <w:rsid w:val="00040CA1"/>
    <w:rsid w:val="00040E3E"/>
    <w:rsid w:val="000432EE"/>
    <w:rsid w:val="00043568"/>
    <w:rsid w:val="00043701"/>
    <w:rsid w:val="000466B5"/>
    <w:rsid w:val="000473DD"/>
    <w:rsid w:val="0005054D"/>
    <w:rsid w:val="00050D59"/>
    <w:rsid w:val="0005100A"/>
    <w:rsid w:val="0005386A"/>
    <w:rsid w:val="0005395E"/>
    <w:rsid w:val="00053DDD"/>
    <w:rsid w:val="00054058"/>
    <w:rsid w:val="00054C6E"/>
    <w:rsid w:val="00057A0F"/>
    <w:rsid w:val="00057A54"/>
    <w:rsid w:val="00060F06"/>
    <w:rsid w:val="0006198A"/>
    <w:rsid w:val="00062AC5"/>
    <w:rsid w:val="00065C3F"/>
    <w:rsid w:val="00066C78"/>
    <w:rsid w:val="000679A3"/>
    <w:rsid w:val="00070605"/>
    <w:rsid w:val="00070DF5"/>
    <w:rsid w:val="0007186E"/>
    <w:rsid w:val="00071DCE"/>
    <w:rsid w:val="00073FD7"/>
    <w:rsid w:val="00074215"/>
    <w:rsid w:val="000749F7"/>
    <w:rsid w:val="00074C25"/>
    <w:rsid w:val="00074EDA"/>
    <w:rsid w:val="00075E11"/>
    <w:rsid w:val="00076658"/>
    <w:rsid w:val="00077852"/>
    <w:rsid w:val="00081D67"/>
    <w:rsid w:val="00082612"/>
    <w:rsid w:val="00083753"/>
    <w:rsid w:val="00083D90"/>
    <w:rsid w:val="0008460E"/>
    <w:rsid w:val="00085268"/>
    <w:rsid w:val="00085F85"/>
    <w:rsid w:val="00086074"/>
    <w:rsid w:val="00087905"/>
    <w:rsid w:val="00091A25"/>
    <w:rsid w:val="00092782"/>
    <w:rsid w:val="00092932"/>
    <w:rsid w:val="00092E85"/>
    <w:rsid w:val="00095205"/>
    <w:rsid w:val="00095A8E"/>
    <w:rsid w:val="0009624C"/>
    <w:rsid w:val="000A04B2"/>
    <w:rsid w:val="000A0E9B"/>
    <w:rsid w:val="000A14BC"/>
    <w:rsid w:val="000A1C41"/>
    <w:rsid w:val="000A2C61"/>
    <w:rsid w:val="000A321A"/>
    <w:rsid w:val="000A37C7"/>
    <w:rsid w:val="000A42FB"/>
    <w:rsid w:val="000A5149"/>
    <w:rsid w:val="000A5503"/>
    <w:rsid w:val="000A5D95"/>
    <w:rsid w:val="000A64FA"/>
    <w:rsid w:val="000B01C7"/>
    <w:rsid w:val="000B1CF8"/>
    <w:rsid w:val="000B1DC3"/>
    <w:rsid w:val="000B2414"/>
    <w:rsid w:val="000B33E8"/>
    <w:rsid w:val="000B3844"/>
    <w:rsid w:val="000B3BA6"/>
    <w:rsid w:val="000B4238"/>
    <w:rsid w:val="000B5D7B"/>
    <w:rsid w:val="000B6EFC"/>
    <w:rsid w:val="000B7003"/>
    <w:rsid w:val="000C223C"/>
    <w:rsid w:val="000C4C5E"/>
    <w:rsid w:val="000C5C81"/>
    <w:rsid w:val="000C5FB8"/>
    <w:rsid w:val="000C666E"/>
    <w:rsid w:val="000C7845"/>
    <w:rsid w:val="000C7F41"/>
    <w:rsid w:val="000D0950"/>
    <w:rsid w:val="000D18C2"/>
    <w:rsid w:val="000D2383"/>
    <w:rsid w:val="000D250E"/>
    <w:rsid w:val="000D2591"/>
    <w:rsid w:val="000D333E"/>
    <w:rsid w:val="000D3400"/>
    <w:rsid w:val="000D7BC3"/>
    <w:rsid w:val="000E00A5"/>
    <w:rsid w:val="000E178D"/>
    <w:rsid w:val="000E2320"/>
    <w:rsid w:val="000E2419"/>
    <w:rsid w:val="000E3B38"/>
    <w:rsid w:val="000E437C"/>
    <w:rsid w:val="000E4C43"/>
    <w:rsid w:val="000E5350"/>
    <w:rsid w:val="000E5963"/>
    <w:rsid w:val="000E5A4F"/>
    <w:rsid w:val="000E5F6A"/>
    <w:rsid w:val="000E76DC"/>
    <w:rsid w:val="000F0E4D"/>
    <w:rsid w:val="000F1248"/>
    <w:rsid w:val="000F1C26"/>
    <w:rsid w:val="000F25E4"/>
    <w:rsid w:val="000F2676"/>
    <w:rsid w:val="000F2762"/>
    <w:rsid w:val="000F2DBD"/>
    <w:rsid w:val="000F30FF"/>
    <w:rsid w:val="000F315F"/>
    <w:rsid w:val="000F31D8"/>
    <w:rsid w:val="000F42DE"/>
    <w:rsid w:val="000F57CF"/>
    <w:rsid w:val="000F5D3E"/>
    <w:rsid w:val="000F60C8"/>
    <w:rsid w:val="000F750D"/>
    <w:rsid w:val="000F7E3E"/>
    <w:rsid w:val="00102AB1"/>
    <w:rsid w:val="00103D09"/>
    <w:rsid w:val="0010459E"/>
    <w:rsid w:val="00104856"/>
    <w:rsid w:val="00105A7D"/>
    <w:rsid w:val="00105D4A"/>
    <w:rsid w:val="00106040"/>
    <w:rsid w:val="001104E7"/>
    <w:rsid w:val="00110ACC"/>
    <w:rsid w:val="001119C9"/>
    <w:rsid w:val="00113203"/>
    <w:rsid w:val="00115331"/>
    <w:rsid w:val="0011569D"/>
    <w:rsid w:val="001174F4"/>
    <w:rsid w:val="00121053"/>
    <w:rsid w:val="00121780"/>
    <w:rsid w:val="00122114"/>
    <w:rsid w:val="00122549"/>
    <w:rsid w:val="00122590"/>
    <w:rsid w:val="001239E6"/>
    <w:rsid w:val="00124406"/>
    <w:rsid w:val="001250D5"/>
    <w:rsid w:val="0012525E"/>
    <w:rsid w:val="001252CD"/>
    <w:rsid w:val="00125884"/>
    <w:rsid w:val="001258D2"/>
    <w:rsid w:val="00125D2B"/>
    <w:rsid w:val="0012600C"/>
    <w:rsid w:val="00131B15"/>
    <w:rsid w:val="00132297"/>
    <w:rsid w:val="001339A9"/>
    <w:rsid w:val="00133FD1"/>
    <w:rsid w:val="0013418A"/>
    <w:rsid w:val="0013488E"/>
    <w:rsid w:val="00134FD4"/>
    <w:rsid w:val="001362FD"/>
    <w:rsid w:val="00137507"/>
    <w:rsid w:val="00137A2D"/>
    <w:rsid w:val="00142838"/>
    <w:rsid w:val="00144012"/>
    <w:rsid w:val="00144CC4"/>
    <w:rsid w:val="0014563D"/>
    <w:rsid w:val="00146D78"/>
    <w:rsid w:val="00146DF2"/>
    <w:rsid w:val="001503A3"/>
    <w:rsid w:val="00150701"/>
    <w:rsid w:val="00154E7B"/>
    <w:rsid w:val="00154F1E"/>
    <w:rsid w:val="00156B62"/>
    <w:rsid w:val="00157AFB"/>
    <w:rsid w:val="00160504"/>
    <w:rsid w:val="001610FE"/>
    <w:rsid w:val="001613A1"/>
    <w:rsid w:val="00164864"/>
    <w:rsid w:val="00164912"/>
    <w:rsid w:val="00167248"/>
    <w:rsid w:val="00167533"/>
    <w:rsid w:val="001709C1"/>
    <w:rsid w:val="00171EE3"/>
    <w:rsid w:val="001726C9"/>
    <w:rsid w:val="00172A27"/>
    <w:rsid w:val="0017344D"/>
    <w:rsid w:val="00175477"/>
    <w:rsid w:val="00176CA7"/>
    <w:rsid w:val="0017788B"/>
    <w:rsid w:val="00177FBF"/>
    <w:rsid w:val="00180A4B"/>
    <w:rsid w:val="00180FCB"/>
    <w:rsid w:val="00181DFE"/>
    <w:rsid w:val="0018217C"/>
    <w:rsid w:val="00186BD5"/>
    <w:rsid w:val="00187084"/>
    <w:rsid w:val="00187A87"/>
    <w:rsid w:val="00187B2A"/>
    <w:rsid w:val="00187DBB"/>
    <w:rsid w:val="001932DA"/>
    <w:rsid w:val="00193C2F"/>
    <w:rsid w:val="00194841"/>
    <w:rsid w:val="001948C2"/>
    <w:rsid w:val="001A01CA"/>
    <w:rsid w:val="001A09B4"/>
    <w:rsid w:val="001A1BE6"/>
    <w:rsid w:val="001A3157"/>
    <w:rsid w:val="001A5E45"/>
    <w:rsid w:val="001A6715"/>
    <w:rsid w:val="001A6CBC"/>
    <w:rsid w:val="001A6DE2"/>
    <w:rsid w:val="001A79DB"/>
    <w:rsid w:val="001A7D62"/>
    <w:rsid w:val="001A7F6A"/>
    <w:rsid w:val="001B154A"/>
    <w:rsid w:val="001B2263"/>
    <w:rsid w:val="001B3011"/>
    <w:rsid w:val="001B36EF"/>
    <w:rsid w:val="001B39AC"/>
    <w:rsid w:val="001B4821"/>
    <w:rsid w:val="001B51BC"/>
    <w:rsid w:val="001B5309"/>
    <w:rsid w:val="001B6221"/>
    <w:rsid w:val="001B62C9"/>
    <w:rsid w:val="001B660D"/>
    <w:rsid w:val="001B698E"/>
    <w:rsid w:val="001B78E5"/>
    <w:rsid w:val="001C011D"/>
    <w:rsid w:val="001C0153"/>
    <w:rsid w:val="001C0E85"/>
    <w:rsid w:val="001C12F0"/>
    <w:rsid w:val="001C25F4"/>
    <w:rsid w:val="001C2B48"/>
    <w:rsid w:val="001C33BC"/>
    <w:rsid w:val="001C4208"/>
    <w:rsid w:val="001C5950"/>
    <w:rsid w:val="001C6B11"/>
    <w:rsid w:val="001C7FAA"/>
    <w:rsid w:val="001D077D"/>
    <w:rsid w:val="001D0967"/>
    <w:rsid w:val="001D1A3C"/>
    <w:rsid w:val="001D28FE"/>
    <w:rsid w:val="001D322E"/>
    <w:rsid w:val="001D3AD2"/>
    <w:rsid w:val="001D3EF6"/>
    <w:rsid w:val="001D5431"/>
    <w:rsid w:val="001D5D02"/>
    <w:rsid w:val="001D5F50"/>
    <w:rsid w:val="001D6981"/>
    <w:rsid w:val="001D6AD1"/>
    <w:rsid w:val="001D7113"/>
    <w:rsid w:val="001D75BD"/>
    <w:rsid w:val="001D76AD"/>
    <w:rsid w:val="001D76D5"/>
    <w:rsid w:val="001E0090"/>
    <w:rsid w:val="001E1A05"/>
    <w:rsid w:val="001E1A6C"/>
    <w:rsid w:val="001E28B6"/>
    <w:rsid w:val="001E35A4"/>
    <w:rsid w:val="001E391B"/>
    <w:rsid w:val="001E41F3"/>
    <w:rsid w:val="001E5679"/>
    <w:rsid w:val="001E58AE"/>
    <w:rsid w:val="001E6054"/>
    <w:rsid w:val="001E744C"/>
    <w:rsid w:val="001F0FC7"/>
    <w:rsid w:val="001F1389"/>
    <w:rsid w:val="001F23C2"/>
    <w:rsid w:val="001F267B"/>
    <w:rsid w:val="001F444C"/>
    <w:rsid w:val="001F74DB"/>
    <w:rsid w:val="00201AED"/>
    <w:rsid w:val="00201E62"/>
    <w:rsid w:val="002027C6"/>
    <w:rsid w:val="0021214B"/>
    <w:rsid w:val="002148F8"/>
    <w:rsid w:val="00217567"/>
    <w:rsid w:val="00217F8D"/>
    <w:rsid w:val="00220572"/>
    <w:rsid w:val="0022073B"/>
    <w:rsid w:val="00220CDA"/>
    <w:rsid w:val="00221E62"/>
    <w:rsid w:val="00222043"/>
    <w:rsid w:val="00222076"/>
    <w:rsid w:val="0022355E"/>
    <w:rsid w:val="002246B8"/>
    <w:rsid w:val="00224E54"/>
    <w:rsid w:val="002261FE"/>
    <w:rsid w:val="00226C00"/>
    <w:rsid w:val="002274C8"/>
    <w:rsid w:val="00231B35"/>
    <w:rsid w:val="00231DDC"/>
    <w:rsid w:val="002325DC"/>
    <w:rsid w:val="002355DD"/>
    <w:rsid w:val="00235A21"/>
    <w:rsid w:val="00235B27"/>
    <w:rsid w:val="0023616C"/>
    <w:rsid w:val="002403D9"/>
    <w:rsid w:val="00240CF3"/>
    <w:rsid w:val="00240F76"/>
    <w:rsid w:val="00241F8E"/>
    <w:rsid w:val="00242599"/>
    <w:rsid w:val="00242D3B"/>
    <w:rsid w:val="00244137"/>
    <w:rsid w:val="00244AE5"/>
    <w:rsid w:val="00244B4D"/>
    <w:rsid w:val="002457C3"/>
    <w:rsid w:val="00245CF1"/>
    <w:rsid w:val="00250A71"/>
    <w:rsid w:val="002522C4"/>
    <w:rsid w:val="00255E0C"/>
    <w:rsid w:val="00257FE5"/>
    <w:rsid w:val="00260181"/>
    <w:rsid w:val="00261FEB"/>
    <w:rsid w:val="0026276F"/>
    <w:rsid w:val="0026294F"/>
    <w:rsid w:val="00263F03"/>
    <w:rsid w:val="0026658B"/>
    <w:rsid w:val="002671B5"/>
    <w:rsid w:val="00267318"/>
    <w:rsid w:val="00270906"/>
    <w:rsid w:val="00271415"/>
    <w:rsid w:val="00271495"/>
    <w:rsid w:val="00271910"/>
    <w:rsid w:val="0027352C"/>
    <w:rsid w:val="00273C6B"/>
    <w:rsid w:val="002742E0"/>
    <w:rsid w:val="00275DAA"/>
    <w:rsid w:val="00276899"/>
    <w:rsid w:val="00280387"/>
    <w:rsid w:val="002809C9"/>
    <w:rsid w:val="00280E87"/>
    <w:rsid w:val="00281955"/>
    <w:rsid w:val="00284BB5"/>
    <w:rsid w:val="00284F83"/>
    <w:rsid w:val="0028709F"/>
    <w:rsid w:val="002913FC"/>
    <w:rsid w:val="00294659"/>
    <w:rsid w:val="0029501D"/>
    <w:rsid w:val="0029698B"/>
    <w:rsid w:val="002969A4"/>
    <w:rsid w:val="00296BE2"/>
    <w:rsid w:val="00296EAB"/>
    <w:rsid w:val="00297064"/>
    <w:rsid w:val="00297D22"/>
    <w:rsid w:val="002A2366"/>
    <w:rsid w:val="002A26DC"/>
    <w:rsid w:val="002A41E9"/>
    <w:rsid w:val="002A43D6"/>
    <w:rsid w:val="002A5C43"/>
    <w:rsid w:val="002A69E1"/>
    <w:rsid w:val="002B0340"/>
    <w:rsid w:val="002B0C59"/>
    <w:rsid w:val="002B151B"/>
    <w:rsid w:val="002B1E0D"/>
    <w:rsid w:val="002B2D85"/>
    <w:rsid w:val="002B2F17"/>
    <w:rsid w:val="002B45EC"/>
    <w:rsid w:val="002B548B"/>
    <w:rsid w:val="002B5B9E"/>
    <w:rsid w:val="002B6263"/>
    <w:rsid w:val="002B651C"/>
    <w:rsid w:val="002B691F"/>
    <w:rsid w:val="002B70F8"/>
    <w:rsid w:val="002C0CC7"/>
    <w:rsid w:val="002C0E3D"/>
    <w:rsid w:val="002C2868"/>
    <w:rsid w:val="002C2FF1"/>
    <w:rsid w:val="002C43E9"/>
    <w:rsid w:val="002C4A68"/>
    <w:rsid w:val="002C5C96"/>
    <w:rsid w:val="002C7924"/>
    <w:rsid w:val="002C7DF4"/>
    <w:rsid w:val="002D05EC"/>
    <w:rsid w:val="002D06EC"/>
    <w:rsid w:val="002D2556"/>
    <w:rsid w:val="002D2E2E"/>
    <w:rsid w:val="002D593A"/>
    <w:rsid w:val="002D5B44"/>
    <w:rsid w:val="002D5FAA"/>
    <w:rsid w:val="002D652C"/>
    <w:rsid w:val="002D7107"/>
    <w:rsid w:val="002D73B3"/>
    <w:rsid w:val="002D7E63"/>
    <w:rsid w:val="002E1890"/>
    <w:rsid w:val="002E1EBB"/>
    <w:rsid w:val="002E32CA"/>
    <w:rsid w:val="002E415D"/>
    <w:rsid w:val="002E6BAE"/>
    <w:rsid w:val="002E7842"/>
    <w:rsid w:val="002F18CE"/>
    <w:rsid w:val="002F20D6"/>
    <w:rsid w:val="002F6168"/>
    <w:rsid w:val="00300BF5"/>
    <w:rsid w:val="003035B3"/>
    <w:rsid w:val="00303CD0"/>
    <w:rsid w:val="00305C41"/>
    <w:rsid w:val="00305D9F"/>
    <w:rsid w:val="003066F3"/>
    <w:rsid w:val="00306C11"/>
    <w:rsid w:val="00307292"/>
    <w:rsid w:val="00307DC8"/>
    <w:rsid w:val="003102A6"/>
    <w:rsid w:val="00310578"/>
    <w:rsid w:val="00311557"/>
    <w:rsid w:val="00311A85"/>
    <w:rsid w:val="00312FB4"/>
    <w:rsid w:val="003134E8"/>
    <w:rsid w:val="00314D41"/>
    <w:rsid w:val="00317CFC"/>
    <w:rsid w:val="003205B1"/>
    <w:rsid w:val="00320AB5"/>
    <w:rsid w:val="00321973"/>
    <w:rsid w:val="003226FD"/>
    <w:rsid w:val="00324257"/>
    <w:rsid w:val="00324678"/>
    <w:rsid w:val="00324DB0"/>
    <w:rsid w:val="00324EF8"/>
    <w:rsid w:val="00326D5E"/>
    <w:rsid w:val="00326F55"/>
    <w:rsid w:val="003330E7"/>
    <w:rsid w:val="00334065"/>
    <w:rsid w:val="00334907"/>
    <w:rsid w:val="00334E81"/>
    <w:rsid w:val="00335EA2"/>
    <w:rsid w:val="0033678C"/>
    <w:rsid w:val="003409AE"/>
    <w:rsid w:val="00341008"/>
    <w:rsid w:val="0034236C"/>
    <w:rsid w:val="00342C51"/>
    <w:rsid w:val="0034425E"/>
    <w:rsid w:val="003447E7"/>
    <w:rsid w:val="0034488F"/>
    <w:rsid w:val="003448EE"/>
    <w:rsid w:val="00345AA7"/>
    <w:rsid w:val="00347565"/>
    <w:rsid w:val="00353040"/>
    <w:rsid w:val="00355FB8"/>
    <w:rsid w:val="00356FDE"/>
    <w:rsid w:val="003574E3"/>
    <w:rsid w:val="0036015F"/>
    <w:rsid w:val="00360CCF"/>
    <w:rsid w:val="00361CA1"/>
    <w:rsid w:val="00364A6E"/>
    <w:rsid w:val="00365B83"/>
    <w:rsid w:val="003663DF"/>
    <w:rsid w:val="0036777C"/>
    <w:rsid w:val="0037088A"/>
    <w:rsid w:val="00370A8E"/>
    <w:rsid w:val="00370BF4"/>
    <w:rsid w:val="003739D4"/>
    <w:rsid w:val="00373CC1"/>
    <w:rsid w:val="003742CD"/>
    <w:rsid w:val="00374BDF"/>
    <w:rsid w:val="00375165"/>
    <w:rsid w:val="00376B1B"/>
    <w:rsid w:val="00377BA2"/>
    <w:rsid w:val="00381C28"/>
    <w:rsid w:val="00383AC8"/>
    <w:rsid w:val="003845AB"/>
    <w:rsid w:val="0038571E"/>
    <w:rsid w:val="00385A3E"/>
    <w:rsid w:val="00385BF6"/>
    <w:rsid w:val="003865A6"/>
    <w:rsid w:val="00386737"/>
    <w:rsid w:val="0038712D"/>
    <w:rsid w:val="00391F85"/>
    <w:rsid w:val="003920B7"/>
    <w:rsid w:val="003954AD"/>
    <w:rsid w:val="00395DE3"/>
    <w:rsid w:val="00396BBD"/>
    <w:rsid w:val="00397E9C"/>
    <w:rsid w:val="003A00DC"/>
    <w:rsid w:val="003A0317"/>
    <w:rsid w:val="003A0369"/>
    <w:rsid w:val="003A070C"/>
    <w:rsid w:val="003A0BAC"/>
    <w:rsid w:val="003A1A4F"/>
    <w:rsid w:val="003A29D9"/>
    <w:rsid w:val="003A424A"/>
    <w:rsid w:val="003A5AA3"/>
    <w:rsid w:val="003A621A"/>
    <w:rsid w:val="003A6597"/>
    <w:rsid w:val="003A7E1F"/>
    <w:rsid w:val="003B1B55"/>
    <w:rsid w:val="003B35B2"/>
    <w:rsid w:val="003B45C8"/>
    <w:rsid w:val="003B5C01"/>
    <w:rsid w:val="003B6321"/>
    <w:rsid w:val="003B6C67"/>
    <w:rsid w:val="003C1DCD"/>
    <w:rsid w:val="003C201E"/>
    <w:rsid w:val="003C2D7A"/>
    <w:rsid w:val="003C39BE"/>
    <w:rsid w:val="003C456B"/>
    <w:rsid w:val="003C4C39"/>
    <w:rsid w:val="003C4EF6"/>
    <w:rsid w:val="003C5B0D"/>
    <w:rsid w:val="003C5E08"/>
    <w:rsid w:val="003C6598"/>
    <w:rsid w:val="003C6AD2"/>
    <w:rsid w:val="003C7C58"/>
    <w:rsid w:val="003D0431"/>
    <w:rsid w:val="003D13BA"/>
    <w:rsid w:val="003D1F6C"/>
    <w:rsid w:val="003D2534"/>
    <w:rsid w:val="003D30AC"/>
    <w:rsid w:val="003D3FFE"/>
    <w:rsid w:val="003D424E"/>
    <w:rsid w:val="003D57A6"/>
    <w:rsid w:val="003D5B3C"/>
    <w:rsid w:val="003D67DE"/>
    <w:rsid w:val="003D6C94"/>
    <w:rsid w:val="003E0AFA"/>
    <w:rsid w:val="003E15E6"/>
    <w:rsid w:val="003E163C"/>
    <w:rsid w:val="003E1AB9"/>
    <w:rsid w:val="003E2AB1"/>
    <w:rsid w:val="003E37E2"/>
    <w:rsid w:val="003E3CAC"/>
    <w:rsid w:val="003E59EB"/>
    <w:rsid w:val="003E5F4B"/>
    <w:rsid w:val="003E66D2"/>
    <w:rsid w:val="003F1330"/>
    <w:rsid w:val="003F20F8"/>
    <w:rsid w:val="003F4A42"/>
    <w:rsid w:val="003F4EAC"/>
    <w:rsid w:val="003F5403"/>
    <w:rsid w:val="003F5775"/>
    <w:rsid w:val="003F5CFC"/>
    <w:rsid w:val="003F73FF"/>
    <w:rsid w:val="003F78AC"/>
    <w:rsid w:val="0040001E"/>
    <w:rsid w:val="004012D1"/>
    <w:rsid w:val="00402A3B"/>
    <w:rsid w:val="00402DEA"/>
    <w:rsid w:val="004032D6"/>
    <w:rsid w:val="0040501E"/>
    <w:rsid w:val="00406789"/>
    <w:rsid w:val="00406BD3"/>
    <w:rsid w:val="0040727E"/>
    <w:rsid w:val="004078C9"/>
    <w:rsid w:val="00407D1B"/>
    <w:rsid w:val="004102F1"/>
    <w:rsid w:val="0041088A"/>
    <w:rsid w:val="0041120C"/>
    <w:rsid w:val="00413A34"/>
    <w:rsid w:val="00414A19"/>
    <w:rsid w:val="00414A60"/>
    <w:rsid w:val="004152CF"/>
    <w:rsid w:val="004163F0"/>
    <w:rsid w:val="00420719"/>
    <w:rsid w:val="004216EC"/>
    <w:rsid w:val="00423C82"/>
    <w:rsid w:val="00424327"/>
    <w:rsid w:val="004251AF"/>
    <w:rsid w:val="00426A77"/>
    <w:rsid w:val="00426B92"/>
    <w:rsid w:val="00426F1E"/>
    <w:rsid w:val="00427C6D"/>
    <w:rsid w:val="00430282"/>
    <w:rsid w:val="00433864"/>
    <w:rsid w:val="00435DDE"/>
    <w:rsid w:val="004364B5"/>
    <w:rsid w:val="00436D79"/>
    <w:rsid w:val="00437558"/>
    <w:rsid w:val="00440DD1"/>
    <w:rsid w:val="0044266D"/>
    <w:rsid w:val="00443BD7"/>
    <w:rsid w:val="00444C13"/>
    <w:rsid w:val="004468E8"/>
    <w:rsid w:val="004478EE"/>
    <w:rsid w:val="0045072C"/>
    <w:rsid w:val="00451241"/>
    <w:rsid w:val="004516CD"/>
    <w:rsid w:val="00452F1D"/>
    <w:rsid w:val="00454355"/>
    <w:rsid w:val="00455E09"/>
    <w:rsid w:val="004573A7"/>
    <w:rsid w:val="00462F5E"/>
    <w:rsid w:val="00462FC2"/>
    <w:rsid w:val="00463A6E"/>
    <w:rsid w:val="0046561F"/>
    <w:rsid w:val="00466A31"/>
    <w:rsid w:val="00466F1F"/>
    <w:rsid w:val="004672AB"/>
    <w:rsid w:val="0047079B"/>
    <w:rsid w:val="00470ECD"/>
    <w:rsid w:val="0047186A"/>
    <w:rsid w:val="004718EE"/>
    <w:rsid w:val="00471D05"/>
    <w:rsid w:val="0047325E"/>
    <w:rsid w:val="00473DC7"/>
    <w:rsid w:val="00474FCF"/>
    <w:rsid w:val="004759EB"/>
    <w:rsid w:val="00475F4E"/>
    <w:rsid w:val="0047680F"/>
    <w:rsid w:val="00476B8E"/>
    <w:rsid w:val="00476DB3"/>
    <w:rsid w:val="0047725A"/>
    <w:rsid w:val="004806DF"/>
    <w:rsid w:val="00482BCD"/>
    <w:rsid w:val="00483889"/>
    <w:rsid w:val="004854C8"/>
    <w:rsid w:val="004858B5"/>
    <w:rsid w:val="004868A0"/>
    <w:rsid w:val="004878ED"/>
    <w:rsid w:val="00490967"/>
    <w:rsid w:val="004910AD"/>
    <w:rsid w:val="00494A0E"/>
    <w:rsid w:val="00495560"/>
    <w:rsid w:val="004959F7"/>
    <w:rsid w:val="00495A9B"/>
    <w:rsid w:val="00496CA9"/>
    <w:rsid w:val="004A02E2"/>
    <w:rsid w:val="004A03CA"/>
    <w:rsid w:val="004A072E"/>
    <w:rsid w:val="004A1161"/>
    <w:rsid w:val="004A24E9"/>
    <w:rsid w:val="004A302C"/>
    <w:rsid w:val="004A3B97"/>
    <w:rsid w:val="004A6041"/>
    <w:rsid w:val="004A6B7A"/>
    <w:rsid w:val="004B00E0"/>
    <w:rsid w:val="004B077D"/>
    <w:rsid w:val="004B0D3F"/>
    <w:rsid w:val="004B5C1D"/>
    <w:rsid w:val="004B6B25"/>
    <w:rsid w:val="004B76FF"/>
    <w:rsid w:val="004B79E1"/>
    <w:rsid w:val="004B7D30"/>
    <w:rsid w:val="004B7E3A"/>
    <w:rsid w:val="004C085C"/>
    <w:rsid w:val="004C218E"/>
    <w:rsid w:val="004C35C8"/>
    <w:rsid w:val="004C437E"/>
    <w:rsid w:val="004C46E2"/>
    <w:rsid w:val="004C628A"/>
    <w:rsid w:val="004C7E62"/>
    <w:rsid w:val="004D077B"/>
    <w:rsid w:val="004D09FC"/>
    <w:rsid w:val="004D153D"/>
    <w:rsid w:val="004D1F7A"/>
    <w:rsid w:val="004D245E"/>
    <w:rsid w:val="004D4216"/>
    <w:rsid w:val="004D46FF"/>
    <w:rsid w:val="004D55A1"/>
    <w:rsid w:val="004D55F8"/>
    <w:rsid w:val="004E102A"/>
    <w:rsid w:val="004E1848"/>
    <w:rsid w:val="004E2F3E"/>
    <w:rsid w:val="004E35E9"/>
    <w:rsid w:val="004E5E66"/>
    <w:rsid w:val="004E7750"/>
    <w:rsid w:val="004F3CD8"/>
    <w:rsid w:val="004F4791"/>
    <w:rsid w:val="004F5172"/>
    <w:rsid w:val="004F5EF1"/>
    <w:rsid w:val="004F69B1"/>
    <w:rsid w:val="004F7E40"/>
    <w:rsid w:val="00500664"/>
    <w:rsid w:val="00502CF5"/>
    <w:rsid w:val="00503A62"/>
    <w:rsid w:val="00503D98"/>
    <w:rsid w:val="00505955"/>
    <w:rsid w:val="00507DB8"/>
    <w:rsid w:val="00507F2E"/>
    <w:rsid w:val="00511AFB"/>
    <w:rsid w:val="00512C5F"/>
    <w:rsid w:val="00512FC3"/>
    <w:rsid w:val="00515777"/>
    <w:rsid w:val="00515CE1"/>
    <w:rsid w:val="005208DB"/>
    <w:rsid w:val="00523D77"/>
    <w:rsid w:val="00527D98"/>
    <w:rsid w:val="00530575"/>
    <w:rsid w:val="005315E7"/>
    <w:rsid w:val="0053257C"/>
    <w:rsid w:val="00532BA8"/>
    <w:rsid w:val="005330AA"/>
    <w:rsid w:val="0053316A"/>
    <w:rsid w:val="005337EE"/>
    <w:rsid w:val="00535FDF"/>
    <w:rsid w:val="00536A0D"/>
    <w:rsid w:val="0053789B"/>
    <w:rsid w:val="00542C02"/>
    <w:rsid w:val="00543DBC"/>
    <w:rsid w:val="00546546"/>
    <w:rsid w:val="00547323"/>
    <w:rsid w:val="005476BD"/>
    <w:rsid w:val="00550964"/>
    <w:rsid w:val="0055136D"/>
    <w:rsid w:val="0055242B"/>
    <w:rsid w:val="00552C6E"/>
    <w:rsid w:val="0055409D"/>
    <w:rsid w:val="005544DE"/>
    <w:rsid w:val="005564E3"/>
    <w:rsid w:val="005569E9"/>
    <w:rsid w:val="00560F01"/>
    <w:rsid w:val="00561CD5"/>
    <w:rsid w:val="005622F4"/>
    <w:rsid w:val="00562FAB"/>
    <w:rsid w:val="00564261"/>
    <w:rsid w:val="00565C9F"/>
    <w:rsid w:val="0057297F"/>
    <w:rsid w:val="00573581"/>
    <w:rsid w:val="00574520"/>
    <w:rsid w:val="00574911"/>
    <w:rsid w:val="00574E93"/>
    <w:rsid w:val="00575385"/>
    <w:rsid w:val="00575FBA"/>
    <w:rsid w:val="00576815"/>
    <w:rsid w:val="00577015"/>
    <w:rsid w:val="00577965"/>
    <w:rsid w:val="005820A9"/>
    <w:rsid w:val="0058351F"/>
    <w:rsid w:val="005865E2"/>
    <w:rsid w:val="00586694"/>
    <w:rsid w:val="00586D86"/>
    <w:rsid w:val="00586E80"/>
    <w:rsid w:val="0059043D"/>
    <w:rsid w:val="00592A8D"/>
    <w:rsid w:val="00593051"/>
    <w:rsid w:val="0059327D"/>
    <w:rsid w:val="0059555B"/>
    <w:rsid w:val="00596B1E"/>
    <w:rsid w:val="00597214"/>
    <w:rsid w:val="00597C94"/>
    <w:rsid w:val="005A0840"/>
    <w:rsid w:val="005A08C4"/>
    <w:rsid w:val="005A145F"/>
    <w:rsid w:val="005A1686"/>
    <w:rsid w:val="005A1700"/>
    <w:rsid w:val="005A1AFD"/>
    <w:rsid w:val="005A2C14"/>
    <w:rsid w:val="005A2FE4"/>
    <w:rsid w:val="005A34C4"/>
    <w:rsid w:val="005A3604"/>
    <w:rsid w:val="005A36A3"/>
    <w:rsid w:val="005A3883"/>
    <w:rsid w:val="005A4F1C"/>
    <w:rsid w:val="005A5A4C"/>
    <w:rsid w:val="005A647D"/>
    <w:rsid w:val="005A665F"/>
    <w:rsid w:val="005A755C"/>
    <w:rsid w:val="005B1D6C"/>
    <w:rsid w:val="005B1E7B"/>
    <w:rsid w:val="005B2412"/>
    <w:rsid w:val="005B292B"/>
    <w:rsid w:val="005B2BEB"/>
    <w:rsid w:val="005B3E63"/>
    <w:rsid w:val="005B42B3"/>
    <w:rsid w:val="005B4514"/>
    <w:rsid w:val="005B5BDB"/>
    <w:rsid w:val="005B60FF"/>
    <w:rsid w:val="005B6BE4"/>
    <w:rsid w:val="005B6E84"/>
    <w:rsid w:val="005B70A3"/>
    <w:rsid w:val="005C0883"/>
    <w:rsid w:val="005C1AE4"/>
    <w:rsid w:val="005C3BA0"/>
    <w:rsid w:val="005C4084"/>
    <w:rsid w:val="005C54B7"/>
    <w:rsid w:val="005C5ECE"/>
    <w:rsid w:val="005C6815"/>
    <w:rsid w:val="005C6C82"/>
    <w:rsid w:val="005D056A"/>
    <w:rsid w:val="005D12A0"/>
    <w:rsid w:val="005D34A7"/>
    <w:rsid w:val="005D3E70"/>
    <w:rsid w:val="005D4F4A"/>
    <w:rsid w:val="005D623D"/>
    <w:rsid w:val="005D67EA"/>
    <w:rsid w:val="005D720F"/>
    <w:rsid w:val="005D7FA7"/>
    <w:rsid w:val="005E0D21"/>
    <w:rsid w:val="005E1783"/>
    <w:rsid w:val="005E2373"/>
    <w:rsid w:val="005E2B38"/>
    <w:rsid w:val="005E3618"/>
    <w:rsid w:val="005E57FE"/>
    <w:rsid w:val="005E5A13"/>
    <w:rsid w:val="005E6176"/>
    <w:rsid w:val="005E698B"/>
    <w:rsid w:val="005F1BF0"/>
    <w:rsid w:val="005F22D5"/>
    <w:rsid w:val="005F610A"/>
    <w:rsid w:val="005F64E6"/>
    <w:rsid w:val="005F751F"/>
    <w:rsid w:val="005F793B"/>
    <w:rsid w:val="00601C37"/>
    <w:rsid w:val="00602A84"/>
    <w:rsid w:val="00603283"/>
    <w:rsid w:val="00605508"/>
    <w:rsid w:val="00606181"/>
    <w:rsid w:val="00606B9B"/>
    <w:rsid w:val="00610C1A"/>
    <w:rsid w:val="00611AFD"/>
    <w:rsid w:val="00611D16"/>
    <w:rsid w:val="00612381"/>
    <w:rsid w:val="00615214"/>
    <w:rsid w:val="006160BF"/>
    <w:rsid w:val="00621E73"/>
    <w:rsid w:val="00622E49"/>
    <w:rsid w:val="006233DC"/>
    <w:rsid w:val="006234EE"/>
    <w:rsid w:val="00624427"/>
    <w:rsid w:val="006247BD"/>
    <w:rsid w:val="006258A5"/>
    <w:rsid w:val="006262E3"/>
    <w:rsid w:val="006273F1"/>
    <w:rsid w:val="006278D4"/>
    <w:rsid w:val="006306A2"/>
    <w:rsid w:val="00631240"/>
    <w:rsid w:val="00631DCA"/>
    <w:rsid w:val="00633D2C"/>
    <w:rsid w:val="00634A46"/>
    <w:rsid w:val="00635102"/>
    <w:rsid w:val="00635579"/>
    <w:rsid w:val="006362E2"/>
    <w:rsid w:val="006367D4"/>
    <w:rsid w:val="006368C2"/>
    <w:rsid w:val="00636EC6"/>
    <w:rsid w:val="00637BC5"/>
    <w:rsid w:val="00641E70"/>
    <w:rsid w:val="00643A9E"/>
    <w:rsid w:val="00644447"/>
    <w:rsid w:val="00644559"/>
    <w:rsid w:val="006450DD"/>
    <w:rsid w:val="00645252"/>
    <w:rsid w:val="006472FF"/>
    <w:rsid w:val="00647EC2"/>
    <w:rsid w:val="006522D9"/>
    <w:rsid w:val="00652A14"/>
    <w:rsid w:val="00653033"/>
    <w:rsid w:val="0065448E"/>
    <w:rsid w:val="006559F0"/>
    <w:rsid w:val="00655E13"/>
    <w:rsid w:val="0065649A"/>
    <w:rsid w:val="00660A52"/>
    <w:rsid w:val="00660B08"/>
    <w:rsid w:val="006613F7"/>
    <w:rsid w:val="006614C8"/>
    <w:rsid w:val="00661EF6"/>
    <w:rsid w:val="00662A4F"/>
    <w:rsid w:val="00663977"/>
    <w:rsid w:val="00663BAA"/>
    <w:rsid w:val="006653AF"/>
    <w:rsid w:val="00666822"/>
    <w:rsid w:val="00666E0D"/>
    <w:rsid w:val="0066733F"/>
    <w:rsid w:val="0066788A"/>
    <w:rsid w:val="006714A8"/>
    <w:rsid w:val="00673C46"/>
    <w:rsid w:val="00674568"/>
    <w:rsid w:val="00676174"/>
    <w:rsid w:val="0067681C"/>
    <w:rsid w:val="00676DB8"/>
    <w:rsid w:val="00676F88"/>
    <w:rsid w:val="00677280"/>
    <w:rsid w:val="006801F7"/>
    <w:rsid w:val="00680C93"/>
    <w:rsid w:val="006813B9"/>
    <w:rsid w:val="006814EE"/>
    <w:rsid w:val="006817E6"/>
    <w:rsid w:val="00681CC7"/>
    <w:rsid w:val="006833BC"/>
    <w:rsid w:val="00683F88"/>
    <w:rsid w:val="00685EFD"/>
    <w:rsid w:val="00686155"/>
    <w:rsid w:val="00686C23"/>
    <w:rsid w:val="00686F2B"/>
    <w:rsid w:val="0068766B"/>
    <w:rsid w:val="00687A1F"/>
    <w:rsid w:val="00691F54"/>
    <w:rsid w:val="00693119"/>
    <w:rsid w:val="0069332E"/>
    <w:rsid w:val="00693856"/>
    <w:rsid w:val="006940C6"/>
    <w:rsid w:val="0069425D"/>
    <w:rsid w:val="006945E2"/>
    <w:rsid w:val="00694F3A"/>
    <w:rsid w:val="006953AA"/>
    <w:rsid w:val="00695655"/>
    <w:rsid w:val="006965D2"/>
    <w:rsid w:val="006966C0"/>
    <w:rsid w:val="006A0282"/>
    <w:rsid w:val="006A10A7"/>
    <w:rsid w:val="006A194B"/>
    <w:rsid w:val="006A21A2"/>
    <w:rsid w:val="006A2B47"/>
    <w:rsid w:val="006A31AE"/>
    <w:rsid w:val="006A32D6"/>
    <w:rsid w:val="006A39EC"/>
    <w:rsid w:val="006A65A0"/>
    <w:rsid w:val="006A666D"/>
    <w:rsid w:val="006A7096"/>
    <w:rsid w:val="006A7404"/>
    <w:rsid w:val="006A7C6E"/>
    <w:rsid w:val="006B0BF7"/>
    <w:rsid w:val="006B1A30"/>
    <w:rsid w:val="006B2550"/>
    <w:rsid w:val="006B3CA5"/>
    <w:rsid w:val="006B4714"/>
    <w:rsid w:val="006B475D"/>
    <w:rsid w:val="006B4E66"/>
    <w:rsid w:val="006B53DE"/>
    <w:rsid w:val="006B58D4"/>
    <w:rsid w:val="006B5954"/>
    <w:rsid w:val="006B6476"/>
    <w:rsid w:val="006B6EFA"/>
    <w:rsid w:val="006C1C68"/>
    <w:rsid w:val="006C2C78"/>
    <w:rsid w:val="006C444C"/>
    <w:rsid w:val="006C4E57"/>
    <w:rsid w:val="006C59A0"/>
    <w:rsid w:val="006C5AC0"/>
    <w:rsid w:val="006C6EF6"/>
    <w:rsid w:val="006C707B"/>
    <w:rsid w:val="006C735E"/>
    <w:rsid w:val="006C73C7"/>
    <w:rsid w:val="006C7E9A"/>
    <w:rsid w:val="006D07DA"/>
    <w:rsid w:val="006D1404"/>
    <w:rsid w:val="006D1959"/>
    <w:rsid w:val="006D209F"/>
    <w:rsid w:val="006D28D5"/>
    <w:rsid w:val="006D3125"/>
    <w:rsid w:val="006D47EB"/>
    <w:rsid w:val="006D4F70"/>
    <w:rsid w:val="006E2610"/>
    <w:rsid w:val="006E31D2"/>
    <w:rsid w:val="006E3A1E"/>
    <w:rsid w:val="006E45E0"/>
    <w:rsid w:val="006E4D1B"/>
    <w:rsid w:val="006E7832"/>
    <w:rsid w:val="006F03EB"/>
    <w:rsid w:val="006F1CA5"/>
    <w:rsid w:val="006F31B8"/>
    <w:rsid w:val="006F31D7"/>
    <w:rsid w:val="006F333C"/>
    <w:rsid w:val="006F345F"/>
    <w:rsid w:val="006F376E"/>
    <w:rsid w:val="006F3829"/>
    <w:rsid w:val="006F3FF3"/>
    <w:rsid w:val="006F40F8"/>
    <w:rsid w:val="006F435D"/>
    <w:rsid w:val="006F613D"/>
    <w:rsid w:val="007001DD"/>
    <w:rsid w:val="007015D5"/>
    <w:rsid w:val="007022ED"/>
    <w:rsid w:val="0070653B"/>
    <w:rsid w:val="0070700D"/>
    <w:rsid w:val="00710824"/>
    <w:rsid w:val="00711A80"/>
    <w:rsid w:val="00712740"/>
    <w:rsid w:val="00713035"/>
    <w:rsid w:val="0071421A"/>
    <w:rsid w:val="00714336"/>
    <w:rsid w:val="00715754"/>
    <w:rsid w:val="007171BE"/>
    <w:rsid w:val="00717844"/>
    <w:rsid w:val="00717C06"/>
    <w:rsid w:val="00720515"/>
    <w:rsid w:val="00720650"/>
    <w:rsid w:val="00720B96"/>
    <w:rsid w:val="00721DA3"/>
    <w:rsid w:val="00724F31"/>
    <w:rsid w:val="0072515B"/>
    <w:rsid w:val="00726CCF"/>
    <w:rsid w:val="007275ED"/>
    <w:rsid w:val="0073032B"/>
    <w:rsid w:val="00732041"/>
    <w:rsid w:val="00732065"/>
    <w:rsid w:val="007332A1"/>
    <w:rsid w:val="00733EC7"/>
    <w:rsid w:val="0073486B"/>
    <w:rsid w:val="0073669A"/>
    <w:rsid w:val="007374B5"/>
    <w:rsid w:val="00737771"/>
    <w:rsid w:val="00737AE3"/>
    <w:rsid w:val="00737ED6"/>
    <w:rsid w:val="0074290A"/>
    <w:rsid w:val="00742F26"/>
    <w:rsid w:val="00743F92"/>
    <w:rsid w:val="00746C84"/>
    <w:rsid w:val="00747174"/>
    <w:rsid w:val="007526CF"/>
    <w:rsid w:val="00754340"/>
    <w:rsid w:val="0075565B"/>
    <w:rsid w:val="00755B5E"/>
    <w:rsid w:val="00755E84"/>
    <w:rsid w:val="0075724A"/>
    <w:rsid w:val="00757D2F"/>
    <w:rsid w:val="00757DC2"/>
    <w:rsid w:val="00760A3F"/>
    <w:rsid w:val="00760A62"/>
    <w:rsid w:val="00760F6B"/>
    <w:rsid w:val="00761020"/>
    <w:rsid w:val="00762302"/>
    <w:rsid w:val="00762438"/>
    <w:rsid w:val="0076311A"/>
    <w:rsid w:val="0076323B"/>
    <w:rsid w:val="00763A1A"/>
    <w:rsid w:val="00764B9A"/>
    <w:rsid w:val="007665BE"/>
    <w:rsid w:val="00766796"/>
    <w:rsid w:val="00770F43"/>
    <w:rsid w:val="007716DE"/>
    <w:rsid w:val="00772006"/>
    <w:rsid w:val="00772FCE"/>
    <w:rsid w:val="0077488D"/>
    <w:rsid w:val="0077624E"/>
    <w:rsid w:val="007762F2"/>
    <w:rsid w:val="00777BD4"/>
    <w:rsid w:val="00777C7D"/>
    <w:rsid w:val="00780D22"/>
    <w:rsid w:val="007819DA"/>
    <w:rsid w:val="00782521"/>
    <w:rsid w:val="007826AC"/>
    <w:rsid w:val="007827F8"/>
    <w:rsid w:val="00782C10"/>
    <w:rsid w:val="007847EA"/>
    <w:rsid w:val="00787723"/>
    <w:rsid w:val="00791017"/>
    <w:rsid w:val="00792663"/>
    <w:rsid w:val="00792DB4"/>
    <w:rsid w:val="00793C63"/>
    <w:rsid w:val="007945D6"/>
    <w:rsid w:val="00796AF2"/>
    <w:rsid w:val="007972BA"/>
    <w:rsid w:val="00797B97"/>
    <w:rsid w:val="007A010A"/>
    <w:rsid w:val="007A0454"/>
    <w:rsid w:val="007A122E"/>
    <w:rsid w:val="007A28CB"/>
    <w:rsid w:val="007A53D3"/>
    <w:rsid w:val="007A5D0F"/>
    <w:rsid w:val="007A5FE6"/>
    <w:rsid w:val="007B05B7"/>
    <w:rsid w:val="007B0F31"/>
    <w:rsid w:val="007B342C"/>
    <w:rsid w:val="007B689E"/>
    <w:rsid w:val="007B6C0A"/>
    <w:rsid w:val="007B779D"/>
    <w:rsid w:val="007C1DE7"/>
    <w:rsid w:val="007C2825"/>
    <w:rsid w:val="007C37AC"/>
    <w:rsid w:val="007C54C7"/>
    <w:rsid w:val="007C5AB5"/>
    <w:rsid w:val="007C5BDB"/>
    <w:rsid w:val="007C664E"/>
    <w:rsid w:val="007C79C1"/>
    <w:rsid w:val="007C7DBE"/>
    <w:rsid w:val="007D1FFF"/>
    <w:rsid w:val="007D2661"/>
    <w:rsid w:val="007D2B48"/>
    <w:rsid w:val="007D3F13"/>
    <w:rsid w:val="007D5A7D"/>
    <w:rsid w:val="007D6459"/>
    <w:rsid w:val="007D65FC"/>
    <w:rsid w:val="007D79C1"/>
    <w:rsid w:val="007E0689"/>
    <w:rsid w:val="007E0B4C"/>
    <w:rsid w:val="007E1D85"/>
    <w:rsid w:val="007E2562"/>
    <w:rsid w:val="007E47A2"/>
    <w:rsid w:val="007E52E6"/>
    <w:rsid w:val="007E676D"/>
    <w:rsid w:val="007E744E"/>
    <w:rsid w:val="007E74E8"/>
    <w:rsid w:val="007F276A"/>
    <w:rsid w:val="007F2908"/>
    <w:rsid w:val="007F60B0"/>
    <w:rsid w:val="007F64BA"/>
    <w:rsid w:val="007F67BB"/>
    <w:rsid w:val="007F7D87"/>
    <w:rsid w:val="00800C84"/>
    <w:rsid w:val="00801085"/>
    <w:rsid w:val="00806B92"/>
    <w:rsid w:val="00806D11"/>
    <w:rsid w:val="00810C81"/>
    <w:rsid w:val="00815495"/>
    <w:rsid w:val="00816813"/>
    <w:rsid w:val="008169B0"/>
    <w:rsid w:val="00817C77"/>
    <w:rsid w:val="00817C93"/>
    <w:rsid w:val="008206AE"/>
    <w:rsid w:val="00820DDE"/>
    <w:rsid w:val="00821648"/>
    <w:rsid w:val="00821D81"/>
    <w:rsid w:val="008233FF"/>
    <w:rsid w:val="00823654"/>
    <w:rsid w:val="00824B5F"/>
    <w:rsid w:val="00826878"/>
    <w:rsid w:val="008269A8"/>
    <w:rsid w:val="00826FEE"/>
    <w:rsid w:val="00827A7D"/>
    <w:rsid w:val="00827F3B"/>
    <w:rsid w:val="0083039C"/>
    <w:rsid w:val="008330D3"/>
    <w:rsid w:val="008408F1"/>
    <w:rsid w:val="00840A28"/>
    <w:rsid w:val="008423F2"/>
    <w:rsid w:val="008436E8"/>
    <w:rsid w:val="008447D4"/>
    <w:rsid w:val="00845AED"/>
    <w:rsid w:val="00845B0C"/>
    <w:rsid w:val="008462CF"/>
    <w:rsid w:val="00846F4F"/>
    <w:rsid w:val="00851B5B"/>
    <w:rsid w:val="00853414"/>
    <w:rsid w:val="008534DE"/>
    <w:rsid w:val="0085380F"/>
    <w:rsid w:val="0085612C"/>
    <w:rsid w:val="008607D9"/>
    <w:rsid w:val="008622C7"/>
    <w:rsid w:val="008709BA"/>
    <w:rsid w:val="0087127C"/>
    <w:rsid w:val="00873025"/>
    <w:rsid w:val="0087349C"/>
    <w:rsid w:val="00873573"/>
    <w:rsid w:val="00874FF1"/>
    <w:rsid w:val="00875046"/>
    <w:rsid w:val="00875BBE"/>
    <w:rsid w:val="008809A7"/>
    <w:rsid w:val="00880BC3"/>
    <w:rsid w:val="00882491"/>
    <w:rsid w:val="008825B6"/>
    <w:rsid w:val="00882D93"/>
    <w:rsid w:val="00883D6F"/>
    <w:rsid w:val="00885BF1"/>
    <w:rsid w:val="008916AE"/>
    <w:rsid w:val="00891DA2"/>
    <w:rsid w:val="00892697"/>
    <w:rsid w:val="00893630"/>
    <w:rsid w:val="00893F66"/>
    <w:rsid w:val="00895863"/>
    <w:rsid w:val="008959B4"/>
    <w:rsid w:val="00895C4D"/>
    <w:rsid w:val="008969AC"/>
    <w:rsid w:val="00896C3C"/>
    <w:rsid w:val="00897274"/>
    <w:rsid w:val="00897EE3"/>
    <w:rsid w:val="008A0B2A"/>
    <w:rsid w:val="008A0CB5"/>
    <w:rsid w:val="008A0F95"/>
    <w:rsid w:val="008A114B"/>
    <w:rsid w:val="008A2BB1"/>
    <w:rsid w:val="008A3413"/>
    <w:rsid w:val="008A3427"/>
    <w:rsid w:val="008A4081"/>
    <w:rsid w:val="008A4E03"/>
    <w:rsid w:val="008A4E3B"/>
    <w:rsid w:val="008A4FF3"/>
    <w:rsid w:val="008A5722"/>
    <w:rsid w:val="008A592A"/>
    <w:rsid w:val="008A59F8"/>
    <w:rsid w:val="008A5BAB"/>
    <w:rsid w:val="008A6A24"/>
    <w:rsid w:val="008A6BAD"/>
    <w:rsid w:val="008A6F73"/>
    <w:rsid w:val="008A703B"/>
    <w:rsid w:val="008A731E"/>
    <w:rsid w:val="008B099D"/>
    <w:rsid w:val="008B0CF6"/>
    <w:rsid w:val="008B222C"/>
    <w:rsid w:val="008B232E"/>
    <w:rsid w:val="008B2540"/>
    <w:rsid w:val="008B37A7"/>
    <w:rsid w:val="008B44C0"/>
    <w:rsid w:val="008B4B95"/>
    <w:rsid w:val="008B6561"/>
    <w:rsid w:val="008B6599"/>
    <w:rsid w:val="008C1384"/>
    <w:rsid w:val="008C2D48"/>
    <w:rsid w:val="008C3BAB"/>
    <w:rsid w:val="008C3CC7"/>
    <w:rsid w:val="008D04F0"/>
    <w:rsid w:val="008D176C"/>
    <w:rsid w:val="008D1A93"/>
    <w:rsid w:val="008D445C"/>
    <w:rsid w:val="008D45A3"/>
    <w:rsid w:val="008D4A98"/>
    <w:rsid w:val="008D5567"/>
    <w:rsid w:val="008D5AFE"/>
    <w:rsid w:val="008D6B47"/>
    <w:rsid w:val="008D7219"/>
    <w:rsid w:val="008D7E15"/>
    <w:rsid w:val="008E02E6"/>
    <w:rsid w:val="008E0B7A"/>
    <w:rsid w:val="008E18C9"/>
    <w:rsid w:val="008E2E58"/>
    <w:rsid w:val="008E3FA9"/>
    <w:rsid w:val="008E4603"/>
    <w:rsid w:val="008E5284"/>
    <w:rsid w:val="008E61E5"/>
    <w:rsid w:val="008E69FB"/>
    <w:rsid w:val="008E7FEE"/>
    <w:rsid w:val="008F116F"/>
    <w:rsid w:val="008F16E7"/>
    <w:rsid w:val="008F19E5"/>
    <w:rsid w:val="008F31FB"/>
    <w:rsid w:val="008F39C7"/>
    <w:rsid w:val="008F3C94"/>
    <w:rsid w:val="008F4990"/>
    <w:rsid w:val="008F5371"/>
    <w:rsid w:val="008F6632"/>
    <w:rsid w:val="008F7224"/>
    <w:rsid w:val="009006E7"/>
    <w:rsid w:val="0090185D"/>
    <w:rsid w:val="00901D96"/>
    <w:rsid w:val="009038DD"/>
    <w:rsid w:val="0090531D"/>
    <w:rsid w:val="009058A6"/>
    <w:rsid w:val="009064D8"/>
    <w:rsid w:val="009065E2"/>
    <w:rsid w:val="00906CB1"/>
    <w:rsid w:val="009106BC"/>
    <w:rsid w:val="00910C68"/>
    <w:rsid w:val="00911A78"/>
    <w:rsid w:val="00911A9F"/>
    <w:rsid w:val="009122BA"/>
    <w:rsid w:val="00912702"/>
    <w:rsid w:val="00920199"/>
    <w:rsid w:val="009206BB"/>
    <w:rsid w:val="0092138E"/>
    <w:rsid w:val="00923E12"/>
    <w:rsid w:val="00925B57"/>
    <w:rsid w:val="00931113"/>
    <w:rsid w:val="00932C1A"/>
    <w:rsid w:val="009334A3"/>
    <w:rsid w:val="00933C74"/>
    <w:rsid w:val="00933DB3"/>
    <w:rsid w:val="0093446E"/>
    <w:rsid w:val="00935881"/>
    <w:rsid w:val="00937DAA"/>
    <w:rsid w:val="00941084"/>
    <w:rsid w:val="009427C5"/>
    <w:rsid w:val="00942BA3"/>
    <w:rsid w:val="00942EE2"/>
    <w:rsid w:val="009446CD"/>
    <w:rsid w:val="00944DBC"/>
    <w:rsid w:val="00944FAB"/>
    <w:rsid w:val="009459CD"/>
    <w:rsid w:val="00951EB7"/>
    <w:rsid w:val="00952124"/>
    <w:rsid w:val="009533A3"/>
    <w:rsid w:val="00953DC1"/>
    <w:rsid w:val="009617F3"/>
    <w:rsid w:val="00963DFF"/>
    <w:rsid w:val="00963FBA"/>
    <w:rsid w:val="009642F1"/>
    <w:rsid w:val="0096475B"/>
    <w:rsid w:val="00965F89"/>
    <w:rsid w:val="0097012C"/>
    <w:rsid w:val="009736A3"/>
    <w:rsid w:val="00974B3C"/>
    <w:rsid w:val="009750C9"/>
    <w:rsid w:val="009755F1"/>
    <w:rsid w:val="00975942"/>
    <w:rsid w:val="00983CBA"/>
    <w:rsid w:val="009844D6"/>
    <w:rsid w:val="00985213"/>
    <w:rsid w:val="00986308"/>
    <w:rsid w:val="009868D8"/>
    <w:rsid w:val="0098698E"/>
    <w:rsid w:val="00986BDB"/>
    <w:rsid w:val="00987325"/>
    <w:rsid w:val="00987E8D"/>
    <w:rsid w:val="009907B3"/>
    <w:rsid w:val="009916BE"/>
    <w:rsid w:val="009919DF"/>
    <w:rsid w:val="00993859"/>
    <w:rsid w:val="009938A9"/>
    <w:rsid w:val="00994BD0"/>
    <w:rsid w:val="00995F64"/>
    <w:rsid w:val="00996183"/>
    <w:rsid w:val="009A04D7"/>
    <w:rsid w:val="009A0615"/>
    <w:rsid w:val="009A1C32"/>
    <w:rsid w:val="009A2FBE"/>
    <w:rsid w:val="009A3B45"/>
    <w:rsid w:val="009A482B"/>
    <w:rsid w:val="009A4EF2"/>
    <w:rsid w:val="009A50E0"/>
    <w:rsid w:val="009A51A3"/>
    <w:rsid w:val="009A669F"/>
    <w:rsid w:val="009A7564"/>
    <w:rsid w:val="009A7AAC"/>
    <w:rsid w:val="009B0205"/>
    <w:rsid w:val="009B03A6"/>
    <w:rsid w:val="009B09F7"/>
    <w:rsid w:val="009B369F"/>
    <w:rsid w:val="009B3BAC"/>
    <w:rsid w:val="009B45EB"/>
    <w:rsid w:val="009B53A7"/>
    <w:rsid w:val="009B5DCD"/>
    <w:rsid w:val="009B5DF2"/>
    <w:rsid w:val="009B62DA"/>
    <w:rsid w:val="009B672E"/>
    <w:rsid w:val="009C014D"/>
    <w:rsid w:val="009C1466"/>
    <w:rsid w:val="009C1FE2"/>
    <w:rsid w:val="009C34F9"/>
    <w:rsid w:val="009C4684"/>
    <w:rsid w:val="009C5DA3"/>
    <w:rsid w:val="009C74D0"/>
    <w:rsid w:val="009C7E81"/>
    <w:rsid w:val="009D0831"/>
    <w:rsid w:val="009D0A5F"/>
    <w:rsid w:val="009D20B9"/>
    <w:rsid w:val="009D2E6C"/>
    <w:rsid w:val="009D2F3A"/>
    <w:rsid w:val="009D37A9"/>
    <w:rsid w:val="009D4177"/>
    <w:rsid w:val="009D621A"/>
    <w:rsid w:val="009D644A"/>
    <w:rsid w:val="009D6B72"/>
    <w:rsid w:val="009D7B4B"/>
    <w:rsid w:val="009E2DB2"/>
    <w:rsid w:val="009E2DD6"/>
    <w:rsid w:val="009E66E8"/>
    <w:rsid w:val="009E680A"/>
    <w:rsid w:val="009E7BC2"/>
    <w:rsid w:val="009F01BE"/>
    <w:rsid w:val="009F0C38"/>
    <w:rsid w:val="009F107D"/>
    <w:rsid w:val="009F1AF1"/>
    <w:rsid w:val="009F1DFB"/>
    <w:rsid w:val="009F268E"/>
    <w:rsid w:val="009F4693"/>
    <w:rsid w:val="009F4FCE"/>
    <w:rsid w:val="009F5308"/>
    <w:rsid w:val="009F54E4"/>
    <w:rsid w:val="009F64E2"/>
    <w:rsid w:val="009F7063"/>
    <w:rsid w:val="009F7171"/>
    <w:rsid w:val="00A005F9"/>
    <w:rsid w:val="00A007FE"/>
    <w:rsid w:val="00A00F74"/>
    <w:rsid w:val="00A0131C"/>
    <w:rsid w:val="00A02B50"/>
    <w:rsid w:val="00A02D00"/>
    <w:rsid w:val="00A03235"/>
    <w:rsid w:val="00A035F3"/>
    <w:rsid w:val="00A03A81"/>
    <w:rsid w:val="00A04D51"/>
    <w:rsid w:val="00A0522B"/>
    <w:rsid w:val="00A052A8"/>
    <w:rsid w:val="00A06A44"/>
    <w:rsid w:val="00A07909"/>
    <w:rsid w:val="00A07BEC"/>
    <w:rsid w:val="00A07E87"/>
    <w:rsid w:val="00A12174"/>
    <w:rsid w:val="00A13045"/>
    <w:rsid w:val="00A13D8D"/>
    <w:rsid w:val="00A151F7"/>
    <w:rsid w:val="00A201F5"/>
    <w:rsid w:val="00A21D7B"/>
    <w:rsid w:val="00A22124"/>
    <w:rsid w:val="00A237F4"/>
    <w:rsid w:val="00A23A3A"/>
    <w:rsid w:val="00A23C68"/>
    <w:rsid w:val="00A2416B"/>
    <w:rsid w:val="00A24841"/>
    <w:rsid w:val="00A250C2"/>
    <w:rsid w:val="00A251CB"/>
    <w:rsid w:val="00A25414"/>
    <w:rsid w:val="00A25A42"/>
    <w:rsid w:val="00A26271"/>
    <w:rsid w:val="00A3071C"/>
    <w:rsid w:val="00A309AE"/>
    <w:rsid w:val="00A313EC"/>
    <w:rsid w:val="00A315C0"/>
    <w:rsid w:val="00A31DD9"/>
    <w:rsid w:val="00A325E4"/>
    <w:rsid w:val="00A337CB"/>
    <w:rsid w:val="00A3485D"/>
    <w:rsid w:val="00A34E7F"/>
    <w:rsid w:val="00A36657"/>
    <w:rsid w:val="00A374E6"/>
    <w:rsid w:val="00A3795D"/>
    <w:rsid w:val="00A37976"/>
    <w:rsid w:val="00A37F0E"/>
    <w:rsid w:val="00A4177A"/>
    <w:rsid w:val="00A41E5E"/>
    <w:rsid w:val="00A41EB6"/>
    <w:rsid w:val="00A45BEF"/>
    <w:rsid w:val="00A476E7"/>
    <w:rsid w:val="00A51006"/>
    <w:rsid w:val="00A52030"/>
    <w:rsid w:val="00A529D4"/>
    <w:rsid w:val="00A52A57"/>
    <w:rsid w:val="00A53959"/>
    <w:rsid w:val="00A53E87"/>
    <w:rsid w:val="00A547C8"/>
    <w:rsid w:val="00A54D39"/>
    <w:rsid w:val="00A60008"/>
    <w:rsid w:val="00A61047"/>
    <w:rsid w:val="00A62252"/>
    <w:rsid w:val="00A6254B"/>
    <w:rsid w:val="00A631D5"/>
    <w:rsid w:val="00A64395"/>
    <w:rsid w:val="00A64863"/>
    <w:rsid w:val="00A6522C"/>
    <w:rsid w:val="00A65230"/>
    <w:rsid w:val="00A65A09"/>
    <w:rsid w:val="00A66DB5"/>
    <w:rsid w:val="00A66DD3"/>
    <w:rsid w:val="00A673A5"/>
    <w:rsid w:val="00A72042"/>
    <w:rsid w:val="00A72710"/>
    <w:rsid w:val="00A72FC3"/>
    <w:rsid w:val="00A752EB"/>
    <w:rsid w:val="00A75D27"/>
    <w:rsid w:val="00A81BB1"/>
    <w:rsid w:val="00A8223A"/>
    <w:rsid w:val="00A85962"/>
    <w:rsid w:val="00A8611E"/>
    <w:rsid w:val="00A90533"/>
    <w:rsid w:val="00A916B8"/>
    <w:rsid w:val="00A92B52"/>
    <w:rsid w:val="00A936E4"/>
    <w:rsid w:val="00A95BF6"/>
    <w:rsid w:val="00A9622A"/>
    <w:rsid w:val="00AA01B0"/>
    <w:rsid w:val="00AA0A03"/>
    <w:rsid w:val="00AA13D0"/>
    <w:rsid w:val="00AA165D"/>
    <w:rsid w:val="00AA1941"/>
    <w:rsid w:val="00AA2D53"/>
    <w:rsid w:val="00AA5235"/>
    <w:rsid w:val="00AA6E59"/>
    <w:rsid w:val="00AB067C"/>
    <w:rsid w:val="00AB0E3B"/>
    <w:rsid w:val="00AB284C"/>
    <w:rsid w:val="00AB3D1E"/>
    <w:rsid w:val="00AB50B7"/>
    <w:rsid w:val="00AB69BD"/>
    <w:rsid w:val="00AC478B"/>
    <w:rsid w:val="00AC5ED6"/>
    <w:rsid w:val="00AD0602"/>
    <w:rsid w:val="00AD1828"/>
    <w:rsid w:val="00AD2AAC"/>
    <w:rsid w:val="00AD33CA"/>
    <w:rsid w:val="00AD4632"/>
    <w:rsid w:val="00AD73D7"/>
    <w:rsid w:val="00AE08AD"/>
    <w:rsid w:val="00AE16DE"/>
    <w:rsid w:val="00AE2C4C"/>
    <w:rsid w:val="00AE4DDE"/>
    <w:rsid w:val="00AE528D"/>
    <w:rsid w:val="00AE6978"/>
    <w:rsid w:val="00AE7F7E"/>
    <w:rsid w:val="00AF0901"/>
    <w:rsid w:val="00AF17DB"/>
    <w:rsid w:val="00AF18B5"/>
    <w:rsid w:val="00AF22D0"/>
    <w:rsid w:val="00AF270B"/>
    <w:rsid w:val="00AF4241"/>
    <w:rsid w:val="00AF4DEC"/>
    <w:rsid w:val="00AF7248"/>
    <w:rsid w:val="00B017B7"/>
    <w:rsid w:val="00B0195D"/>
    <w:rsid w:val="00B01F43"/>
    <w:rsid w:val="00B025B0"/>
    <w:rsid w:val="00B02A87"/>
    <w:rsid w:val="00B038C5"/>
    <w:rsid w:val="00B048AD"/>
    <w:rsid w:val="00B0594C"/>
    <w:rsid w:val="00B05C7E"/>
    <w:rsid w:val="00B07F91"/>
    <w:rsid w:val="00B10758"/>
    <w:rsid w:val="00B10C59"/>
    <w:rsid w:val="00B1136D"/>
    <w:rsid w:val="00B11A4D"/>
    <w:rsid w:val="00B11FFF"/>
    <w:rsid w:val="00B131D8"/>
    <w:rsid w:val="00B1618E"/>
    <w:rsid w:val="00B202E9"/>
    <w:rsid w:val="00B219A3"/>
    <w:rsid w:val="00B22BE4"/>
    <w:rsid w:val="00B22DF5"/>
    <w:rsid w:val="00B23471"/>
    <w:rsid w:val="00B238D3"/>
    <w:rsid w:val="00B2424E"/>
    <w:rsid w:val="00B2465F"/>
    <w:rsid w:val="00B24CD4"/>
    <w:rsid w:val="00B25F75"/>
    <w:rsid w:val="00B26118"/>
    <w:rsid w:val="00B26EB5"/>
    <w:rsid w:val="00B2737D"/>
    <w:rsid w:val="00B27766"/>
    <w:rsid w:val="00B30A13"/>
    <w:rsid w:val="00B30F49"/>
    <w:rsid w:val="00B33544"/>
    <w:rsid w:val="00B34691"/>
    <w:rsid w:val="00B34CCF"/>
    <w:rsid w:val="00B3671D"/>
    <w:rsid w:val="00B37354"/>
    <w:rsid w:val="00B37410"/>
    <w:rsid w:val="00B4161B"/>
    <w:rsid w:val="00B41CDB"/>
    <w:rsid w:val="00B423DE"/>
    <w:rsid w:val="00B4396E"/>
    <w:rsid w:val="00B43C0F"/>
    <w:rsid w:val="00B459EF"/>
    <w:rsid w:val="00B477F1"/>
    <w:rsid w:val="00B47B63"/>
    <w:rsid w:val="00B506F2"/>
    <w:rsid w:val="00B50FB6"/>
    <w:rsid w:val="00B511A8"/>
    <w:rsid w:val="00B53168"/>
    <w:rsid w:val="00B534CD"/>
    <w:rsid w:val="00B556F9"/>
    <w:rsid w:val="00B57AE5"/>
    <w:rsid w:val="00B60AC7"/>
    <w:rsid w:val="00B60AE8"/>
    <w:rsid w:val="00B617DA"/>
    <w:rsid w:val="00B618F5"/>
    <w:rsid w:val="00B61AD4"/>
    <w:rsid w:val="00B626AE"/>
    <w:rsid w:val="00B6392B"/>
    <w:rsid w:val="00B64531"/>
    <w:rsid w:val="00B664AA"/>
    <w:rsid w:val="00B66F75"/>
    <w:rsid w:val="00B7075E"/>
    <w:rsid w:val="00B717F2"/>
    <w:rsid w:val="00B7243E"/>
    <w:rsid w:val="00B7307A"/>
    <w:rsid w:val="00B74322"/>
    <w:rsid w:val="00B7579F"/>
    <w:rsid w:val="00B76449"/>
    <w:rsid w:val="00B76DE0"/>
    <w:rsid w:val="00B77F6A"/>
    <w:rsid w:val="00B80958"/>
    <w:rsid w:val="00B83453"/>
    <w:rsid w:val="00B8392A"/>
    <w:rsid w:val="00B8540A"/>
    <w:rsid w:val="00B855F4"/>
    <w:rsid w:val="00B86DDC"/>
    <w:rsid w:val="00B90974"/>
    <w:rsid w:val="00B90ED3"/>
    <w:rsid w:val="00B94DA0"/>
    <w:rsid w:val="00B962E9"/>
    <w:rsid w:val="00B967D6"/>
    <w:rsid w:val="00B96999"/>
    <w:rsid w:val="00B96C2B"/>
    <w:rsid w:val="00B97271"/>
    <w:rsid w:val="00B97D13"/>
    <w:rsid w:val="00BA045F"/>
    <w:rsid w:val="00BA07D2"/>
    <w:rsid w:val="00BA3B5A"/>
    <w:rsid w:val="00BA6113"/>
    <w:rsid w:val="00BA7295"/>
    <w:rsid w:val="00BA74B4"/>
    <w:rsid w:val="00BB15E9"/>
    <w:rsid w:val="00BB216B"/>
    <w:rsid w:val="00BB4036"/>
    <w:rsid w:val="00BB4EA7"/>
    <w:rsid w:val="00BB6755"/>
    <w:rsid w:val="00BB7757"/>
    <w:rsid w:val="00BC01AC"/>
    <w:rsid w:val="00BC1EBA"/>
    <w:rsid w:val="00BC2CED"/>
    <w:rsid w:val="00BC44E5"/>
    <w:rsid w:val="00BC7EF9"/>
    <w:rsid w:val="00BD0DC1"/>
    <w:rsid w:val="00BD1480"/>
    <w:rsid w:val="00BD22B4"/>
    <w:rsid w:val="00BD2677"/>
    <w:rsid w:val="00BD4DA5"/>
    <w:rsid w:val="00BD5A02"/>
    <w:rsid w:val="00BD677B"/>
    <w:rsid w:val="00BD7BC1"/>
    <w:rsid w:val="00BE0FB8"/>
    <w:rsid w:val="00BE4369"/>
    <w:rsid w:val="00BE4CB3"/>
    <w:rsid w:val="00BE526A"/>
    <w:rsid w:val="00BE64C2"/>
    <w:rsid w:val="00BE6B6F"/>
    <w:rsid w:val="00BE7C5C"/>
    <w:rsid w:val="00BF0CCA"/>
    <w:rsid w:val="00BF2F23"/>
    <w:rsid w:val="00BF3373"/>
    <w:rsid w:val="00BF4515"/>
    <w:rsid w:val="00BF511B"/>
    <w:rsid w:val="00BF5D3F"/>
    <w:rsid w:val="00BF611A"/>
    <w:rsid w:val="00BF7D25"/>
    <w:rsid w:val="00C0096D"/>
    <w:rsid w:val="00C021C4"/>
    <w:rsid w:val="00C04154"/>
    <w:rsid w:val="00C0524F"/>
    <w:rsid w:val="00C055BC"/>
    <w:rsid w:val="00C05846"/>
    <w:rsid w:val="00C05DBE"/>
    <w:rsid w:val="00C07B8F"/>
    <w:rsid w:val="00C10066"/>
    <w:rsid w:val="00C121BA"/>
    <w:rsid w:val="00C12C15"/>
    <w:rsid w:val="00C14799"/>
    <w:rsid w:val="00C14943"/>
    <w:rsid w:val="00C15F18"/>
    <w:rsid w:val="00C16729"/>
    <w:rsid w:val="00C2122D"/>
    <w:rsid w:val="00C22215"/>
    <w:rsid w:val="00C228AC"/>
    <w:rsid w:val="00C22E09"/>
    <w:rsid w:val="00C23547"/>
    <w:rsid w:val="00C24849"/>
    <w:rsid w:val="00C25AA4"/>
    <w:rsid w:val="00C25C57"/>
    <w:rsid w:val="00C265DA"/>
    <w:rsid w:val="00C267F4"/>
    <w:rsid w:val="00C30177"/>
    <w:rsid w:val="00C303ED"/>
    <w:rsid w:val="00C33720"/>
    <w:rsid w:val="00C34272"/>
    <w:rsid w:val="00C345CD"/>
    <w:rsid w:val="00C3467B"/>
    <w:rsid w:val="00C346AE"/>
    <w:rsid w:val="00C35F05"/>
    <w:rsid w:val="00C40D8A"/>
    <w:rsid w:val="00C42D6A"/>
    <w:rsid w:val="00C43A7D"/>
    <w:rsid w:val="00C44584"/>
    <w:rsid w:val="00C44F9E"/>
    <w:rsid w:val="00C45B9F"/>
    <w:rsid w:val="00C468F0"/>
    <w:rsid w:val="00C46F07"/>
    <w:rsid w:val="00C474EE"/>
    <w:rsid w:val="00C52BF8"/>
    <w:rsid w:val="00C53D1B"/>
    <w:rsid w:val="00C53E22"/>
    <w:rsid w:val="00C555AB"/>
    <w:rsid w:val="00C57CEF"/>
    <w:rsid w:val="00C57ED9"/>
    <w:rsid w:val="00C6081A"/>
    <w:rsid w:val="00C60A0C"/>
    <w:rsid w:val="00C61A63"/>
    <w:rsid w:val="00C61B86"/>
    <w:rsid w:val="00C621AE"/>
    <w:rsid w:val="00C635BD"/>
    <w:rsid w:val="00C63CE4"/>
    <w:rsid w:val="00C6525E"/>
    <w:rsid w:val="00C67496"/>
    <w:rsid w:val="00C67819"/>
    <w:rsid w:val="00C70024"/>
    <w:rsid w:val="00C718A1"/>
    <w:rsid w:val="00C72281"/>
    <w:rsid w:val="00C72C2D"/>
    <w:rsid w:val="00C72C7F"/>
    <w:rsid w:val="00C73103"/>
    <w:rsid w:val="00C733A6"/>
    <w:rsid w:val="00C74FD1"/>
    <w:rsid w:val="00C7620A"/>
    <w:rsid w:val="00C76CBC"/>
    <w:rsid w:val="00C7725C"/>
    <w:rsid w:val="00C772D8"/>
    <w:rsid w:val="00C801DB"/>
    <w:rsid w:val="00C810B5"/>
    <w:rsid w:val="00C82567"/>
    <w:rsid w:val="00C82F10"/>
    <w:rsid w:val="00C838FF"/>
    <w:rsid w:val="00C853EC"/>
    <w:rsid w:val="00C85A04"/>
    <w:rsid w:val="00C86E6A"/>
    <w:rsid w:val="00C87324"/>
    <w:rsid w:val="00C9008A"/>
    <w:rsid w:val="00C9034B"/>
    <w:rsid w:val="00C9373E"/>
    <w:rsid w:val="00C942C3"/>
    <w:rsid w:val="00C95945"/>
    <w:rsid w:val="00CA211F"/>
    <w:rsid w:val="00CA2308"/>
    <w:rsid w:val="00CA40DD"/>
    <w:rsid w:val="00CA4531"/>
    <w:rsid w:val="00CA4DAF"/>
    <w:rsid w:val="00CA4E41"/>
    <w:rsid w:val="00CA5494"/>
    <w:rsid w:val="00CA5910"/>
    <w:rsid w:val="00CA6AEC"/>
    <w:rsid w:val="00CB0FF4"/>
    <w:rsid w:val="00CB1198"/>
    <w:rsid w:val="00CB11F6"/>
    <w:rsid w:val="00CB1776"/>
    <w:rsid w:val="00CB2554"/>
    <w:rsid w:val="00CB39DC"/>
    <w:rsid w:val="00CB3D64"/>
    <w:rsid w:val="00CB4073"/>
    <w:rsid w:val="00CB59A5"/>
    <w:rsid w:val="00CB725E"/>
    <w:rsid w:val="00CB799B"/>
    <w:rsid w:val="00CC1061"/>
    <w:rsid w:val="00CC1ED2"/>
    <w:rsid w:val="00CC22CC"/>
    <w:rsid w:val="00CC4000"/>
    <w:rsid w:val="00CC454D"/>
    <w:rsid w:val="00CC4D8D"/>
    <w:rsid w:val="00CC5858"/>
    <w:rsid w:val="00CD18A5"/>
    <w:rsid w:val="00CD1FC1"/>
    <w:rsid w:val="00CD20F2"/>
    <w:rsid w:val="00CD32F8"/>
    <w:rsid w:val="00CD33FE"/>
    <w:rsid w:val="00CD3680"/>
    <w:rsid w:val="00CD39C4"/>
    <w:rsid w:val="00CD7AD0"/>
    <w:rsid w:val="00CE0194"/>
    <w:rsid w:val="00CE0569"/>
    <w:rsid w:val="00CE107B"/>
    <w:rsid w:val="00CE18C9"/>
    <w:rsid w:val="00CE31F8"/>
    <w:rsid w:val="00CE328E"/>
    <w:rsid w:val="00CE50D8"/>
    <w:rsid w:val="00CE58F2"/>
    <w:rsid w:val="00CE6868"/>
    <w:rsid w:val="00CE70F8"/>
    <w:rsid w:val="00CE7AF3"/>
    <w:rsid w:val="00CF0A74"/>
    <w:rsid w:val="00CF0ABC"/>
    <w:rsid w:val="00CF2998"/>
    <w:rsid w:val="00CF4A74"/>
    <w:rsid w:val="00CF54C5"/>
    <w:rsid w:val="00CF61DF"/>
    <w:rsid w:val="00CF6A62"/>
    <w:rsid w:val="00CF75C8"/>
    <w:rsid w:val="00CF76EA"/>
    <w:rsid w:val="00CF7CCB"/>
    <w:rsid w:val="00D00050"/>
    <w:rsid w:val="00D021EE"/>
    <w:rsid w:val="00D030F5"/>
    <w:rsid w:val="00D03281"/>
    <w:rsid w:val="00D03D21"/>
    <w:rsid w:val="00D04761"/>
    <w:rsid w:val="00D05597"/>
    <w:rsid w:val="00D07607"/>
    <w:rsid w:val="00D10435"/>
    <w:rsid w:val="00D106EB"/>
    <w:rsid w:val="00D11399"/>
    <w:rsid w:val="00D113D1"/>
    <w:rsid w:val="00D1389C"/>
    <w:rsid w:val="00D13CC7"/>
    <w:rsid w:val="00D13ED0"/>
    <w:rsid w:val="00D14679"/>
    <w:rsid w:val="00D14721"/>
    <w:rsid w:val="00D149F2"/>
    <w:rsid w:val="00D14EF4"/>
    <w:rsid w:val="00D152F3"/>
    <w:rsid w:val="00D15874"/>
    <w:rsid w:val="00D170F7"/>
    <w:rsid w:val="00D17DAE"/>
    <w:rsid w:val="00D201D1"/>
    <w:rsid w:val="00D20560"/>
    <w:rsid w:val="00D21347"/>
    <w:rsid w:val="00D2195C"/>
    <w:rsid w:val="00D245A2"/>
    <w:rsid w:val="00D256EC"/>
    <w:rsid w:val="00D2592C"/>
    <w:rsid w:val="00D26288"/>
    <w:rsid w:val="00D26447"/>
    <w:rsid w:val="00D26A4F"/>
    <w:rsid w:val="00D27562"/>
    <w:rsid w:val="00D27843"/>
    <w:rsid w:val="00D30458"/>
    <w:rsid w:val="00D31784"/>
    <w:rsid w:val="00D31EB3"/>
    <w:rsid w:val="00D32B52"/>
    <w:rsid w:val="00D32DB5"/>
    <w:rsid w:val="00D339DD"/>
    <w:rsid w:val="00D3423D"/>
    <w:rsid w:val="00D3525F"/>
    <w:rsid w:val="00D3574B"/>
    <w:rsid w:val="00D357DD"/>
    <w:rsid w:val="00D36449"/>
    <w:rsid w:val="00D3680A"/>
    <w:rsid w:val="00D37857"/>
    <w:rsid w:val="00D40F69"/>
    <w:rsid w:val="00D417E8"/>
    <w:rsid w:val="00D41A8C"/>
    <w:rsid w:val="00D42287"/>
    <w:rsid w:val="00D42970"/>
    <w:rsid w:val="00D44A24"/>
    <w:rsid w:val="00D45236"/>
    <w:rsid w:val="00D50398"/>
    <w:rsid w:val="00D503CA"/>
    <w:rsid w:val="00D515AC"/>
    <w:rsid w:val="00D5205B"/>
    <w:rsid w:val="00D5428D"/>
    <w:rsid w:val="00D555B0"/>
    <w:rsid w:val="00D56046"/>
    <w:rsid w:val="00D564F3"/>
    <w:rsid w:val="00D56786"/>
    <w:rsid w:val="00D57984"/>
    <w:rsid w:val="00D57B4E"/>
    <w:rsid w:val="00D57DB4"/>
    <w:rsid w:val="00D600AC"/>
    <w:rsid w:val="00D6129E"/>
    <w:rsid w:val="00D61965"/>
    <w:rsid w:val="00D62C97"/>
    <w:rsid w:val="00D6350D"/>
    <w:rsid w:val="00D64120"/>
    <w:rsid w:val="00D64D0C"/>
    <w:rsid w:val="00D65C19"/>
    <w:rsid w:val="00D6751F"/>
    <w:rsid w:val="00D72EAA"/>
    <w:rsid w:val="00D7305B"/>
    <w:rsid w:val="00D73C64"/>
    <w:rsid w:val="00D7562D"/>
    <w:rsid w:val="00D75A91"/>
    <w:rsid w:val="00D75D61"/>
    <w:rsid w:val="00D76103"/>
    <w:rsid w:val="00D761DF"/>
    <w:rsid w:val="00D76963"/>
    <w:rsid w:val="00D77347"/>
    <w:rsid w:val="00D81C88"/>
    <w:rsid w:val="00D82279"/>
    <w:rsid w:val="00D831D6"/>
    <w:rsid w:val="00D83680"/>
    <w:rsid w:val="00D840BF"/>
    <w:rsid w:val="00D84B7C"/>
    <w:rsid w:val="00D87E7C"/>
    <w:rsid w:val="00D90035"/>
    <w:rsid w:val="00D90F1B"/>
    <w:rsid w:val="00D91274"/>
    <w:rsid w:val="00D914EB"/>
    <w:rsid w:val="00D953C5"/>
    <w:rsid w:val="00D959D0"/>
    <w:rsid w:val="00D9623A"/>
    <w:rsid w:val="00DA058D"/>
    <w:rsid w:val="00DA22CE"/>
    <w:rsid w:val="00DA2401"/>
    <w:rsid w:val="00DA2CAC"/>
    <w:rsid w:val="00DA3877"/>
    <w:rsid w:val="00DA44E4"/>
    <w:rsid w:val="00DA5870"/>
    <w:rsid w:val="00DA5904"/>
    <w:rsid w:val="00DA7FAA"/>
    <w:rsid w:val="00DB0023"/>
    <w:rsid w:val="00DB0493"/>
    <w:rsid w:val="00DB06B9"/>
    <w:rsid w:val="00DB14A3"/>
    <w:rsid w:val="00DB4122"/>
    <w:rsid w:val="00DB5B80"/>
    <w:rsid w:val="00DB6C6E"/>
    <w:rsid w:val="00DB6F12"/>
    <w:rsid w:val="00DB7762"/>
    <w:rsid w:val="00DB78B2"/>
    <w:rsid w:val="00DC0EB0"/>
    <w:rsid w:val="00DC3786"/>
    <w:rsid w:val="00DC400A"/>
    <w:rsid w:val="00DC5016"/>
    <w:rsid w:val="00DC7FD0"/>
    <w:rsid w:val="00DD0ACA"/>
    <w:rsid w:val="00DD2BDD"/>
    <w:rsid w:val="00DD41EA"/>
    <w:rsid w:val="00DD4F27"/>
    <w:rsid w:val="00DD6756"/>
    <w:rsid w:val="00DD6C6D"/>
    <w:rsid w:val="00DD6EE6"/>
    <w:rsid w:val="00DD709C"/>
    <w:rsid w:val="00DD7723"/>
    <w:rsid w:val="00DD7837"/>
    <w:rsid w:val="00DE1384"/>
    <w:rsid w:val="00DE3738"/>
    <w:rsid w:val="00DE3C5E"/>
    <w:rsid w:val="00DE6599"/>
    <w:rsid w:val="00DE6AA0"/>
    <w:rsid w:val="00DE7461"/>
    <w:rsid w:val="00DE755D"/>
    <w:rsid w:val="00DF03A6"/>
    <w:rsid w:val="00DF12C9"/>
    <w:rsid w:val="00DF16EE"/>
    <w:rsid w:val="00DF363D"/>
    <w:rsid w:val="00DF3A6E"/>
    <w:rsid w:val="00DF3C9B"/>
    <w:rsid w:val="00DF6084"/>
    <w:rsid w:val="00E00859"/>
    <w:rsid w:val="00E02045"/>
    <w:rsid w:val="00E02683"/>
    <w:rsid w:val="00E0370E"/>
    <w:rsid w:val="00E048AF"/>
    <w:rsid w:val="00E05A86"/>
    <w:rsid w:val="00E07069"/>
    <w:rsid w:val="00E076F6"/>
    <w:rsid w:val="00E10480"/>
    <w:rsid w:val="00E12E86"/>
    <w:rsid w:val="00E139A0"/>
    <w:rsid w:val="00E14262"/>
    <w:rsid w:val="00E20146"/>
    <w:rsid w:val="00E201FD"/>
    <w:rsid w:val="00E204D4"/>
    <w:rsid w:val="00E2051F"/>
    <w:rsid w:val="00E20D5D"/>
    <w:rsid w:val="00E20EE2"/>
    <w:rsid w:val="00E22AAC"/>
    <w:rsid w:val="00E23970"/>
    <w:rsid w:val="00E244E6"/>
    <w:rsid w:val="00E24F25"/>
    <w:rsid w:val="00E253A3"/>
    <w:rsid w:val="00E26BB7"/>
    <w:rsid w:val="00E27420"/>
    <w:rsid w:val="00E2751F"/>
    <w:rsid w:val="00E276E4"/>
    <w:rsid w:val="00E316BA"/>
    <w:rsid w:val="00E328E7"/>
    <w:rsid w:val="00E358C8"/>
    <w:rsid w:val="00E360ED"/>
    <w:rsid w:val="00E40445"/>
    <w:rsid w:val="00E462C6"/>
    <w:rsid w:val="00E46765"/>
    <w:rsid w:val="00E47E36"/>
    <w:rsid w:val="00E50E1D"/>
    <w:rsid w:val="00E522AB"/>
    <w:rsid w:val="00E5339D"/>
    <w:rsid w:val="00E5367F"/>
    <w:rsid w:val="00E536C9"/>
    <w:rsid w:val="00E537A8"/>
    <w:rsid w:val="00E53F8B"/>
    <w:rsid w:val="00E548DB"/>
    <w:rsid w:val="00E5501F"/>
    <w:rsid w:val="00E55062"/>
    <w:rsid w:val="00E55921"/>
    <w:rsid w:val="00E5682D"/>
    <w:rsid w:val="00E60E9F"/>
    <w:rsid w:val="00E611D6"/>
    <w:rsid w:val="00E6132E"/>
    <w:rsid w:val="00E61668"/>
    <w:rsid w:val="00E6542E"/>
    <w:rsid w:val="00E72B33"/>
    <w:rsid w:val="00E732F5"/>
    <w:rsid w:val="00E73FD0"/>
    <w:rsid w:val="00E74673"/>
    <w:rsid w:val="00E74A42"/>
    <w:rsid w:val="00E74D46"/>
    <w:rsid w:val="00E7521C"/>
    <w:rsid w:val="00E752D2"/>
    <w:rsid w:val="00E75570"/>
    <w:rsid w:val="00E75E86"/>
    <w:rsid w:val="00E76935"/>
    <w:rsid w:val="00E77E25"/>
    <w:rsid w:val="00E828FE"/>
    <w:rsid w:val="00E83114"/>
    <w:rsid w:val="00E83A21"/>
    <w:rsid w:val="00E844E5"/>
    <w:rsid w:val="00E857B6"/>
    <w:rsid w:val="00E90721"/>
    <w:rsid w:val="00E919BE"/>
    <w:rsid w:val="00E92611"/>
    <w:rsid w:val="00E92826"/>
    <w:rsid w:val="00E947A6"/>
    <w:rsid w:val="00E95042"/>
    <w:rsid w:val="00E953AB"/>
    <w:rsid w:val="00E9615A"/>
    <w:rsid w:val="00EA49C4"/>
    <w:rsid w:val="00EA6DB5"/>
    <w:rsid w:val="00EB1E4B"/>
    <w:rsid w:val="00EB28E2"/>
    <w:rsid w:val="00EB3746"/>
    <w:rsid w:val="00EB415B"/>
    <w:rsid w:val="00EB4B92"/>
    <w:rsid w:val="00EB6553"/>
    <w:rsid w:val="00EB680F"/>
    <w:rsid w:val="00EB70F3"/>
    <w:rsid w:val="00EB7100"/>
    <w:rsid w:val="00EC08EF"/>
    <w:rsid w:val="00EC1668"/>
    <w:rsid w:val="00EC2762"/>
    <w:rsid w:val="00EC30DB"/>
    <w:rsid w:val="00EC48A6"/>
    <w:rsid w:val="00EC4FB9"/>
    <w:rsid w:val="00EC583B"/>
    <w:rsid w:val="00EC62B3"/>
    <w:rsid w:val="00EC73F8"/>
    <w:rsid w:val="00ED07DD"/>
    <w:rsid w:val="00ED3771"/>
    <w:rsid w:val="00ED3F3D"/>
    <w:rsid w:val="00ED411F"/>
    <w:rsid w:val="00ED4DB0"/>
    <w:rsid w:val="00ED598A"/>
    <w:rsid w:val="00EE0A41"/>
    <w:rsid w:val="00EE1285"/>
    <w:rsid w:val="00EE2C95"/>
    <w:rsid w:val="00EE310F"/>
    <w:rsid w:val="00EE3C5A"/>
    <w:rsid w:val="00EE50DB"/>
    <w:rsid w:val="00EE5D4F"/>
    <w:rsid w:val="00EE78DB"/>
    <w:rsid w:val="00EF02F5"/>
    <w:rsid w:val="00EF0879"/>
    <w:rsid w:val="00EF0D1E"/>
    <w:rsid w:val="00EF0D40"/>
    <w:rsid w:val="00EF172F"/>
    <w:rsid w:val="00EF326E"/>
    <w:rsid w:val="00EF4E48"/>
    <w:rsid w:val="00F00E49"/>
    <w:rsid w:val="00F04049"/>
    <w:rsid w:val="00F05081"/>
    <w:rsid w:val="00F0702F"/>
    <w:rsid w:val="00F075E9"/>
    <w:rsid w:val="00F10E5F"/>
    <w:rsid w:val="00F11523"/>
    <w:rsid w:val="00F11B8D"/>
    <w:rsid w:val="00F11CDD"/>
    <w:rsid w:val="00F11E11"/>
    <w:rsid w:val="00F13BE8"/>
    <w:rsid w:val="00F14C15"/>
    <w:rsid w:val="00F152CF"/>
    <w:rsid w:val="00F1590C"/>
    <w:rsid w:val="00F15F72"/>
    <w:rsid w:val="00F16F59"/>
    <w:rsid w:val="00F20105"/>
    <w:rsid w:val="00F21ABB"/>
    <w:rsid w:val="00F22CF4"/>
    <w:rsid w:val="00F235B5"/>
    <w:rsid w:val="00F240E2"/>
    <w:rsid w:val="00F26DBE"/>
    <w:rsid w:val="00F26E26"/>
    <w:rsid w:val="00F30F37"/>
    <w:rsid w:val="00F31095"/>
    <w:rsid w:val="00F31E27"/>
    <w:rsid w:val="00F31FC3"/>
    <w:rsid w:val="00F32036"/>
    <w:rsid w:val="00F3280E"/>
    <w:rsid w:val="00F32CD6"/>
    <w:rsid w:val="00F33E73"/>
    <w:rsid w:val="00F344BF"/>
    <w:rsid w:val="00F34BF0"/>
    <w:rsid w:val="00F35BBA"/>
    <w:rsid w:val="00F3620F"/>
    <w:rsid w:val="00F36413"/>
    <w:rsid w:val="00F36501"/>
    <w:rsid w:val="00F3701A"/>
    <w:rsid w:val="00F41C8E"/>
    <w:rsid w:val="00F4226B"/>
    <w:rsid w:val="00F433EB"/>
    <w:rsid w:val="00F44FB5"/>
    <w:rsid w:val="00F459B2"/>
    <w:rsid w:val="00F45C52"/>
    <w:rsid w:val="00F46A95"/>
    <w:rsid w:val="00F46BED"/>
    <w:rsid w:val="00F50094"/>
    <w:rsid w:val="00F51168"/>
    <w:rsid w:val="00F51CBF"/>
    <w:rsid w:val="00F52229"/>
    <w:rsid w:val="00F527B5"/>
    <w:rsid w:val="00F52956"/>
    <w:rsid w:val="00F539FC"/>
    <w:rsid w:val="00F53AFA"/>
    <w:rsid w:val="00F570AD"/>
    <w:rsid w:val="00F60C2A"/>
    <w:rsid w:val="00F60E12"/>
    <w:rsid w:val="00F61062"/>
    <w:rsid w:val="00F62224"/>
    <w:rsid w:val="00F62558"/>
    <w:rsid w:val="00F62BB2"/>
    <w:rsid w:val="00F6337B"/>
    <w:rsid w:val="00F64520"/>
    <w:rsid w:val="00F64DAF"/>
    <w:rsid w:val="00F65EA6"/>
    <w:rsid w:val="00F67320"/>
    <w:rsid w:val="00F67646"/>
    <w:rsid w:val="00F676BB"/>
    <w:rsid w:val="00F70442"/>
    <w:rsid w:val="00F71BC6"/>
    <w:rsid w:val="00F72ACC"/>
    <w:rsid w:val="00F7319E"/>
    <w:rsid w:val="00F74916"/>
    <w:rsid w:val="00F74AF5"/>
    <w:rsid w:val="00F74F8F"/>
    <w:rsid w:val="00F75807"/>
    <w:rsid w:val="00F7580C"/>
    <w:rsid w:val="00F75A10"/>
    <w:rsid w:val="00F75C17"/>
    <w:rsid w:val="00F76B8A"/>
    <w:rsid w:val="00F800DE"/>
    <w:rsid w:val="00F81421"/>
    <w:rsid w:val="00F81D13"/>
    <w:rsid w:val="00F8239A"/>
    <w:rsid w:val="00F8314F"/>
    <w:rsid w:val="00F83D96"/>
    <w:rsid w:val="00F8473F"/>
    <w:rsid w:val="00F8620F"/>
    <w:rsid w:val="00F86AAC"/>
    <w:rsid w:val="00F920F4"/>
    <w:rsid w:val="00F9216F"/>
    <w:rsid w:val="00F92452"/>
    <w:rsid w:val="00F92D0B"/>
    <w:rsid w:val="00F92DC2"/>
    <w:rsid w:val="00F949AA"/>
    <w:rsid w:val="00F94F62"/>
    <w:rsid w:val="00F9583B"/>
    <w:rsid w:val="00F960EE"/>
    <w:rsid w:val="00F97BDE"/>
    <w:rsid w:val="00FA038A"/>
    <w:rsid w:val="00FA0F2C"/>
    <w:rsid w:val="00FA1814"/>
    <w:rsid w:val="00FA2FEA"/>
    <w:rsid w:val="00FA6497"/>
    <w:rsid w:val="00FA72B0"/>
    <w:rsid w:val="00FB0635"/>
    <w:rsid w:val="00FB1F92"/>
    <w:rsid w:val="00FB49B0"/>
    <w:rsid w:val="00FB5475"/>
    <w:rsid w:val="00FB5EA0"/>
    <w:rsid w:val="00FB6454"/>
    <w:rsid w:val="00FC039B"/>
    <w:rsid w:val="00FC076C"/>
    <w:rsid w:val="00FC1FFD"/>
    <w:rsid w:val="00FC264B"/>
    <w:rsid w:val="00FC28F9"/>
    <w:rsid w:val="00FC2C6E"/>
    <w:rsid w:val="00FC55E3"/>
    <w:rsid w:val="00FC631D"/>
    <w:rsid w:val="00FC778E"/>
    <w:rsid w:val="00FD19A9"/>
    <w:rsid w:val="00FD2103"/>
    <w:rsid w:val="00FD214F"/>
    <w:rsid w:val="00FD24EC"/>
    <w:rsid w:val="00FD4058"/>
    <w:rsid w:val="00FD473F"/>
    <w:rsid w:val="00FD5668"/>
    <w:rsid w:val="00FD5B8F"/>
    <w:rsid w:val="00FD5CC2"/>
    <w:rsid w:val="00FD6F7A"/>
    <w:rsid w:val="00FD70B7"/>
    <w:rsid w:val="00FE07DC"/>
    <w:rsid w:val="00FE0E97"/>
    <w:rsid w:val="00FE1B0B"/>
    <w:rsid w:val="00FE2010"/>
    <w:rsid w:val="00FE3093"/>
    <w:rsid w:val="00FE3A1F"/>
    <w:rsid w:val="00FE42B3"/>
    <w:rsid w:val="00FE4318"/>
    <w:rsid w:val="00FE486E"/>
    <w:rsid w:val="00FE4960"/>
    <w:rsid w:val="00FE5282"/>
    <w:rsid w:val="00FE5852"/>
    <w:rsid w:val="00FE6BCC"/>
    <w:rsid w:val="00FE6E15"/>
    <w:rsid w:val="00FF0FF2"/>
    <w:rsid w:val="00FF4396"/>
    <w:rsid w:val="00FF63B7"/>
    <w:rsid w:val="00FF70DA"/>
    <w:rsid w:val="00FF78F5"/>
    <w:rsid w:val="010E5696"/>
    <w:rsid w:val="01626B53"/>
    <w:rsid w:val="0174373F"/>
    <w:rsid w:val="019D0D4E"/>
    <w:rsid w:val="01AE3E20"/>
    <w:rsid w:val="01B46088"/>
    <w:rsid w:val="01DC5017"/>
    <w:rsid w:val="01F163C9"/>
    <w:rsid w:val="01F86CD9"/>
    <w:rsid w:val="01FA4A36"/>
    <w:rsid w:val="02BD75DA"/>
    <w:rsid w:val="032D5807"/>
    <w:rsid w:val="03323E00"/>
    <w:rsid w:val="038E5D6A"/>
    <w:rsid w:val="042B3B79"/>
    <w:rsid w:val="04436538"/>
    <w:rsid w:val="04543007"/>
    <w:rsid w:val="046248DD"/>
    <w:rsid w:val="047A5F30"/>
    <w:rsid w:val="04850C58"/>
    <w:rsid w:val="049C395B"/>
    <w:rsid w:val="04C04179"/>
    <w:rsid w:val="04E51A50"/>
    <w:rsid w:val="051C683A"/>
    <w:rsid w:val="052976B2"/>
    <w:rsid w:val="05381FCB"/>
    <w:rsid w:val="053C7B1C"/>
    <w:rsid w:val="057A69D0"/>
    <w:rsid w:val="058D7738"/>
    <w:rsid w:val="05A453FD"/>
    <w:rsid w:val="05DD06BF"/>
    <w:rsid w:val="063230FA"/>
    <w:rsid w:val="06376816"/>
    <w:rsid w:val="06420522"/>
    <w:rsid w:val="06456265"/>
    <w:rsid w:val="06AF5446"/>
    <w:rsid w:val="07286F7A"/>
    <w:rsid w:val="07300E40"/>
    <w:rsid w:val="075A6102"/>
    <w:rsid w:val="076100A5"/>
    <w:rsid w:val="07626DA1"/>
    <w:rsid w:val="07B90CB8"/>
    <w:rsid w:val="07D71FC9"/>
    <w:rsid w:val="080F6B2A"/>
    <w:rsid w:val="082425D6"/>
    <w:rsid w:val="085D471C"/>
    <w:rsid w:val="0860719C"/>
    <w:rsid w:val="08701E49"/>
    <w:rsid w:val="087C2D0C"/>
    <w:rsid w:val="089F40EA"/>
    <w:rsid w:val="08AC212E"/>
    <w:rsid w:val="08B24BE2"/>
    <w:rsid w:val="08D90F17"/>
    <w:rsid w:val="08FF1EC1"/>
    <w:rsid w:val="0901557E"/>
    <w:rsid w:val="092E2FE0"/>
    <w:rsid w:val="09537575"/>
    <w:rsid w:val="097222FA"/>
    <w:rsid w:val="0A0F3E6F"/>
    <w:rsid w:val="0A2F09F2"/>
    <w:rsid w:val="0A363A77"/>
    <w:rsid w:val="0A5371A2"/>
    <w:rsid w:val="0A5C2E67"/>
    <w:rsid w:val="0A602BE0"/>
    <w:rsid w:val="0AE11A17"/>
    <w:rsid w:val="0AE4097E"/>
    <w:rsid w:val="0B7E6990"/>
    <w:rsid w:val="0B9423AE"/>
    <w:rsid w:val="0BA0151F"/>
    <w:rsid w:val="0BC36EC6"/>
    <w:rsid w:val="0BD9117A"/>
    <w:rsid w:val="0BE564B2"/>
    <w:rsid w:val="0C216945"/>
    <w:rsid w:val="0C2B431C"/>
    <w:rsid w:val="0C4704C8"/>
    <w:rsid w:val="0C5B1DF9"/>
    <w:rsid w:val="0C6F5DE9"/>
    <w:rsid w:val="0C8106BD"/>
    <w:rsid w:val="0CEE7F87"/>
    <w:rsid w:val="0CF53CF7"/>
    <w:rsid w:val="0CFF0F1B"/>
    <w:rsid w:val="0D0221EE"/>
    <w:rsid w:val="0D3C24B4"/>
    <w:rsid w:val="0D435E90"/>
    <w:rsid w:val="0D5154EF"/>
    <w:rsid w:val="0D606449"/>
    <w:rsid w:val="0D6239F2"/>
    <w:rsid w:val="0D781A90"/>
    <w:rsid w:val="0D7B416C"/>
    <w:rsid w:val="0D8458C4"/>
    <w:rsid w:val="0D892EDB"/>
    <w:rsid w:val="0DAD4990"/>
    <w:rsid w:val="0DBD642E"/>
    <w:rsid w:val="0DC205CB"/>
    <w:rsid w:val="0E0C334B"/>
    <w:rsid w:val="0E314937"/>
    <w:rsid w:val="0E895501"/>
    <w:rsid w:val="0F2E3D3A"/>
    <w:rsid w:val="0F342204"/>
    <w:rsid w:val="0F6E4B38"/>
    <w:rsid w:val="0FCA5C57"/>
    <w:rsid w:val="0FD87D1E"/>
    <w:rsid w:val="0FE22C74"/>
    <w:rsid w:val="0FE74F56"/>
    <w:rsid w:val="10255155"/>
    <w:rsid w:val="104444E2"/>
    <w:rsid w:val="105677E7"/>
    <w:rsid w:val="10622BDB"/>
    <w:rsid w:val="107D6D94"/>
    <w:rsid w:val="1082418B"/>
    <w:rsid w:val="10B95885"/>
    <w:rsid w:val="10C677A3"/>
    <w:rsid w:val="10D14AD3"/>
    <w:rsid w:val="10E4394C"/>
    <w:rsid w:val="1105715F"/>
    <w:rsid w:val="11620719"/>
    <w:rsid w:val="11685235"/>
    <w:rsid w:val="116D7D5F"/>
    <w:rsid w:val="11F03528"/>
    <w:rsid w:val="11F528ED"/>
    <w:rsid w:val="126921C7"/>
    <w:rsid w:val="126B0E01"/>
    <w:rsid w:val="126E111B"/>
    <w:rsid w:val="12AD1419"/>
    <w:rsid w:val="12CB28F5"/>
    <w:rsid w:val="13051255"/>
    <w:rsid w:val="138E76DC"/>
    <w:rsid w:val="13DD188A"/>
    <w:rsid w:val="13E12486"/>
    <w:rsid w:val="141C0605"/>
    <w:rsid w:val="14342428"/>
    <w:rsid w:val="14AC6217"/>
    <w:rsid w:val="14F6229E"/>
    <w:rsid w:val="14FB26F4"/>
    <w:rsid w:val="14FE77F3"/>
    <w:rsid w:val="15060613"/>
    <w:rsid w:val="15221E3A"/>
    <w:rsid w:val="154D4A17"/>
    <w:rsid w:val="155557FF"/>
    <w:rsid w:val="15704718"/>
    <w:rsid w:val="15A82B94"/>
    <w:rsid w:val="15B236F4"/>
    <w:rsid w:val="15B37A8E"/>
    <w:rsid w:val="160B6B83"/>
    <w:rsid w:val="161F5ABA"/>
    <w:rsid w:val="16574136"/>
    <w:rsid w:val="16A662BC"/>
    <w:rsid w:val="16BB333D"/>
    <w:rsid w:val="16BE1DD9"/>
    <w:rsid w:val="16D9538A"/>
    <w:rsid w:val="16E8315C"/>
    <w:rsid w:val="170B4961"/>
    <w:rsid w:val="17201528"/>
    <w:rsid w:val="17637CEB"/>
    <w:rsid w:val="178C5AA1"/>
    <w:rsid w:val="17B505D4"/>
    <w:rsid w:val="17B74982"/>
    <w:rsid w:val="1835515B"/>
    <w:rsid w:val="18397E11"/>
    <w:rsid w:val="184A48C2"/>
    <w:rsid w:val="189D63F5"/>
    <w:rsid w:val="18ED1C9E"/>
    <w:rsid w:val="190B21DB"/>
    <w:rsid w:val="19170715"/>
    <w:rsid w:val="192F64DD"/>
    <w:rsid w:val="194C04E1"/>
    <w:rsid w:val="19E41BC5"/>
    <w:rsid w:val="19EF24A3"/>
    <w:rsid w:val="1A247A3F"/>
    <w:rsid w:val="1A2C6C3F"/>
    <w:rsid w:val="1A4B3BA6"/>
    <w:rsid w:val="1AD10F75"/>
    <w:rsid w:val="1AE40808"/>
    <w:rsid w:val="1AE62D53"/>
    <w:rsid w:val="1B0B186F"/>
    <w:rsid w:val="1B346776"/>
    <w:rsid w:val="1B735B56"/>
    <w:rsid w:val="1B7A60F8"/>
    <w:rsid w:val="1B8527B2"/>
    <w:rsid w:val="1B89275B"/>
    <w:rsid w:val="1BC67C98"/>
    <w:rsid w:val="1BD139B4"/>
    <w:rsid w:val="1BE7774A"/>
    <w:rsid w:val="1BF52E59"/>
    <w:rsid w:val="1C5F5D95"/>
    <w:rsid w:val="1C6F058D"/>
    <w:rsid w:val="1C896BB6"/>
    <w:rsid w:val="1C977D7B"/>
    <w:rsid w:val="1CB304A3"/>
    <w:rsid w:val="1CCE26B8"/>
    <w:rsid w:val="1CD54701"/>
    <w:rsid w:val="1D1225A8"/>
    <w:rsid w:val="1D1C78C7"/>
    <w:rsid w:val="1D355362"/>
    <w:rsid w:val="1D5E3FFC"/>
    <w:rsid w:val="1D864D41"/>
    <w:rsid w:val="1DAE38D8"/>
    <w:rsid w:val="1E3B2743"/>
    <w:rsid w:val="1E57048B"/>
    <w:rsid w:val="1E7E69ED"/>
    <w:rsid w:val="1E854FF8"/>
    <w:rsid w:val="1E8570CD"/>
    <w:rsid w:val="1EDD6BE3"/>
    <w:rsid w:val="1F174A1E"/>
    <w:rsid w:val="1F2F1EB3"/>
    <w:rsid w:val="1FCB42F1"/>
    <w:rsid w:val="1FDB69D0"/>
    <w:rsid w:val="1FE36AFF"/>
    <w:rsid w:val="1FEB4978"/>
    <w:rsid w:val="201400DE"/>
    <w:rsid w:val="205D3318"/>
    <w:rsid w:val="20855764"/>
    <w:rsid w:val="208A48AF"/>
    <w:rsid w:val="21020436"/>
    <w:rsid w:val="21061A7D"/>
    <w:rsid w:val="214B6D4C"/>
    <w:rsid w:val="2151118D"/>
    <w:rsid w:val="215F5BE0"/>
    <w:rsid w:val="21CD4264"/>
    <w:rsid w:val="222114DC"/>
    <w:rsid w:val="22267EB4"/>
    <w:rsid w:val="226D3838"/>
    <w:rsid w:val="22A66DD9"/>
    <w:rsid w:val="230D1CDB"/>
    <w:rsid w:val="231F4CDC"/>
    <w:rsid w:val="232655FA"/>
    <w:rsid w:val="23315AF9"/>
    <w:rsid w:val="238166D6"/>
    <w:rsid w:val="23835A7C"/>
    <w:rsid w:val="238C6AA0"/>
    <w:rsid w:val="23963513"/>
    <w:rsid w:val="23A24F92"/>
    <w:rsid w:val="23A77FB9"/>
    <w:rsid w:val="23BC3C4C"/>
    <w:rsid w:val="23C156D9"/>
    <w:rsid w:val="23DA6465"/>
    <w:rsid w:val="24092228"/>
    <w:rsid w:val="240F4221"/>
    <w:rsid w:val="243C4EE7"/>
    <w:rsid w:val="24B96596"/>
    <w:rsid w:val="24EE78E3"/>
    <w:rsid w:val="25005972"/>
    <w:rsid w:val="251757B5"/>
    <w:rsid w:val="254B6F9C"/>
    <w:rsid w:val="256E476E"/>
    <w:rsid w:val="257D7D50"/>
    <w:rsid w:val="25DD2D13"/>
    <w:rsid w:val="25EB31C7"/>
    <w:rsid w:val="25FC1810"/>
    <w:rsid w:val="26233A75"/>
    <w:rsid w:val="2631511F"/>
    <w:rsid w:val="26B41C42"/>
    <w:rsid w:val="26B4326C"/>
    <w:rsid w:val="26C52DB4"/>
    <w:rsid w:val="270C62B7"/>
    <w:rsid w:val="273E2BAA"/>
    <w:rsid w:val="27897EAC"/>
    <w:rsid w:val="27C12B1E"/>
    <w:rsid w:val="27D75D62"/>
    <w:rsid w:val="27E82228"/>
    <w:rsid w:val="281E0FA3"/>
    <w:rsid w:val="281F54B0"/>
    <w:rsid w:val="28285372"/>
    <w:rsid w:val="284401AC"/>
    <w:rsid w:val="28681B24"/>
    <w:rsid w:val="288973A9"/>
    <w:rsid w:val="28A010C9"/>
    <w:rsid w:val="28B91254"/>
    <w:rsid w:val="28C54CEF"/>
    <w:rsid w:val="28E721F3"/>
    <w:rsid w:val="29082CA1"/>
    <w:rsid w:val="292A488A"/>
    <w:rsid w:val="29463B57"/>
    <w:rsid w:val="294C0355"/>
    <w:rsid w:val="29B074E1"/>
    <w:rsid w:val="2A874691"/>
    <w:rsid w:val="2A907835"/>
    <w:rsid w:val="2A943CC0"/>
    <w:rsid w:val="2ABF11E3"/>
    <w:rsid w:val="2ACB3B4E"/>
    <w:rsid w:val="2ACF13EC"/>
    <w:rsid w:val="2AF73378"/>
    <w:rsid w:val="2B3F2FAE"/>
    <w:rsid w:val="2BD01D89"/>
    <w:rsid w:val="2BD245C5"/>
    <w:rsid w:val="2C1350D6"/>
    <w:rsid w:val="2C293467"/>
    <w:rsid w:val="2C2A50C3"/>
    <w:rsid w:val="2C6A3201"/>
    <w:rsid w:val="2C78282C"/>
    <w:rsid w:val="2CAC60C7"/>
    <w:rsid w:val="2CDE4518"/>
    <w:rsid w:val="2CE04C68"/>
    <w:rsid w:val="2D356355"/>
    <w:rsid w:val="2D362207"/>
    <w:rsid w:val="2D5F4A20"/>
    <w:rsid w:val="2D621327"/>
    <w:rsid w:val="2D8F345C"/>
    <w:rsid w:val="2DBD5646"/>
    <w:rsid w:val="2E3D769E"/>
    <w:rsid w:val="2E7A41EA"/>
    <w:rsid w:val="2EC92CDF"/>
    <w:rsid w:val="2EFE6560"/>
    <w:rsid w:val="2F6F69AC"/>
    <w:rsid w:val="2FBB16B0"/>
    <w:rsid w:val="301F3FBF"/>
    <w:rsid w:val="302F2F6D"/>
    <w:rsid w:val="30335214"/>
    <w:rsid w:val="304836C1"/>
    <w:rsid w:val="30536D05"/>
    <w:rsid w:val="3071362F"/>
    <w:rsid w:val="30760C45"/>
    <w:rsid w:val="30892C1C"/>
    <w:rsid w:val="30921EB7"/>
    <w:rsid w:val="30AC6B42"/>
    <w:rsid w:val="30B1442C"/>
    <w:rsid w:val="30C776BF"/>
    <w:rsid w:val="30D756AA"/>
    <w:rsid w:val="30F2476F"/>
    <w:rsid w:val="3103089F"/>
    <w:rsid w:val="31362D6B"/>
    <w:rsid w:val="313F3AC8"/>
    <w:rsid w:val="31561DC2"/>
    <w:rsid w:val="31587D17"/>
    <w:rsid w:val="31B9528D"/>
    <w:rsid w:val="32236BAB"/>
    <w:rsid w:val="324E337C"/>
    <w:rsid w:val="326948AF"/>
    <w:rsid w:val="329D10E8"/>
    <w:rsid w:val="32DA54BB"/>
    <w:rsid w:val="32DE750E"/>
    <w:rsid w:val="32F855B5"/>
    <w:rsid w:val="3349746F"/>
    <w:rsid w:val="33570213"/>
    <w:rsid w:val="335950CE"/>
    <w:rsid w:val="3385504C"/>
    <w:rsid w:val="33C4414A"/>
    <w:rsid w:val="33DB5232"/>
    <w:rsid w:val="34271086"/>
    <w:rsid w:val="344953EF"/>
    <w:rsid w:val="346A57CF"/>
    <w:rsid w:val="346C7B0F"/>
    <w:rsid w:val="349D311B"/>
    <w:rsid w:val="34B04E03"/>
    <w:rsid w:val="34D113BF"/>
    <w:rsid w:val="35025B4E"/>
    <w:rsid w:val="350607CF"/>
    <w:rsid w:val="35243365"/>
    <w:rsid w:val="355D168E"/>
    <w:rsid w:val="35F52453"/>
    <w:rsid w:val="361D49DB"/>
    <w:rsid w:val="36237179"/>
    <w:rsid w:val="36243D90"/>
    <w:rsid w:val="363A7D94"/>
    <w:rsid w:val="36911E34"/>
    <w:rsid w:val="36AA678B"/>
    <w:rsid w:val="36AC27D3"/>
    <w:rsid w:val="36BA2A68"/>
    <w:rsid w:val="36BF217E"/>
    <w:rsid w:val="36C40918"/>
    <w:rsid w:val="36E17189"/>
    <w:rsid w:val="377C31ED"/>
    <w:rsid w:val="37B76730"/>
    <w:rsid w:val="37EB66C5"/>
    <w:rsid w:val="38083D4D"/>
    <w:rsid w:val="38415191"/>
    <w:rsid w:val="384777C9"/>
    <w:rsid w:val="384B725E"/>
    <w:rsid w:val="388D2155"/>
    <w:rsid w:val="38BF79AF"/>
    <w:rsid w:val="38C25E1F"/>
    <w:rsid w:val="38E56968"/>
    <w:rsid w:val="390C04FB"/>
    <w:rsid w:val="39126893"/>
    <w:rsid w:val="39225E20"/>
    <w:rsid w:val="394E2064"/>
    <w:rsid w:val="396D7B59"/>
    <w:rsid w:val="39737081"/>
    <w:rsid w:val="39775B4F"/>
    <w:rsid w:val="39DA2245"/>
    <w:rsid w:val="3A0E30E1"/>
    <w:rsid w:val="3A232E56"/>
    <w:rsid w:val="3A246874"/>
    <w:rsid w:val="3A451DB4"/>
    <w:rsid w:val="3A5164BC"/>
    <w:rsid w:val="3A844255"/>
    <w:rsid w:val="3AD16EAD"/>
    <w:rsid w:val="3AE13BA3"/>
    <w:rsid w:val="3AE37060"/>
    <w:rsid w:val="3AF16D0C"/>
    <w:rsid w:val="3B356014"/>
    <w:rsid w:val="3B585B17"/>
    <w:rsid w:val="3B81506E"/>
    <w:rsid w:val="3BB82A4F"/>
    <w:rsid w:val="3C467B34"/>
    <w:rsid w:val="3C4F6F1A"/>
    <w:rsid w:val="3C6E6CA8"/>
    <w:rsid w:val="3C727183"/>
    <w:rsid w:val="3CCD73A0"/>
    <w:rsid w:val="3CDD0E31"/>
    <w:rsid w:val="3D521BBB"/>
    <w:rsid w:val="3D7B41AB"/>
    <w:rsid w:val="3DA42C53"/>
    <w:rsid w:val="3DBA03C3"/>
    <w:rsid w:val="3DBB413B"/>
    <w:rsid w:val="3DD04573"/>
    <w:rsid w:val="3E173A67"/>
    <w:rsid w:val="3E175815"/>
    <w:rsid w:val="3E1D0952"/>
    <w:rsid w:val="3E36420B"/>
    <w:rsid w:val="3E401054"/>
    <w:rsid w:val="3E6A3919"/>
    <w:rsid w:val="3E806871"/>
    <w:rsid w:val="3E90783C"/>
    <w:rsid w:val="3E972AC4"/>
    <w:rsid w:val="3EA53237"/>
    <w:rsid w:val="3EAD35EA"/>
    <w:rsid w:val="3EAF1EF2"/>
    <w:rsid w:val="3EB24FDA"/>
    <w:rsid w:val="3ECD2378"/>
    <w:rsid w:val="3F072F70"/>
    <w:rsid w:val="3F4072EF"/>
    <w:rsid w:val="3F6B5F95"/>
    <w:rsid w:val="3F83115D"/>
    <w:rsid w:val="3F9877AE"/>
    <w:rsid w:val="3FB3686C"/>
    <w:rsid w:val="3FC400FB"/>
    <w:rsid w:val="3FC4377B"/>
    <w:rsid w:val="3FFB5424"/>
    <w:rsid w:val="400B5621"/>
    <w:rsid w:val="404A7B1C"/>
    <w:rsid w:val="404F3A05"/>
    <w:rsid w:val="405D597D"/>
    <w:rsid w:val="406D5519"/>
    <w:rsid w:val="4080460B"/>
    <w:rsid w:val="40AE126B"/>
    <w:rsid w:val="4103386A"/>
    <w:rsid w:val="412215CE"/>
    <w:rsid w:val="412A5860"/>
    <w:rsid w:val="413004E0"/>
    <w:rsid w:val="416A2100"/>
    <w:rsid w:val="41A36AAD"/>
    <w:rsid w:val="41EB7B90"/>
    <w:rsid w:val="420C65B6"/>
    <w:rsid w:val="42324F5C"/>
    <w:rsid w:val="428300E1"/>
    <w:rsid w:val="42A037E5"/>
    <w:rsid w:val="42EF2FFB"/>
    <w:rsid w:val="42F9124E"/>
    <w:rsid w:val="430C1574"/>
    <w:rsid w:val="4383394D"/>
    <w:rsid w:val="44460732"/>
    <w:rsid w:val="444E5B21"/>
    <w:rsid w:val="44525938"/>
    <w:rsid w:val="4454306E"/>
    <w:rsid w:val="44676260"/>
    <w:rsid w:val="44B02B9F"/>
    <w:rsid w:val="44CF70FB"/>
    <w:rsid w:val="44E438D8"/>
    <w:rsid w:val="44FC5765"/>
    <w:rsid w:val="451718A9"/>
    <w:rsid w:val="45475975"/>
    <w:rsid w:val="457810EA"/>
    <w:rsid w:val="458624A4"/>
    <w:rsid w:val="45900801"/>
    <w:rsid w:val="45B47DEE"/>
    <w:rsid w:val="45BA21C9"/>
    <w:rsid w:val="45CA24F9"/>
    <w:rsid w:val="45E77CDD"/>
    <w:rsid w:val="45F224AE"/>
    <w:rsid w:val="461B7B9A"/>
    <w:rsid w:val="464D62FF"/>
    <w:rsid w:val="4654512D"/>
    <w:rsid w:val="467A6DFA"/>
    <w:rsid w:val="46A529F0"/>
    <w:rsid w:val="46A936CA"/>
    <w:rsid w:val="46CC27BE"/>
    <w:rsid w:val="46F91A49"/>
    <w:rsid w:val="47105DE6"/>
    <w:rsid w:val="471346C8"/>
    <w:rsid w:val="47226A19"/>
    <w:rsid w:val="479A3E84"/>
    <w:rsid w:val="47A67A84"/>
    <w:rsid w:val="47C53BAE"/>
    <w:rsid w:val="47C85DD2"/>
    <w:rsid w:val="47CC0351"/>
    <w:rsid w:val="47DC362C"/>
    <w:rsid w:val="47F67230"/>
    <w:rsid w:val="47F856FE"/>
    <w:rsid w:val="480577D4"/>
    <w:rsid w:val="480A293F"/>
    <w:rsid w:val="480D0986"/>
    <w:rsid w:val="480D5EFE"/>
    <w:rsid w:val="48F51F3E"/>
    <w:rsid w:val="48FB536F"/>
    <w:rsid w:val="49153331"/>
    <w:rsid w:val="497E5146"/>
    <w:rsid w:val="49A17548"/>
    <w:rsid w:val="49B410A5"/>
    <w:rsid w:val="4A0C2857"/>
    <w:rsid w:val="4A0F515D"/>
    <w:rsid w:val="4A3E6EFF"/>
    <w:rsid w:val="4A465413"/>
    <w:rsid w:val="4A604B4B"/>
    <w:rsid w:val="4AA337A1"/>
    <w:rsid w:val="4AA35AC8"/>
    <w:rsid w:val="4AB4243D"/>
    <w:rsid w:val="4ABA5EC7"/>
    <w:rsid w:val="4ABF5254"/>
    <w:rsid w:val="4AD82D6E"/>
    <w:rsid w:val="4AEF1E05"/>
    <w:rsid w:val="4AF7450C"/>
    <w:rsid w:val="4B093589"/>
    <w:rsid w:val="4B1550AF"/>
    <w:rsid w:val="4B9708F0"/>
    <w:rsid w:val="4BF64119"/>
    <w:rsid w:val="4C2A2BB8"/>
    <w:rsid w:val="4C373992"/>
    <w:rsid w:val="4C6A79BF"/>
    <w:rsid w:val="4C734E77"/>
    <w:rsid w:val="4CE82EB3"/>
    <w:rsid w:val="4D4B7289"/>
    <w:rsid w:val="4D4F199A"/>
    <w:rsid w:val="4D7F5185"/>
    <w:rsid w:val="4D9840DD"/>
    <w:rsid w:val="4DA8648A"/>
    <w:rsid w:val="4DCE278A"/>
    <w:rsid w:val="4DF45FCC"/>
    <w:rsid w:val="4DF52C71"/>
    <w:rsid w:val="4DF728B5"/>
    <w:rsid w:val="4E2F36C7"/>
    <w:rsid w:val="4E315B47"/>
    <w:rsid w:val="4E5036AA"/>
    <w:rsid w:val="4E7561CB"/>
    <w:rsid w:val="4EC062F0"/>
    <w:rsid w:val="4EFE2C71"/>
    <w:rsid w:val="4F1C5C5E"/>
    <w:rsid w:val="4F344AEC"/>
    <w:rsid w:val="4F711F6A"/>
    <w:rsid w:val="4F9273F2"/>
    <w:rsid w:val="4FDA228F"/>
    <w:rsid w:val="5030251E"/>
    <w:rsid w:val="50CD4DED"/>
    <w:rsid w:val="50D34C97"/>
    <w:rsid w:val="51155AAA"/>
    <w:rsid w:val="51321A00"/>
    <w:rsid w:val="513A1AEF"/>
    <w:rsid w:val="516E3AAF"/>
    <w:rsid w:val="517C4A52"/>
    <w:rsid w:val="51B22FE9"/>
    <w:rsid w:val="51FF063D"/>
    <w:rsid w:val="520F5DB3"/>
    <w:rsid w:val="521710D8"/>
    <w:rsid w:val="524023D1"/>
    <w:rsid w:val="5245703B"/>
    <w:rsid w:val="527E7795"/>
    <w:rsid w:val="529F663A"/>
    <w:rsid w:val="52C32399"/>
    <w:rsid w:val="52DF094D"/>
    <w:rsid w:val="53096517"/>
    <w:rsid w:val="53135B7C"/>
    <w:rsid w:val="53623FBA"/>
    <w:rsid w:val="536C77C1"/>
    <w:rsid w:val="536F35A6"/>
    <w:rsid w:val="53791642"/>
    <w:rsid w:val="538A617F"/>
    <w:rsid w:val="53AF3C6E"/>
    <w:rsid w:val="53C5766A"/>
    <w:rsid w:val="53FE6481"/>
    <w:rsid w:val="541B2B97"/>
    <w:rsid w:val="54271A79"/>
    <w:rsid w:val="54420D1F"/>
    <w:rsid w:val="544F28E2"/>
    <w:rsid w:val="548B2B3A"/>
    <w:rsid w:val="549E0D26"/>
    <w:rsid w:val="54A14421"/>
    <w:rsid w:val="54B472D7"/>
    <w:rsid w:val="54C227C1"/>
    <w:rsid w:val="54F63DFC"/>
    <w:rsid w:val="550A5C7C"/>
    <w:rsid w:val="5518491A"/>
    <w:rsid w:val="55431D00"/>
    <w:rsid w:val="555667CB"/>
    <w:rsid w:val="557F23BD"/>
    <w:rsid w:val="55C22736"/>
    <w:rsid w:val="55D23A58"/>
    <w:rsid w:val="55ED222F"/>
    <w:rsid w:val="55F02A8A"/>
    <w:rsid w:val="56323ED3"/>
    <w:rsid w:val="56772285"/>
    <w:rsid w:val="56876E58"/>
    <w:rsid w:val="56934C42"/>
    <w:rsid w:val="56963DC0"/>
    <w:rsid w:val="56965C3A"/>
    <w:rsid w:val="569F1853"/>
    <w:rsid w:val="56DD6947"/>
    <w:rsid w:val="57233025"/>
    <w:rsid w:val="575B1B63"/>
    <w:rsid w:val="578D696F"/>
    <w:rsid w:val="579641C9"/>
    <w:rsid w:val="57DE5B75"/>
    <w:rsid w:val="582B71E7"/>
    <w:rsid w:val="582F122A"/>
    <w:rsid w:val="583540BF"/>
    <w:rsid w:val="583C65CF"/>
    <w:rsid w:val="58613E05"/>
    <w:rsid w:val="5878571C"/>
    <w:rsid w:val="58804C8F"/>
    <w:rsid w:val="58981F3E"/>
    <w:rsid w:val="589F5DE5"/>
    <w:rsid w:val="589F65B2"/>
    <w:rsid w:val="58C27638"/>
    <w:rsid w:val="58E25EA7"/>
    <w:rsid w:val="58F171E7"/>
    <w:rsid w:val="59167129"/>
    <w:rsid w:val="591C2872"/>
    <w:rsid w:val="5939753D"/>
    <w:rsid w:val="594405D9"/>
    <w:rsid w:val="596A3912"/>
    <w:rsid w:val="598F04FE"/>
    <w:rsid w:val="59A656DD"/>
    <w:rsid w:val="59D92FEC"/>
    <w:rsid w:val="59E65100"/>
    <w:rsid w:val="59E832FB"/>
    <w:rsid w:val="5A0365DE"/>
    <w:rsid w:val="5A0A466B"/>
    <w:rsid w:val="5A150B3E"/>
    <w:rsid w:val="5A175AEF"/>
    <w:rsid w:val="5A1E2CA8"/>
    <w:rsid w:val="5A3E0115"/>
    <w:rsid w:val="5A45433F"/>
    <w:rsid w:val="5A702DFA"/>
    <w:rsid w:val="5A7F4A16"/>
    <w:rsid w:val="5B171251"/>
    <w:rsid w:val="5B8A1EDA"/>
    <w:rsid w:val="5BAA161F"/>
    <w:rsid w:val="5BB77C09"/>
    <w:rsid w:val="5BC326E1"/>
    <w:rsid w:val="5BF36FF5"/>
    <w:rsid w:val="5BF647E4"/>
    <w:rsid w:val="5C375245"/>
    <w:rsid w:val="5CC139CA"/>
    <w:rsid w:val="5CDB7064"/>
    <w:rsid w:val="5CE54204"/>
    <w:rsid w:val="5CEB0141"/>
    <w:rsid w:val="5DE27796"/>
    <w:rsid w:val="5E3F1A16"/>
    <w:rsid w:val="5E5E6F76"/>
    <w:rsid w:val="5E9319E4"/>
    <w:rsid w:val="5EA905CB"/>
    <w:rsid w:val="5EB033F0"/>
    <w:rsid w:val="5EB358C5"/>
    <w:rsid w:val="5EBD5B0D"/>
    <w:rsid w:val="5ECF141F"/>
    <w:rsid w:val="5EE04DB6"/>
    <w:rsid w:val="5F27114E"/>
    <w:rsid w:val="5F351B48"/>
    <w:rsid w:val="5F3C3520"/>
    <w:rsid w:val="5F4A2598"/>
    <w:rsid w:val="5FC52ECB"/>
    <w:rsid w:val="5FE84E0C"/>
    <w:rsid w:val="5FE937BA"/>
    <w:rsid w:val="5FED5F7E"/>
    <w:rsid w:val="60163D83"/>
    <w:rsid w:val="604F2F55"/>
    <w:rsid w:val="60533E89"/>
    <w:rsid w:val="609A08B8"/>
    <w:rsid w:val="60B82751"/>
    <w:rsid w:val="60C3212D"/>
    <w:rsid w:val="60C33C89"/>
    <w:rsid w:val="60CD54CD"/>
    <w:rsid w:val="60FD48E7"/>
    <w:rsid w:val="61493688"/>
    <w:rsid w:val="614D639E"/>
    <w:rsid w:val="619B7750"/>
    <w:rsid w:val="61EF7CA3"/>
    <w:rsid w:val="623F6839"/>
    <w:rsid w:val="62736998"/>
    <w:rsid w:val="629979ED"/>
    <w:rsid w:val="62D058DC"/>
    <w:rsid w:val="62F91471"/>
    <w:rsid w:val="631313CD"/>
    <w:rsid w:val="63164F1A"/>
    <w:rsid w:val="635352C0"/>
    <w:rsid w:val="635D32EF"/>
    <w:rsid w:val="63907A2F"/>
    <w:rsid w:val="63C87805"/>
    <w:rsid w:val="63C937FA"/>
    <w:rsid w:val="63CF6769"/>
    <w:rsid w:val="63D249DC"/>
    <w:rsid w:val="63E61662"/>
    <w:rsid w:val="643A5C46"/>
    <w:rsid w:val="644D348F"/>
    <w:rsid w:val="64520BF6"/>
    <w:rsid w:val="646A4041"/>
    <w:rsid w:val="64B924F5"/>
    <w:rsid w:val="64E601FB"/>
    <w:rsid w:val="64F62712"/>
    <w:rsid w:val="65586443"/>
    <w:rsid w:val="65662279"/>
    <w:rsid w:val="657A6DDE"/>
    <w:rsid w:val="65BA4488"/>
    <w:rsid w:val="65F03EFD"/>
    <w:rsid w:val="66660CD1"/>
    <w:rsid w:val="66BC04C3"/>
    <w:rsid w:val="66CA0DC7"/>
    <w:rsid w:val="66F916AD"/>
    <w:rsid w:val="67242135"/>
    <w:rsid w:val="676A4D31"/>
    <w:rsid w:val="678E0047"/>
    <w:rsid w:val="679771B9"/>
    <w:rsid w:val="67C358D0"/>
    <w:rsid w:val="67D018AD"/>
    <w:rsid w:val="67D22629"/>
    <w:rsid w:val="68070A1F"/>
    <w:rsid w:val="680D7083"/>
    <w:rsid w:val="681976D6"/>
    <w:rsid w:val="68321A7E"/>
    <w:rsid w:val="68993147"/>
    <w:rsid w:val="68E87FFD"/>
    <w:rsid w:val="68F13FB0"/>
    <w:rsid w:val="694B4DD2"/>
    <w:rsid w:val="695A6F06"/>
    <w:rsid w:val="69602DA7"/>
    <w:rsid w:val="6969189F"/>
    <w:rsid w:val="69725EDA"/>
    <w:rsid w:val="698B3A18"/>
    <w:rsid w:val="698D3F07"/>
    <w:rsid w:val="69B40F0C"/>
    <w:rsid w:val="69C52997"/>
    <w:rsid w:val="69E83A20"/>
    <w:rsid w:val="69FC1BE0"/>
    <w:rsid w:val="6A051705"/>
    <w:rsid w:val="6A0E6184"/>
    <w:rsid w:val="6A230607"/>
    <w:rsid w:val="6A231114"/>
    <w:rsid w:val="6A2E5B11"/>
    <w:rsid w:val="6A3620F7"/>
    <w:rsid w:val="6A39656C"/>
    <w:rsid w:val="6A3A636A"/>
    <w:rsid w:val="6A88688D"/>
    <w:rsid w:val="6A902A06"/>
    <w:rsid w:val="6B074CDC"/>
    <w:rsid w:val="6B140F0B"/>
    <w:rsid w:val="6B3B009A"/>
    <w:rsid w:val="6B9D361B"/>
    <w:rsid w:val="6BA845D7"/>
    <w:rsid w:val="6BD96CE0"/>
    <w:rsid w:val="6BEB400C"/>
    <w:rsid w:val="6BEC6C87"/>
    <w:rsid w:val="6C07534D"/>
    <w:rsid w:val="6C214193"/>
    <w:rsid w:val="6C2216A6"/>
    <w:rsid w:val="6CDD28D4"/>
    <w:rsid w:val="6CDF137D"/>
    <w:rsid w:val="6CED6074"/>
    <w:rsid w:val="6CF87AC0"/>
    <w:rsid w:val="6D0B1F10"/>
    <w:rsid w:val="6D50471B"/>
    <w:rsid w:val="6D655CEE"/>
    <w:rsid w:val="6D7E46BA"/>
    <w:rsid w:val="6D836174"/>
    <w:rsid w:val="6D8C0420"/>
    <w:rsid w:val="6DAC1F64"/>
    <w:rsid w:val="6DAD31F1"/>
    <w:rsid w:val="6DB27AEC"/>
    <w:rsid w:val="6DBA52B1"/>
    <w:rsid w:val="6E164C0D"/>
    <w:rsid w:val="6E192919"/>
    <w:rsid w:val="6E2608B8"/>
    <w:rsid w:val="6E742609"/>
    <w:rsid w:val="6E7C5260"/>
    <w:rsid w:val="6E922B12"/>
    <w:rsid w:val="6EC756E3"/>
    <w:rsid w:val="6ECE6145"/>
    <w:rsid w:val="6F611A51"/>
    <w:rsid w:val="6F92269E"/>
    <w:rsid w:val="6F9B2F47"/>
    <w:rsid w:val="6FB25734"/>
    <w:rsid w:val="6FFC1E5B"/>
    <w:rsid w:val="70066E7C"/>
    <w:rsid w:val="70DB67EB"/>
    <w:rsid w:val="710B2E0A"/>
    <w:rsid w:val="714E7A95"/>
    <w:rsid w:val="716B764B"/>
    <w:rsid w:val="71C03E9F"/>
    <w:rsid w:val="722021E3"/>
    <w:rsid w:val="726227FC"/>
    <w:rsid w:val="72A3414D"/>
    <w:rsid w:val="72C16BDC"/>
    <w:rsid w:val="72E158F4"/>
    <w:rsid w:val="72F15908"/>
    <w:rsid w:val="73207590"/>
    <w:rsid w:val="73397B4D"/>
    <w:rsid w:val="734E4B2E"/>
    <w:rsid w:val="739A6EA7"/>
    <w:rsid w:val="74094119"/>
    <w:rsid w:val="745D73E8"/>
    <w:rsid w:val="74784C44"/>
    <w:rsid w:val="74814C77"/>
    <w:rsid w:val="74AA4491"/>
    <w:rsid w:val="74E043A1"/>
    <w:rsid w:val="74E12CBB"/>
    <w:rsid w:val="751D6EAE"/>
    <w:rsid w:val="7534736E"/>
    <w:rsid w:val="75693BE2"/>
    <w:rsid w:val="75C34332"/>
    <w:rsid w:val="76015E27"/>
    <w:rsid w:val="762C00B9"/>
    <w:rsid w:val="763D3EB9"/>
    <w:rsid w:val="764C7A4B"/>
    <w:rsid w:val="76676633"/>
    <w:rsid w:val="76E325BB"/>
    <w:rsid w:val="7709516F"/>
    <w:rsid w:val="77282892"/>
    <w:rsid w:val="773F1043"/>
    <w:rsid w:val="77A6554C"/>
    <w:rsid w:val="77BE27E3"/>
    <w:rsid w:val="77E52505"/>
    <w:rsid w:val="77F03860"/>
    <w:rsid w:val="780140F8"/>
    <w:rsid w:val="781346D9"/>
    <w:rsid w:val="781775F6"/>
    <w:rsid w:val="78610198"/>
    <w:rsid w:val="78A21633"/>
    <w:rsid w:val="78CE28C6"/>
    <w:rsid w:val="791C10AE"/>
    <w:rsid w:val="791F1447"/>
    <w:rsid w:val="79326F37"/>
    <w:rsid w:val="795F3AA4"/>
    <w:rsid w:val="797274F3"/>
    <w:rsid w:val="799D592F"/>
    <w:rsid w:val="79F34D06"/>
    <w:rsid w:val="7A2050EF"/>
    <w:rsid w:val="7A2E2612"/>
    <w:rsid w:val="7A7305C9"/>
    <w:rsid w:val="7A9838BA"/>
    <w:rsid w:val="7B2D6985"/>
    <w:rsid w:val="7B4145B9"/>
    <w:rsid w:val="7B9C35F7"/>
    <w:rsid w:val="7BE56600"/>
    <w:rsid w:val="7BFE17E7"/>
    <w:rsid w:val="7C5A5A9C"/>
    <w:rsid w:val="7CA57EB5"/>
    <w:rsid w:val="7D02613C"/>
    <w:rsid w:val="7D0E47B7"/>
    <w:rsid w:val="7D1B0177"/>
    <w:rsid w:val="7D4C0957"/>
    <w:rsid w:val="7D535D53"/>
    <w:rsid w:val="7D5D0601"/>
    <w:rsid w:val="7DA708AC"/>
    <w:rsid w:val="7DE95B7F"/>
    <w:rsid w:val="7E334C9F"/>
    <w:rsid w:val="7E6028D7"/>
    <w:rsid w:val="7E692E90"/>
    <w:rsid w:val="7E6D26E9"/>
    <w:rsid w:val="7F497047"/>
    <w:rsid w:val="7F913951"/>
    <w:rsid w:val="7FEB4BD4"/>
    <w:rsid w:val="7FED7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semiHidden="0"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Calibri" w:hAnsi="Calibri" w:eastAsia="宋体" w:cs="Times New Roman"/>
      <w:sz w:val="22"/>
      <w:szCs w:val="22"/>
      <w:lang w:val="en-US" w:eastAsia="en-US" w:bidi="ar-SA"/>
    </w:rPr>
  </w:style>
  <w:style w:type="paragraph" w:styleId="4">
    <w:name w:val="heading 1"/>
    <w:basedOn w:val="1"/>
    <w:next w:val="1"/>
    <w:qFormat/>
    <w:uiPriority w:val="1"/>
    <w:pPr>
      <w:ind w:left="2372"/>
      <w:outlineLvl w:val="0"/>
    </w:pPr>
    <w:rPr>
      <w:rFonts w:ascii="微软雅黑" w:hAnsi="微软雅黑" w:eastAsia="微软雅黑"/>
      <w:sz w:val="38"/>
      <w:szCs w:val="38"/>
    </w:rPr>
  </w:style>
  <w:style w:type="paragraph" w:styleId="5">
    <w:name w:val="heading 2"/>
    <w:basedOn w:val="1"/>
    <w:next w:val="1"/>
    <w:qFormat/>
    <w:uiPriority w:val="1"/>
    <w:pPr>
      <w:ind w:left="890"/>
      <w:outlineLvl w:val="1"/>
    </w:pPr>
    <w:rPr>
      <w:rFonts w:ascii="微软雅黑" w:hAnsi="微软雅黑" w:eastAsia="微软雅黑"/>
      <w:sz w:val="36"/>
      <w:szCs w:val="36"/>
    </w:rPr>
  </w:style>
  <w:style w:type="paragraph" w:styleId="6">
    <w:name w:val="heading 3"/>
    <w:basedOn w:val="1"/>
    <w:next w:val="1"/>
    <w:unhideWhenUsed/>
    <w:qFormat/>
    <w:uiPriority w:val="9"/>
    <w:pPr>
      <w:spacing w:before="100" w:beforeAutospacing="1" w:after="100" w:afterAutospacing="1"/>
      <w:outlineLvl w:val="2"/>
    </w:pPr>
    <w:rPr>
      <w:rFonts w:hint="eastAsia" w:ascii="宋体" w:hAnsi="宋体"/>
      <w:b/>
      <w:bCs/>
      <w:sz w:val="27"/>
      <w:szCs w:val="27"/>
      <w:lang w:eastAsia="zh-CN"/>
    </w:rPr>
  </w:style>
  <w:style w:type="paragraph" w:styleId="7">
    <w:name w:val="heading 4"/>
    <w:basedOn w:val="1"/>
    <w:next w:val="1"/>
    <w:unhideWhenUsed/>
    <w:qFormat/>
    <w:uiPriority w:val="9"/>
    <w:pPr>
      <w:spacing w:before="100" w:beforeAutospacing="1" w:after="100" w:afterAutospacing="1"/>
      <w:outlineLvl w:val="3"/>
    </w:pPr>
    <w:rPr>
      <w:rFonts w:hint="eastAsia" w:ascii="宋体" w:hAnsi="宋体"/>
      <w:b/>
      <w:bCs/>
      <w:sz w:val="24"/>
      <w:szCs w:val="24"/>
      <w:lang w:eastAsia="zh-CN"/>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9"/>
    <w:qFormat/>
    <w:uiPriority w:val="1"/>
    <w:pPr>
      <w:spacing w:before="7"/>
      <w:ind w:left="1312"/>
    </w:pPr>
    <w:rPr>
      <w:rFonts w:ascii="黑体" w:hAnsi="黑体" w:eastAsia="黑体"/>
      <w:sz w:val="30"/>
      <w:szCs w:val="30"/>
    </w:rPr>
  </w:style>
  <w:style w:type="paragraph" w:customStyle="1" w:styleId="3">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Wonder Arial"/>
      <w:szCs w:val="21"/>
    </w:rPr>
  </w:style>
  <w:style w:type="paragraph" w:styleId="8">
    <w:name w:val="Normal Indent"/>
    <w:basedOn w:val="1"/>
    <w:next w:val="1"/>
    <w:qFormat/>
    <w:uiPriority w:val="0"/>
    <w:pPr>
      <w:adjustRightInd w:val="0"/>
      <w:spacing w:line="312" w:lineRule="auto"/>
      <w:ind w:firstLine="539"/>
    </w:pPr>
    <w:rPr>
      <w:rFonts w:ascii="方正仿宋_GB2312" w:eastAsia="方正仿宋_GB2312"/>
      <w:kern w:val="2"/>
      <w:sz w:val="28"/>
    </w:rPr>
  </w:style>
  <w:style w:type="paragraph" w:styleId="9">
    <w:name w:val="annotation text"/>
    <w:basedOn w:val="1"/>
    <w:link w:val="38"/>
    <w:unhideWhenUsed/>
    <w:qFormat/>
    <w:uiPriority w:val="99"/>
  </w:style>
  <w:style w:type="paragraph" w:styleId="10">
    <w:name w:val="Body Text Indent"/>
    <w:basedOn w:val="1"/>
    <w:next w:val="11"/>
    <w:qFormat/>
    <w:uiPriority w:val="0"/>
    <w:pPr>
      <w:spacing w:line="360" w:lineRule="auto"/>
      <w:ind w:firstLine="560" w:firstLineChars="200"/>
    </w:pPr>
    <w:rPr>
      <w:rFonts w:ascii="宋体" w:hAnsi="宋体"/>
      <w:sz w:val="28"/>
    </w:rPr>
  </w:style>
  <w:style w:type="paragraph" w:styleId="11">
    <w:name w:val="Body Text Indent 2"/>
    <w:basedOn w:val="1"/>
    <w:next w:val="12"/>
    <w:qFormat/>
    <w:uiPriority w:val="0"/>
    <w:pPr>
      <w:spacing w:line="360" w:lineRule="auto"/>
      <w:ind w:left="-2" w:leftChars="-1" w:firstLine="560" w:firstLineChars="200"/>
    </w:pPr>
    <w:rPr>
      <w:sz w:val="28"/>
    </w:rPr>
  </w:style>
  <w:style w:type="paragraph" w:styleId="12">
    <w:name w:val="Body Text First Indent 2"/>
    <w:basedOn w:val="1"/>
    <w:next w:val="13"/>
    <w:qFormat/>
    <w:uiPriority w:val="0"/>
    <w:pPr>
      <w:ind w:firstLine="420" w:firstLineChars="200"/>
    </w:pPr>
    <w:rPr>
      <w:lang w:eastAsia="zh-CN"/>
    </w:rPr>
  </w:style>
  <w:style w:type="paragraph" w:styleId="13">
    <w:name w:val="List Continue 4"/>
    <w:basedOn w:val="1"/>
    <w:next w:val="1"/>
    <w:qFormat/>
    <w:uiPriority w:val="0"/>
    <w:pPr>
      <w:spacing w:after="120"/>
      <w:ind w:left="1680" w:firstLine="480"/>
    </w:pPr>
    <w:rPr>
      <w:rFonts w:ascii="宋体"/>
      <w:sz w:val="24"/>
    </w:rPr>
  </w:style>
  <w:style w:type="paragraph" w:styleId="14">
    <w:name w:val="Block Text"/>
    <w:basedOn w:val="1"/>
    <w:unhideWhenUsed/>
    <w:qFormat/>
    <w:uiPriority w:val="0"/>
    <w:pPr>
      <w:adjustRightInd w:val="0"/>
      <w:spacing w:before="120" w:line="440" w:lineRule="exact"/>
      <w:ind w:left="284" w:right="284" w:firstLine="567"/>
      <w:jc w:val="both"/>
      <w:textAlignment w:val="baseline"/>
    </w:pPr>
    <w:rPr>
      <w:rFonts w:ascii="楷体_GB2312" w:eastAsia="楷体_GB2312"/>
      <w:spacing w:val="-2"/>
      <w:sz w:val="28"/>
      <w:szCs w:val="20"/>
      <w:lang w:eastAsia="zh-CN"/>
    </w:rPr>
  </w:style>
  <w:style w:type="paragraph" w:styleId="15">
    <w:name w:val="List Bullet 5"/>
    <w:basedOn w:val="1"/>
    <w:unhideWhenUsed/>
    <w:qFormat/>
    <w:uiPriority w:val="99"/>
    <w:pPr>
      <w:numPr>
        <w:ilvl w:val="0"/>
        <w:numId w:val="1"/>
      </w:numPr>
    </w:pPr>
  </w:style>
  <w:style w:type="paragraph" w:styleId="16">
    <w:name w:val="Balloon Text"/>
    <w:basedOn w:val="1"/>
    <w:link w:val="40"/>
    <w:unhideWhenUsed/>
    <w:qFormat/>
    <w:uiPriority w:val="99"/>
    <w:rPr>
      <w:sz w:val="18"/>
      <w:szCs w:val="18"/>
    </w:rPr>
  </w:style>
  <w:style w:type="paragraph" w:styleId="17">
    <w:name w:val="footer"/>
    <w:basedOn w:val="1"/>
    <w:link w:val="41"/>
    <w:unhideWhenUsed/>
    <w:qFormat/>
    <w:uiPriority w:val="99"/>
    <w:pPr>
      <w:tabs>
        <w:tab w:val="center" w:pos="4153"/>
        <w:tab w:val="right" w:pos="8306"/>
      </w:tabs>
      <w:snapToGrid w:val="0"/>
    </w:pPr>
    <w:rPr>
      <w:sz w:val="18"/>
      <w:szCs w:val="18"/>
    </w:rPr>
  </w:style>
  <w:style w:type="paragraph" w:styleId="18">
    <w:name w:val="header"/>
    <w:basedOn w:val="1"/>
    <w:next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List"/>
    <w:basedOn w:val="1"/>
    <w:qFormat/>
    <w:uiPriority w:val="0"/>
    <w:pPr>
      <w:ind w:left="200" w:hanging="200" w:hangingChars="200"/>
    </w:pPr>
    <w:rPr>
      <w:szCs w:val="20"/>
    </w:rPr>
  </w:style>
  <w:style w:type="paragraph" w:styleId="21">
    <w:name w:val="toc 2"/>
    <w:basedOn w:val="1"/>
    <w:next w:val="1"/>
    <w:unhideWhenUsed/>
    <w:qFormat/>
    <w:uiPriority w:val="39"/>
    <w:pPr>
      <w:ind w:left="420" w:leftChars="200"/>
    </w:pPr>
  </w:style>
  <w:style w:type="paragraph" w:styleId="22">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sz w:val="24"/>
      <w:szCs w:val="24"/>
      <w:lang w:eastAsia="zh-CN"/>
    </w:rPr>
  </w:style>
  <w:style w:type="paragraph" w:styleId="23">
    <w:name w:val="Normal (Web)"/>
    <w:basedOn w:val="1"/>
    <w:next w:val="1"/>
    <w:unhideWhenUsed/>
    <w:qFormat/>
    <w:uiPriority w:val="99"/>
    <w:pPr>
      <w:spacing w:before="100" w:beforeAutospacing="1" w:after="100" w:afterAutospacing="1"/>
    </w:pPr>
    <w:rPr>
      <w:sz w:val="24"/>
      <w:lang w:eastAsia="zh-CN"/>
    </w:rPr>
  </w:style>
  <w:style w:type="paragraph" w:styleId="24">
    <w:name w:val="annotation subject"/>
    <w:basedOn w:val="9"/>
    <w:next w:val="9"/>
    <w:link w:val="43"/>
    <w:unhideWhenUsed/>
    <w:qFormat/>
    <w:uiPriority w:val="99"/>
    <w:rPr>
      <w:b/>
      <w:bCs/>
    </w:rPr>
  </w:style>
  <w:style w:type="paragraph" w:styleId="25">
    <w:name w:val="Body Text First Indent"/>
    <w:basedOn w:val="2"/>
    <w:qFormat/>
    <w:uiPriority w:val="0"/>
    <w:pPr>
      <w:ind w:firstLine="420" w:firstLineChars="100"/>
    </w:p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basedOn w:val="28"/>
    <w:qFormat/>
    <w:uiPriority w:val="0"/>
  </w:style>
  <w:style w:type="character" w:styleId="31">
    <w:name w:val="FollowedHyperlink"/>
    <w:unhideWhenUsed/>
    <w:qFormat/>
    <w:uiPriority w:val="99"/>
    <w:rPr>
      <w:color w:val="333333"/>
      <w:u w:val="none"/>
    </w:rPr>
  </w:style>
  <w:style w:type="character" w:styleId="32">
    <w:name w:val="HTML Definition"/>
    <w:unhideWhenUsed/>
    <w:qFormat/>
    <w:uiPriority w:val="99"/>
    <w:rPr>
      <w:i/>
      <w:iCs/>
    </w:rPr>
  </w:style>
  <w:style w:type="character" w:styleId="33">
    <w:name w:val="Hyperlink"/>
    <w:unhideWhenUsed/>
    <w:qFormat/>
    <w:uiPriority w:val="99"/>
    <w:rPr>
      <w:color w:val="337AB7"/>
      <w:u w:val="single"/>
    </w:rPr>
  </w:style>
  <w:style w:type="character" w:styleId="34">
    <w:name w:val="HTML Code"/>
    <w:unhideWhenUsed/>
    <w:qFormat/>
    <w:uiPriority w:val="99"/>
    <w:rPr>
      <w:rFonts w:hint="default" w:ascii="Consolas" w:hAnsi="Consolas" w:eastAsia="Consolas" w:cs="Consolas"/>
      <w:color w:val="C7254E"/>
      <w:sz w:val="21"/>
      <w:szCs w:val="21"/>
      <w:shd w:val="clear" w:color="auto" w:fill="F9F2F4"/>
    </w:rPr>
  </w:style>
  <w:style w:type="character" w:styleId="35">
    <w:name w:val="annotation reference"/>
    <w:unhideWhenUsed/>
    <w:qFormat/>
    <w:uiPriority w:val="99"/>
    <w:rPr>
      <w:sz w:val="21"/>
      <w:szCs w:val="21"/>
    </w:rPr>
  </w:style>
  <w:style w:type="character" w:styleId="36">
    <w:name w:val="HTML Keyboard"/>
    <w:unhideWhenUsed/>
    <w:qFormat/>
    <w:uiPriority w:val="99"/>
    <w:rPr>
      <w:rFonts w:hint="default" w:ascii="Consolas" w:hAnsi="Consolas" w:eastAsia="Consolas" w:cs="Consolas"/>
      <w:color w:val="FFFFFF"/>
      <w:sz w:val="21"/>
      <w:szCs w:val="21"/>
      <w:shd w:val="clear" w:color="auto" w:fill="333333"/>
    </w:rPr>
  </w:style>
  <w:style w:type="character" w:styleId="37">
    <w:name w:val="HTML Sample"/>
    <w:unhideWhenUsed/>
    <w:qFormat/>
    <w:uiPriority w:val="99"/>
    <w:rPr>
      <w:rFonts w:ascii="Consolas" w:hAnsi="Consolas" w:eastAsia="Consolas" w:cs="Consolas"/>
      <w:sz w:val="21"/>
      <w:szCs w:val="21"/>
    </w:rPr>
  </w:style>
  <w:style w:type="character" w:customStyle="1" w:styleId="38">
    <w:name w:val="批注文字 字符"/>
    <w:link w:val="9"/>
    <w:semiHidden/>
    <w:qFormat/>
    <w:uiPriority w:val="99"/>
  </w:style>
  <w:style w:type="character" w:customStyle="1" w:styleId="39">
    <w:name w:val="正文文本 字符"/>
    <w:link w:val="2"/>
    <w:qFormat/>
    <w:uiPriority w:val="1"/>
    <w:rPr>
      <w:rFonts w:ascii="黑体" w:hAnsi="黑体" w:eastAsia="黑体"/>
      <w:sz w:val="30"/>
      <w:szCs w:val="30"/>
    </w:rPr>
  </w:style>
  <w:style w:type="character" w:customStyle="1" w:styleId="40">
    <w:name w:val="批注框文本 字符"/>
    <w:link w:val="16"/>
    <w:semiHidden/>
    <w:qFormat/>
    <w:uiPriority w:val="99"/>
    <w:rPr>
      <w:sz w:val="18"/>
      <w:szCs w:val="18"/>
    </w:rPr>
  </w:style>
  <w:style w:type="character" w:customStyle="1" w:styleId="41">
    <w:name w:val="页脚 字符"/>
    <w:link w:val="17"/>
    <w:qFormat/>
    <w:uiPriority w:val="99"/>
    <w:rPr>
      <w:sz w:val="18"/>
      <w:szCs w:val="18"/>
    </w:rPr>
  </w:style>
  <w:style w:type="character" w:customStyle="1" w:styleId="42">
    <w:name w:val="页眉 字符"/>
    <w:link w:val="18"/>
    <w:qFormat/>
    <w:uiPriority w:val="99"/>
    <w:rPr>
      <w:sz w:val="18"/>
      <w:szCs w:val="18"/>
    </w:rPr>
  </w:style>
  <w:style w:type="character" w:customStyle="1" w:styleId="43">
    <w:name w:val="批注主题 字符"/>
    <w:link w:val="24"/>
    <w:semiHidden/>
    <w:qFormat/>
    <w:uiPriority w:val="99"/>
    <w:rPr>
      <w:b/>
      <w:bCs/>
    </w:rPr>
  </w:style>
  <w:style w:type="paragraph" w:customStyle="1" w:styleId="44">
    <w:name w:val="Default"/>
    <w:basedOn w:val="45"/>
    <w:next w:val="46"/>
    <w:qFormat/>
    <w:uiPriority w:val="0"/>
    <w:pPr>
      <w:tabs>
        <w:tab w:val="left" w:pos="1845"/>
      </w:tabs>
      <w:autoSpaceDE w:val="0"/>
      <w:autoSpaceDN w:val="0"/>
      <w:adjustRightInd w:val="0"/>
    </w:pPr>
    <w:rPr>
      <w:rFonts w:ascii="仿宋_GB2312" w:eastAsia="仿宋_GB2312" w:cs="仿宋_GB2312"/>
      <w:color w:val="000000"/>
      <w:sz w:val="24"/>
      <w:szCs w:val="24"/>
      <w:lang w:eastAsia="zh-CN"/>
    </w:rPr>
  </w:style>
  <w:style w:type="paragraph" w:customStyle="1" w:styleId="45">
    <w:name w:val="纯文本1"/>
    <w:basedOn w:val="1"/>
    <w:qFormat/>
    <w:uiPriority w:val="0"/>
    <w:pPr>
      <w:tabs>
        <w:tab w:val="left" w:pos="1845"/>
      </w:tabs>
      <w:spacing w:line="240" w:lineRule="exact"/>
      <w:jc w:val="center"/>
    </w:pPr>
    <w:rPr>
      <w:sz w:val="18"/>
    </w:rPr>
  </w:style>
  <w:style w:type="paragraph" w:customStyle="1" w:styleId="46">
    <w:name w:val="正文首行缩进 21"/>
    <w:basedOn w:val="47"/>
    <w:next w:val="1"/>
    <w:qFormat/>
    <w:uiPriority w:val="0"/>
    <w:pPr>
      <w:spacing w:after="120" w:line="240" w:lineRule="auto"/>
      <w:ind w:left="420" w:leftChars="200" w:firstLine="420"/>
    </w:pPr>
    <w:rPr>
      <w:rFonts w:ascii="Times New Roman" w:hAnsi="Times New Roman"/>
      <w:kern w:val="2"/>
      <w:sz w:val="21"/>
      <w:szCs w:val="24"/>
    </w:rPr>
  </w:style>
  <w:style w:type="paragraph" w:customStyle="1" w:styleId="47">
    <w:name w:val="正文文本缩进1"/>
    <w:basedOn w:val="1"/>
    <w:next w:val="48"/>
    <w:qFormat/>
    <w:uiPriority w:val="0"/>
    <w:pPr>
      <w:spacing w:line="360" w:lineRule="auto"/>
      <w:ind w:firstLine="560" w:firstLineChars="200"/>
    </w:pPr>
    <w:rPr>
      <w:rFonts w:ascii="宋体" w:hAnsi="宋体"/>
      <w:sz w:val="28"/>
    </w:rPr>
  </w:style>
  <w:style w:type="paragraph" w:customStyle="1" w:styleId="48">
    <w:name w:val="正文首行缩进1"/>
    <w:basedOn w:val="2"/>
    <w:next w:val="1"/>
    <w:qFormat/>
    <w:uiPriority w:val="0"/>
    <w:pPr>
      <w:ind w:firstLine="420" w:firstLineChars="100"/>
    </w:pPr>
  </w:style>
  <w:style w:type="paragraph" w:customStyle="1" w:styleId="49">
    <w:name w:val="新正文"/>
    <w:basedOn w:val="1"/>
    <w:link w:val="50"/>
    <w:qFormat/>
    <w:uiPriority w:val="1"/>
    <w:pPr>
      <w:adjustRightInd w:val="0"/>
      <w:snapToGrid w:val="0"/>
      <w:spacing w:line="360" w:lineRule="auto"/>
      <w:ind w:firstLine="200" w:firstLineChars="200"/>
      <w:jc w:val="both"/>
    </w:pPr>
    <w:rPr>
      <w:rFonts w:ascii="Times New Roman" w:hAnsi="Times New Roman"/>
      <w:sz w:val="24"/>
      <w:szCs w:val="20"/>
    </w:rPr>
  </w:style>
  <w:style w:type="character" w:customStyle="1" w:styleId="50">
    <w:name w:val="新正文 Char"/>
    <w:link w:val="49"/>
    <w:qFormat/>
    <w:uiPriority w:val="1"/>
    <w:rPr>
      <w:rFonts w:ascii="Times New Roman" w:hAnsi="Times New Roman" w:eastAsia="宋体" w:cs="Times New Roman"/>
      <w:sz w:val="24"/>
      <w:szCs w:val="20"/>
    </w:rPr>
  </w:style>
  <w:style w:type="paragraph" w:customStyle="1" w:styleId="51">
    <w:name w:val="正文1"/>
    <w:basedOn w:val="1"/>
    <w:next w:val="52"/>
    <w:qFormat/>
    <w:uiPriority w:val="0"/>
    <w:pPr>
      <w:spacing w:before="78" w:beforeLines="25" w:after="78" w:afterLines="25" w:line="360" w:lineRule="auto"/>
      <w:ind w:firstLine="480" w:firstLineChars="200"/>
    </w:pPr>
    <w:rPr>
      <w:sz w:val="24"/>
    </w:rPr>
  </w:style>
  <w:style w:type="paragraph" w:customStyle="1" w:styleId="52">
    <w:name w:val="样式 样式 正文缩进正文（首行缩进两字）正文2 + 首行缩进:  2 字符 + 首行缩进:  2 字符"/>
    <w:basedOn w:val="1"/>
    <w:qFormat/>
    <w:uiPriority w:val="0"/>
    <w:pPr>
      <w:snapToGrid w:val="0"/>
      <w:spacing w:line="324" w:lineRule="auto"/>
      <w:ind w:firstLine="600"/>
    </w:pPr>
    <w:rPr>
      <w:rFonts w:ascii="Times New Roman" w:hAnsi="宋体" w:cs="宋体"/>
      <w:sz w:val="28"/>
      <w:szCs w:val="20"/>
    </w:rPr>
  </w:style>
  <w:style w:type="paragraph" w:customStyle="1" w:styleId="53">
    <w:name w:val="表内容"/>
    <w:basedOn w:val="1"/>
    <w:next w:val="1"/>
    <w:qFormat/>
    <w:uiPriority w:val="0"/>
    <w:pPr>
      <w:jc w:val="center"/>
    </w:pPr>
    <w:rPr>
      <w:rFonts w:eastAsia="Times New Roman"/>
      <w:szCs w:val="21"/>
    </w:rPr>
  </w:style>
  <w:style w:type="paragraph" w:customStyle="1" w:styleId="54">
    <w:name w:val="表题"/>
    <w:basedOn w:val="20"/>
    <w:next w:val="55"/>
    <w:qFormat/>
    <w:uiPriority w:val="0"/>
    <w:pPr>
      <w:spacing w:line="480" w:lineRule="exact"/>
      <w:jc w:val="center"/>
    </w:pPr>
    <w:rPr>
      <w:rFonts w:cs="宋体"/>
      <w:b/>
      <w:bCs/>
      <w:sz w:val="21"/>
      <w:lang w:eastAsia="zh-CN"/>
    </w:rPr>
  </w:style>
  <w:style w:type="paragraph" w:customStyle="1" w:styleId="55">
    <w:name w:val="-正文"/>
    <w:basedOn w:val="1"/>
    <w:qFormat/>
    <w:uiPriority w:val="0"/>
    <w:pPr>
      <w:spacing w:line="480" w:lineRule="exact"/>
      <w:ind w:firstLine="200" w:firstLineChars="200"/>
      <w:jc w:val="both"/>
    </w:pPr>
    <w:rPr>
      <w:rFonts w:cs="宋体"/>
      <w:kern w:val="2"/>
      <w:sz w:val="24"/>
      <w:lang w:eastAsia="zh-CN"/>
    </w:rPr>
  </w:style>
  <w:style w:type="character" w:customStyle="1" w:styleId="56">
    <w:name w:val="before"/>
    <w:qFormat/>
    <w:uiPriority w:val="0"/>
    <w:rPr>
      <w:rFonts w:hint="default" w:ascii="FontAwesome" w:hAnsi="FontAwesome" w:eastAsia="FontAwesome" w:cs="FontAwesome"/>
      <w:color w:val="888888"/>
      <w:sz w:val="18"/>
      <w:szCs w:val="18"/>
    </w:rPr>
  </w:style>
  <w:style w:type="character" w:customStyle="1" w:styleId="57">
    <w:name w:val="before2"/>
    <w:qFormat/>
    <w:uiPriority w:val="0"/>
  </w:style>
  <w:style w:type="character" w:customStyle="1" w:styleId="58">
    <w:name w:val="ui-icon10"/>
    <w:qFormat/>
    <w:uiPriority w:val="0"/>
  </w:style>
  <w:style w:type="character" w:customStyle="1" w:styleId="59">
    <w:name w:val="ui-jqgrid-resize"/>
    <w:qFormat/>
    <w:uiPriority w:val="0"/>
  </w:style>
  <w:style w:type="character" w:customStyle="1" w:styleId="60">
    <w:name w:val="1表格 Char"/>
    <w:link w:val="61"/>
    <w:qFormat/>
    <w:uiPriority w:val="0"/>
    <w:rPr>
      <w:rFonts w:ascii="Times New Roman" w:hAnsi="Times New Roman" w:eastAsia="宋体" w:cs="Times New Roman"/>
      <w:kern w:val="2"/>
      <w:sz w:val="21"/>
      <w:szCs w:val="24"/>
      <w:lang w:eastAsia="zh-CN" w:bidi="zh-CN"/>
    </w:rPr>
  </w:style>
  <w:style w:type="paragraph" w:customStyle="1" w:styleId="61">
    <w:name w:val="1表格"/>
    <w:basedOn w:val="62"/>
    <w:link w:val="60"/>
    <w:qFormat/>
    <w:uiPriority w:val="0"/>
    <w:pPr>
      <w:widowControl/>
    </w:pPr>
    <w:rPr>
      <w:kern w:val="2"/>
    </w:rPr>
  </w:style>
  <w:style w:type="paragraph" w:customStyle="1" w:styleId="62">
    <w:name w:val="表格"/>
    <w:basedOn w:val="20"/>
    <w:next w:val="63"/>
    <w:link w:val="65"/>
    <w:qFormat/>
    <w:uiPriority w:val="1"/>
    <w:pPr>
      <w:ind w:firstLine="0" w:firstLineChars="0"/>
      <w:jc w:val="center"/>
    </w:pPr>
    <w:rPr>
      <w:sz w:val="21"/>
      <w:lang w:bidi="zh-CN"/>
    </w:rPr>
  </w:style>
  <w:style w:type="paragraph" w:customStyle="1" w:styleId="63">
    <w:name w:val="文本"/>
    <w:basedOn w:val="64"/>
    <w:qFormat/>
    <w:uiPriority w:val="0"/>
    <w:pPr>
      <w:spacing w:line="360" w:lineRule="auto"/>
      <w:ind w:firstLine="200" w:firstLineChars="200"/>
      <w:jc w:val="both"/>
    </w:pPr>
    <w:rPr>
      <w:rFonts w:eastAsia="宋体"/>
      <w:b w:val="0"/>
    </w:rPr>
  </w:style>
  <w:style w:type="paragraph" w:customStyle="1" w:styleId="64">
    <w:name w:val="三级标题"/>
    <w:next w:val="63"/>
    <w:qFormat/>
    <w:uiPriority w:val="0"/>
    <w:rPr>
      <w:rFonts w:ascii="Times New Roman" w:hAnsi="Times New Roman" w:eastAsia="黑体" w:cs="Times New Roman"/>
      <w:b/>
      <w:kern w:val="2"/>
      <w:sz w:val="24"/>
      <w:szCs w:val="22"/>
      <w:lang w:val="en-US" w:eastAsia="zh-CN" w:bidi="ar-SA"/>
    </w:rPr>
  </w:style>
  <w:style w:type="character" w:customStyle="1" w:styleId="65">
    <w:name w:val="表格 Char"/>
    <w:link w:val="62"/>
    <w:qFormat/>
    <w:uiPriority w:val="1"/>
    <w:rPr>
      <w:rFonts w:ascii="Times New Roman" w:hAnsi="Times New Roman" w:eastAsia="宋体" w:cs="Times New Roman"/>
      <w:sz w:val="21"/>
      <w:szCs w:val="24"/>
      <w:lang w:eastAsia="zh-CN" w:bidi="zh-CN"/>
    </w:rPr>
  </w:style>
  <w:style w:type="character" w:customStyle="1" w:styleId="66">
    <w:name w:val="1正文 Char"/>
    <w:link w:val="67"/>
    <w:qFormat/>
    <w:uiPriority w:val="1"/>
    <w:rPr>
      <w:rFonts w:ascii="Times New Roman" w:hAnsi="Times New Roman" w:eastAsia="宋体" w:cs="Times New Roman"/>
      <w:sz w:val="24"/>
      <w:szCs w:val="24"/>
      <w:lang w:eastAsia="zh-CN"/>
    </w:rPr>
  </w:style>
  <w:style w:type="paragraph" w:customStyle="1" w:styleId="67">
    <w:name w:val="1正文"/>
    <w:basedOn w:val="1"/>
    <w:link w:val="66"/>
    <w:qFormat/>
    <w:uiPriority w:val="1"/>
    <w:pPr>
      <w:adjustRightInd w:val="0"/>
      <w:snapToGrid w:val="0"/>
      <w:spacing w:line="440" w:lineRule="exact"/>
      <w:ind w:firstLine="200" w:firstLineChars="200"/>
      <w:jc w:val="both"/>
    </w:pPr>
    <w:rPr>
      <w:rFonts w:ascii="Times New Roman" w:hAnsi="Times New Roman"/>
      <w:sz w:val="24"/>
      <w:szCs w:val="24"/>
      <w:lang w:eastAsia="zh-CN"/>
    </w:rPr>
  </w:style>
  <w:style w:type="character" w:customStyle="1" w:styleId="68">
    <w:name w:val="2级标题 Char"/>
    <w:link w:val="69"/>
    <w:qFormat/>
    <w:uiPriority w:val="0"/>
    <w:rPr>
      <w:rFonts w:ascii="Times New Roman" w:hAnsi="Times New Roman" w:eastAsia="黑体"/>
      <w:b/>
      <w:kern w:val="2"/>
      <w:sz w:val="24"/>
      <w:lang w:eastAsia="zh-CN" w:bidi="zh-CN"/>
    </w:rPr>
  </w:style>
  <w:style w:type="paragraph" w:customStyle="1" w:styleId="69">
    <w:name w:val="2级标题"/>
    <w:basedOn w:val="1"/>
    <w:next w:val="67"/>
    <w:link w:val="68"/>
    <w:qFormat/>
    <w:uiPriority w:val="0"/>
    <w:pPr>
      <w:adjustRightInd w:val="0"/>
      <w:snapToGrid w:val="0"/>
      <w:spacing w:line="400" w:lineRule="exact"/>
      <w:jc w:val="both"/>
    </w:pPr>
    <w:rPr>
      <w:rFonts w:ascii="Times New Roman" w:hAnsi="Times New Roman" w:eastAsia="黑体"/>
      <w:b/>
      <w:kern w:val="2"/>
      <w:sz w:val="24"/>
      <w:lang w:eastAsia="zh-CN" w:bidi="zh-CN"/>
    </w:rPr>
  </w:style>
  <w:style w:type="character" w:customStyle="1" w:styleId="70">
    <w:name w:val="ui-jqgrid-resize1"/>
    <w:qFormat/>
    <w:uiPriority w:val="0"/>
  </w:style>
  <w:style w:type="character" w:customStyle="1" w:styleId="71">
    <w:name w:val="3级标题 Char"/>
    <w:link w:val="72"/>
    <w:qFormat/>
    <w:uiPriority w:val="1"/>
    <w:rPr>
      <w:rFonts w:ascii="Times New Roman" w:hAnsi="Times New Roman" w:eastAsia="宋体" w:cs="Times New Roman"/>
      <w:b/>
      <w:sz w:val="24"/>
      <w:szCs w:val="24"/>
      <w:lang w:eastAsia="zh-CN"/>
    </w:rPr>
  </w:style>
  <w:style w:type="paragraph" w:customStyle="1" w:styleId="72">
    <w:name w:val="3级标题"/>
    <w:basedOn w:val="67"/>
    <w:link w:val="71"/>
    <w:qFormat/>
    <w:uiPriority w:val="1"/>
    <w:rPr>
      <w:b/>
    </w:rPr>
  </w:style>
  <w:style w:type="character" w:customStyle="1" w:styleId="73">
    <w:name w:val="input-icon"/>
    <w:qFormat/>
    <w:uiPriority w:val="0"/>
  </w:style>
  <w:style w:type="character" w:customStyle="1" w:styleId="74">
    <w:name w:val="checkbox"/>
    <w:qFormat/>
    <w:uiPriority w:val="0"/>
  </w:style>
  <w:style w:type="character" w:customStyle="1" w:styleId="75">
    <w:name w:val="大标题 Char"/>
    <w:link w:val="76"/>
    <w:qFormat/>
    <w:uiPriority w:val="1"/>
    <w:rPr>
      <w:rFonts w:ascii="黑体" w:hAnsi="黑体" w:eastAsia="黑体"/>
      <w:sz w:val="30"/>
      <w:szCs w:val="30"/>
      <w:lang w:eastAsia="zh-CN"/>
    </w:rPr>
  </w:style>
  <w:style w:type="paragraph" w:customStyle="1" w:styleId="76">
    <w:name w:val="大标题"/>
    <w:basedOn w:val="2"/>
    <w:link w:val="75"/>
    <w:qFormat/>
    <w:uiPriority w:val="1"/>
    <w:pPr>
      <w:adjustRightInd w:val="0"/>
      <w:snapToGrid w:val="0"/>
      <w:spacing w:before="0" w:after="50" w:afterLines="50"/>
      <w:ind w:left="0"/>
      <w:jc w:val="center"/>
      <w:outlineLvl w:val="0"/>
    </w:pPr>
    <w:rPr>
      <w:lang w:eastAsia="zh-CN"/>
    </w:rPr>
  </w:style>
  <w:style w:type="character" w:customStyle="1" w:styleId="77">
    <w:name w:val="before1"/>
    <w:qFormat/>
    <w:uiPriority w:val="0"/>
    <w:rPr>
      <w:rFonts w:hint="default" w:ascii="FontAwesome" w:hAnsi="FontAwesome" w:eastAsia="FontAwesome" w:cs="FontAwesome"/>
      <w:color w:val="888888"/>
      <w:sz w:val="18"/>
      <w:szCs w:val="18"/>
    </w:rPr>
  </w:style>
  <w:style w:type="paragraph" w:customStyle="1" w:styleId="78">
    <w:name w:val="Table Paragraph"/>
    <w:basedOn w:val="1"/>
    <w:qFormat/>
    <w:uiPriority w:val="1"/>
  </w:style>
  <w:style w:type="paragraph" w:customStyle="1" w:styleId="79">
    <w:name w:val="Char Char Char"/>
    <w:basedOn w:val="1"/>
    <w:qFormat/>
    <w:uiPriority w:val="0"/>
    <w:pPr>
      <w:jc w:val="both"/>
    </w:pPr>
    <w:rPr>
      <w:rFonts w:ascii="Times New Roman" w:hAnsi="Times New Roman"/>
      <w:kern w:val="2"/>
      <w:sz w:val="24"/>
      <w:szCs w:val="20"/>
      <w:lang w:eastAsia="zh-CN"/>
    </w:rPr>
  </w:style>
  <w:style w:type="paragraph" w:customStyle="1" w:styleId="80">
    <w:name w:val="Normal_0_0"/>
    <w:qFormat/>
    <w:uiPriority w:val="0"/>
    <w:pPr>
      <w:widowControl w:val="0"/>
      <w:spacing w:line="360" w:lineRule="auto"/>
      <w:ind w:firstLine="200" w:firstLineChars="200"/>
      <w:jc w:val="both"/>
    </w:pPr>
    <w:rPr>
      <w:rFonts w:ascii="Times New Roman" w:hAnsi="Times New Roman" w:eastAsia="仿宋" w:cs="Times New Roman"/>
      <w:kern w:val="2"/>
      <w:sz w:val="28"/>
      <w:szCs w:val="21"/>
      <w:lang w:val="en-US" w:eastAsia="zh-CN" w:bidi="ar-SA"/>
    </w:rPr>
  </w:style>
  <w:style w:type="paragraph" w:customStyle="1" w:styleId="81">
    <w:name w:val="新表格"/>
    <w:basedOn w:val="1"/>
    <w:qFormat/>
    <w:uiPriority w:val="1"/>
    <w:pPr>
      <w:widowControl/>
      <w:adjustRightInd w:val="0"/>
      <w:snapToGrid w:val="0"/>
      <w:jc w:val="center"/>
    </w:pPr>
    <w:rPr>
      <w:rFonts w:ascii="Times New Roman" w:hAnsi="Times New Roman"/>
      <w:color w:val="000000"/>
      <w:sz w:val="21"/>
      <w:szCs w:val="21"/>
      <w:lang w:eastAsia="zh-CN"/>
    </w:rPr>
  </w:style>
  <w:style w:type="paragraph" w:customStyle="1" w:styleId="82">
    <w:name w:val="Char Char Char1"/>
    <w:basedOn w:val="1"/>
    <w:qFormat/>
    <w:uiPriority w:val="0"/>
    <w:pPr>
      <w:jc w:val="both"/>
    </w:pPr>
    <w:rPr>
      <w:rFonts w:ascii="Times New Roman" w:hAnsi="Times New Roman"/>
      <w:kern w:val="2"/>
      <w:sz w:val="24"/>
      <w:szCs w:val="20"/>
      <w:lang w:eastAsia="zh-CN"/>
    </w:rPr>
  </w:style>
  <w:style w:type="paragraph" w:customStyle="1" w:styleId="83">
    <w:name w:val="Normal_0"/>
    <w:qFormat/>
    <w:uiPriority w:val="0"/>
    <w:pPr>
      <w:widowControl w:val="0"/>
      <w:spacing w:line="360" w:lineRule="auto"/>
      <w:ind w:firstLine="200" w:firstLineChars="200"/>
      <w:jc w:val="both"/>
    </w:pPr>
    <w:rPr>
      <w:rFonts w:ascii="Times New Roman" w:hAnsi="Times New Roman" w:eastAsia="仿宋" w:cs="Times New Roman"/>
      <w:kern w:val="2"/>
      <w:sz w:val="28"/>
      <w:szCs w:val="21"/>
      <w:lang w:val="en-US" w:eastAsia="zh-CN" w:bidi="ar-SA"/>
    </w:rPr>
  </w:style>
  <w:style w:type="paragraph" w:customStyle="1" w:styleId="84">
    <w:name w:val="报告表正文"/>
    <w:basedOn w:val="1"/>
    <w:qFormat/>
    <w:uiPriority w:val="0"/>
    <w:pPr>
      <w:adjustRightInd w:val="0"/>
      <w:spacing w:line="312" w:lineRule="auto"/>
      <w:ind w:left="113" w:right="113" w:firstLine="482"/>
      <w:textAlignment w:val="baseline"/>
    </w:pPr>
    <w:rPr>
      <w:sz w:val="24"/>
      <w:szCs w:val="20"/>
    </w:rPr>
  </w:style>
  <w:style w:type="paragraph" w:customStyle="1" w:styleId="85">
    <w:name w:val="首行缩进:  2 字符"/>
    <w:basedOn w:val="1"/>
    <w:qFormat/>
    <w:uiPriority w:val="0"/>
    <w:pPr>
      <w:spacing w:line="440" w:lineRule="exact"/>
      <w:ind w:firstLine="200" w:firstLineChars="200"/>
    </w:pPr>
    <w:rPr>
      <w:rFonts w:cs="宋体"/>
      <w:sz w:val="24"/>
      <w:szCs w:val="20"/>
    </w:rPr>
  </w:style>
  <w:style w:type="paragraph" w:customStyle="1" w:styleId="86">
    <w:name w:val="TOC 标题1"/>
    <w:basedOn w:val="4"/>
    <w:next w:val="1"/>
    <w:unhideWhenUsed/>
    <w:qFormat/>
    <w:uiPriority w:val="39"/>
    <w:pPr>
      <w:keepNext/>
      <w:keepLines/>
      <w:widowControl/>
      <w:spacing w:before="240" w:line="259" w:lineRule="auto"/>
      <w:ind w:left="0"/>
      <w:outlineLvl w:val="9"/>
    </w:pPr>
    <w:rPr>
      <w:rFonts w:ascii="Cambria" w:hAnsi="Cambria" w:eastAsia="宋体"/>
      <w:color w:val="366091"/>
      <w:sz w:val="32"/>
      <w:szCs w:val="32"/>
      <w:lang w:eastAsia="zh-CN"/>
    </w:rPr>
  </w:style>
  <w:style w:type="paragraph" w:customStyle="1" w:styleId="87">
    <w:name w:val="Char1 Char Char Char1 Char Char Char Char Char Char Char Char Char Char Char Char"/>
    <w:basedOn w:val="1"/>
    <w:next w:val="1"/>
    <w:qFormat/>
    <w:uiPriority w:val="0"/>
  </w:style>
  <w:style w:type="paragraph" w:customStyle="1" w:styleId="88">
    <w:name w:val="表格小四"/>
    <w:basedOn w:val="1"/>
    <w:qFormat/>
    <w:uiPriority w:val="0"/>
    <w:pPr>
      <w:spacing w:before="93" w:beforeLines="30" w:after="62" w:afterLines="20"/>
      <w:jc w:val="center"/>
    </w:pPr>
    <w:rPr>
      <w:rFonts w:ascii="Times New Roman" w:hAnsi="Times New Roman"/>
      <w:kern w:val="2"/>
      <w:sz w:val="24"/>
      <w:szCs w:val="24"/>
      <w:lang w:eastAsia="zh-CN"/>
    </w:rPr>
  </w:style>
  <w:style w:type="paragraph" w:customStyle="1" w:styleId="89">
    <w:name w:val="+正文"/>
    <w:basedOn w:val="1"/>
    <w:qFormat/>
    <w:uiPriority w:val="0"/>
    <w:pPr>
      <w:spacing w:line="360" w:lineRule="auto"/>
      <w:ind w:firstLine="200" w:firstLineChars="200"/>
    </w:pPr>
    <w:rPr>
      <w:sz w:val="24"/>
      <w:szCs w:val="28"/>
    </w:rPr>
  </w:style>
  <w:style w:type="paragraph" w:styleId="90">
    <w:name w:val="List Paragraph"/>
    <w:basedOn w:val="1"/>
    <w:qFormat/>
    <w:uiPriority w:val="1"/>
  </w:style>
  <w:style w:type="table" w:customStyle="1" w:styleId="91">
    <w:name w:val="Table Normal"/>
    <w:unhideWhenUsed/>
    <w:qFormat/>
    <w:uiPriority w:val="2"/>
    <w:tblPr>
      <w:tblCellMar>
        <w:top w:w="0" w:type="dxa"/>
        <w:left w:w="0" w:type="dxa"/>
        <w:bottom w:w="0" w:type="dxa"/>
        <w:right w:w="0" w:type="dxa"/>
      </w:tblCellMar>
    </w:tblPr>
  </w:style>
  <w:style w:type="table" w:customStyle="1" w:styleId="92">
    <w:name w:val="Table Grid_0"/>
    <w:basedOn w:val="26"/>
    <w:qFormat/>
    <w:uiPriority w:val="0"/>
    <w:rPr>
      <w:rFonts w:eastAsia="仿宋"/>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3">
    <w:name w:val="NormalCharacter"/>
    <w:qFormat/>
    <w:uiPriority w:val="0"/>
  </w:style>
  <w:style w:type="paragraph" w:customStyle="1" w:styleId="94">
    <w:name w:val="Table Text"/>
    <w:basedOn w:val="1"/>
    <w:semiHidden/>
    <w:qFormat/>
    <w:uiPriority w:val="0"/>
    <w:pPr>
      <w:widowControl/>
      <w:kinsoku w:val="0"/>
      <w:autoSpaceDE w:val="0"/>
      <w:autoSpaceDN w:val="0"/>
      <w:adjustRightInd w:val="0"/>
      <w:snapToGrid w:val="0"/>
      <w:textAlignment w:val="baseline"/>
    </w:pPr>
    <w:rPr>
      <w:rFonts w:ascii="宋体" w:hAnsi="宋体" w:cs="宋体"/>
      <w:color w:val="000000"/>
      <w:sz w:val="27"/>
      <w:szCs w:val="27"/>
    </w:rPr>
  </w:style>
  <w:style w:type="paragraph" w:customStyle="1" w:styleId="95">
    <w:name w:val="表头"/>
    <w:basedOn w:val="96"/>
    <w:next w:val="1"/>
    <w:qFormat/>
    <w:uiPriority w:val="0"/>
    <w:pPr>
      <w:snapToGrid w:val="0"/>
      <w:spacing w:line="400" w:lineRule="atLeast"/>
    </w:pPr>
    <w:rPr>
      <w:rFonts w:ascii="黑体" w:hAnsi="黑体" w:eastAsia="黑体"/>
      <w:sz w:val="24"/>
    </w:rPr>
  </w:style>
  <w:style w:type="paragraph" w:customStyle="1" w:styleId="96">
    <w:name w:val="表格内容"/>
    <w:basedOn w:val="8"/>
    <w:next w:val="1"/>
    <w:qFormat/>
    <w:uiPriority w:val="0"/>
    <w:pPr>
      <w:jc w:val="center"/>
    </w:pPr>
    <w:rPr>
      <w:kern w:val="0"/>
      <w:szCs w:val="21"/>
    </w:rPr>
  </w:style>
  <w:style w:type="paragraph" w:customStyle="1" w:styleId="97">
    <w:name w:val="A表内容"/>
    <w:qFormat/>
    <w:uiPriority w:val="0"/>
    <w:pPr>
      <w:snapToGrid w:val="0"/>
      <w:spacing w:before="60" w:line="340" w:lineRule="exact"/>
      <w:ind w:right="113"/>
      <w:jc w:val="center"/>
    </w:pPr>
    <w:rPr>
      <w:rFonts w:ascii="Times New Roman"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d5782b76-26e3-4e5e-be87-4673175c5c1c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3D52A52C</paraID>
      <start>0</start>
      <end>2</end>
      <status>unmodified</status>
      <modifiedWord/>
      <trackRevisions>false</trackRevisions>
    </reviewItem>
    <reviewItem>
      <errorID>93e14a31-ca91-4a2e-9369-88c7aac8fd6d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30E0CEFA</paraID>
      <start>0</start>
      <end>2</end>
      <status>unmodified</status>
      <modifiedWord/>
      <trackRevisions>false</trackRevisions>
    </reviewItem>
    <reviewItem>
      <errorID>78eb6836-16e5-4d36-9d9c-705e7e74be28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243EED73</paraID>
      <start>0</start>
      <end>2</end>
      <status>unmodified</status>
      <modifiedWord/>
      <trackRevisions>false</trackRevisions>
    </reviewItem>
    <reviewItem>
      <errorID>28c7e309-9dae-4bae-aaae-cde8a8eb040c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45B25589</paraID>
      <start>0</start>
      <end>2</end>
      <status>unmodified</status>
      <modifiedWord/>
      <trackRevisions>false</trackRevisions>
    </reviewItem>
    <reviewItem>
      <errorID>5d3c3161-4ded-4e58-8d56-2670969cdac2</errorID>
      <errorWord>抛撒</errorWord>
      <group>L1_Word</group>
      <groupName>字词问题</groupName>
      <ability>L2_Typo</ability>
      <abilityName>字词错误</abilityName>
      <candidateList>
        <item>抛洒</item>
      </candidateList>
      <explain>存在发音相同字词的误用。</explain>
      <paraID>225804C5</paraID>
      <start>56</start>
      <end>58</end>
      <status>modified</status>
      <modifiedWord>抛洒</modifiedWord>
      <trackRevisions>false</trackRevisions>
    </reviewItem>
    <reviewItem>
      <errorID>c4418717-894f-4369-ab02-aa2a78954a0a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25BBC060</paraID>
      <start>53</start>
      <end>54</end>
      <status>unmodified</status>
      <modifiedWord/>
      <trackRevisions>false</trackRevisions>
    </reviewItem>
    <reviewItem>
      <errorID>9904143b-89b1-4bfa-84f1-8da78df478a2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69432574</paraID>
      <start>0</start>
      <end>2</end>
      <status>unmodified</status>
      <modifiedWord/>
      <trackRevisions>false</trackRevisions>
    </reviewItem>
    <reviewItem>
      <errorID>f4ae28d8-15ab-4e3a-b4a5-fb9125d79ca7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3AD354D3</paraID>
      <start>0</start>
      <end>2</end>
      <status>unmodified</status>
      <modifiedWord/>
      <trackRevisions>false</trackRevisions>
    </reviewItem>
    <reviewItem>
      <errorID>f77eccd8-204f-4600-aadc-c10486c89e14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7208388D</paraID>
      <start>0</start>
      <end>2</end>
      <status>unmodified</status>
      <modifiedWord/>
      <trackRevisions>false</trackRevisions>
    </reviewItem>
    <reviewItem>
      <errorID>c6e9c981-1401-4808-8dfd-f16afe0408e5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77D61842</paraID>
      <start>0</start>
      <end>2</end>
      <status>unmodified</status>
      <modifiedWord/>
      <trackRevisions>false</trackRevisions>
    </reviewItem>
    <reviewItem>
      <errorID>cca98921-dd83-4dad-b83b-122cafd6bd7c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7344F7BF</paraID>
      <start>0</start>
      <end>2</end>
      <status>unmodified</status>
      <modifiedWord/>
      <trackRevisions>false</trackRevisions>
    </reviewItem>
    <reviewItem>
      <errorID>67144bc3-2c4e-44d6-ac90-6c61336a027a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58A2A3F4</paraID>
      <start>0</start>
      <end>2</end>
      <status>unmodified</status>
      <modifiedWord/>
      <trackRevisions>false</trackRevisions>
    </reviewItem>
    <reviewItem>
      <errorID>640730f5-87ae-4d00-8873-9eff29e0042f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66759662</paraID>
      <start>30</start>
      <end>31</end>
      <status>unmodified</status>
      <modifiedWord/>
      <trackRevisions>false</trackRevisions>
    </reviewItem>
    <reviewItem>
      <errorID>b49baff6-a5e0-47b0-8087-90c621c3cd6d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6525DBE2</paraID>
      <start>66</start>
      <end>67</end>
      <status>unmodified</status>
      <modifiedWord/>
      <trackRevisions>false</trackRevisions>
    </reviewItem>
    <reviewItem>
      <errorID>af8eae05-380b-4641-a520-a9570ef67685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44CF5D55</paraID>
      <start>0</start>
      <end>2</end>
      <status>unmodified</status>
      <modifiedWord/>
      <trackRevisions>false</trackRevisions>
    </reviewItem>
    <reviewItem>
      <errorID>a2f89df4-e200-429e-b8a3-72896ae2ac42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75A2EAA6</paraID>
      <start>0</start>
      <end>2</end>
      <status>unmodified</status>
      <modifiedWord/>
      <trackRevisions>false</trackRevisions>
    </reviewItem>
    <reviewItem>
      <errorID>4a2ab76d-440e-4169-98fb-935e4f2900d6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6ED2F21B</paraID>
      <start>0</start>
      <end>2</end>
      <status>unmodified</status>
      <modifiedWord/>
      <trackRevisions>false</trackRevisions>
    </reviewItem>
    <reviewItem>
      <errorID>8bf91139-6700-4e1d-bfb3-e0f5506773f0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2D9ED844</paraID>
      <start>0</start>
      <end>2</end>
      <status>unmodified</status>
      <modifiedWord/>
      <trackRevisions>false</trackRevisions>
    </reviewItem>
    <reviewItem>
      <errorID>c22c5537-c03c-40bf-9aad-32e2c096f129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41DB7641</paraID>
      <start>0</start>
      <end>2</end>
      <status>unmodified</status>
      <modifiedWord/>
      <trackRevisions>false</trackRevisions>
    </reviewItem>
    <reviewItem>
      <errorID>111fbbc0-745f-4a5b-b0ac-3dceff61b694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2A399CA8</paraID>
      <start>0</start>
      <end>2</end>
      <status>unmodified</status>
      <modifiedWord/>
      <trackRevisions>false</trackRevisions>
    </reviewItem>
    <reviewItem>
      <errorID>477d4984-0580-452a-b3e9-b6b9a7aacdc3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2DB7A44D</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796f2b-81e4-478f-afad-8c0c92c13d55}">
  <ds:schemaRefs/>
</ds:datastoreItem>
</file>

<file path=docProps/app.xml><?xml version="1.0" encoding="utf-8"?>
<Properties xmlns="http://schemas.openxmlformats.org/officeDocument/2006/extended-properties" xmlns:vt="http://schemas.openxmlformats.org/officeDocument/2006/docPropsVTypes">
  <Template>Normal</Template>
  <Pages>13</Pages>
  <Words>12769</Words>
  <Characters>13429</Characters>
  <Lines>347</Lines>
  <Paragraphs>97</Paragraphs>
  <TotalTime>300</TotalTime>
  <ScaleCrop>false</ScaleCrop>
  <LinksUpToDate>false</LinksUpToDate>
  <CharactersWithSpaces>13449</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2021-03-01T14:00:00Z</dcterms:created>
  <dc:creator>lhj</dc:creator>
  <cp:lastModifiedBy>王学珍</cp:lastModifiedBy>
  <cp:lastPrinted>2026-09-09T02:42:09Z</cp:lastPrinted>
  <dcterms:modified xsi:type="dcterms:W3CDTF">2026-09-09T04:02:04Z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Microsoft® Word 2019</vt:lpwstr>
  </property>
  <property fmtid="{D5CDD505-2E9C-101B-9397-08002B2CF9AE}" pid="4" name="LastSaved">
    <vt:filetime>2021-03-01T00:00:00Z</vt:filetime>
  </property>
  <property fmtid="{D5CDD505-2E9C-101B-9397-08002B2CF9AE}" pid="5" name="KSOProductBuildVer">
    <vt:lpwstr>2052-12.1.0.28488</vt:lpwstr>
  </property>
  <property fmtid="{D5CDD505-2E9C-101B-9397-08002B2CF9AE}" pid="6" name="ICV">
    <vt:lpwstr>8295223DA1C74950BC0492D5EC31E734_13</vt:lpwstr>
  </property>
  <property fmtid="{D5CDD505-2E9C-101B-9397-08002B2CF9AE}" pid="7" name="KSOTemplateDocerSaveRecord">
    <vt:lpwstr>eyJoZGlkIjoiMDE5MzY4NTVmNWNkM2FiOTE3MzcxMWViN2E1MTkyMzYiLCJ1c2VySWQiOiI1MDc3ODA1MzIifQ==</vt:lpwstr>
  </property>
</Properties>
</file>