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DFD40">
      <w:pPr>
        <w:pStyle w:val="2"/>
        <w:spacing w:line="246" w:lineRule="auto"/>
      </w:pPr>
    </w:p>
    <w:p w14:paraId="4A0BFAF9">
      <w:pPr>
        <w:pStyle w:val="2"/>
        <w:spacing w:line="247" w:lineRule="auto"/>
      </w:pPr>
    </w:p>
    <w:p w14:paraId="68FC7DAE">
      <w:pPr>
        <w:spacing w:before="97" w:line="222" w:lineRule="auto"/>
        <w:ind w:left="2960"/>
        <w:outlineLvl w:val="0"/>
        <w:rPr>
          <w:rFonts w:ascii="黑体" w:hAnsi="黑体" w:eastAsia="黑体" w:cs="黑体"/>
          <w:sz w:val="30"/>
          <w:szCs w:val="30"/>
        </w:rPr>
      </w:pPr>
      <w:r>
        <w:rPr>
          <w:rFonts w:ascii="黑体" w:hAnsi="黑体" w:eastAsia="黑体" w:cs="黑体"/>
          <w:spacing w:val="-2"/>
          <w:sz w:val="30"/>
          <w:szCs w:val="30"/>
        </w:rPr>
        <w:t>一、建设项目基本情况</w:t>
      </w:r>
    </w:p>
    <w:p w14:paraId="01D3F5ED">
      <w:pPr>
        <w:spacing w:before="22"/>
      </w:pPr>
    </w:p>
    <w:tbl>
      <w:tblPr>
        <w:tblStyle w:val="5"/>
        <w:tblW w:w="887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43"/>
        <w:gridCol w:w="1878"/>
        <w:gridCol w:w="1716"/>
        <w:gridCol w:w="2937"/>
      </w:tblGrid>
      <w:tr w14:paraId="560AF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2343" w:type="dxa"/>
            <w:tcBorders>
              <w:top w:val="single" w:color="000000" w:sz="6" w:space="0"/>
              <w:left w:val="single" w:color="000000" w:sz="6" w:space="0"/>
            </w:tcBorders>
            <w:vAlign w:val="top"/>
          </w:tcPr>
          <w:p w14:paraId="4AF43C64">
            <w:pPr>
              <w:pStyle w:val="6"/>
              <w:spacing w:before="204" w:line="220" w:lineRule="auto"/>
              <w:ind w:left="454"/>
            </w:pPr>
            <w:r>
              <w:rPr>
                <w:spacing w:val="-3"/>
              </w:rPr>
              <w:t>建设项目名称</w:t>
            </w:r>
          </w:p>
        </w:tc>
        <w:tc>
          <w:tcPr>
            <w:tcW w:w="6531" w:type="dxa"/>
            <w:gridSpan w:val="3"/>
            <w:tcBorders>
              <w:top w:val="single" w:color="000000" w:sz="6" w:space="0"/>
              <w:right w:val="single" w:color="000000" w:sz="6" w:space="0"/>
            </w:tcBorders>
            <w:vAlign w:val="top"/>
          </w:tcPr>
          <w:p w14:paraId="5CD6F7A5">
            <w:pPr>
              <w:pStyle w:val="6"/>
              <w:spacing w:before="203" w:line="219" w:lineRule="auto"/>
              <w:ind w:left="866"/>
            </w:pPr>
            <w:r>
              <w:rPr>
                <w:spacing w:val="-1"/>
              </w:rPr>
              <w:t>托克逊县夏镇布拉克贝希村水洗厂煤改气工程</w:t>
            </w:r>
          </w:p>
        </w:tc>
      </w:tr>
      <w:tr w14:paraId="5F9CAF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7" w:hRule="atLeast"/>
        </w:trPr>
        <w:tc>
          <w:tcPr>
            <w:tcW w:w="2343" w:type="dxa"/>
            <w:tcBorders>
              <w:left w:val="single" w:color="000000" w:sz="6" w:space="0"/>
            </w:tcBorders>
            <w:vAlign w:val="top"/>
          </w:tcPr>
          <w:p w14:paraId="41609A44">
            <w:pPr>
              <w:spacing w:line="297" w:lineRule="auto"/>
              <w:rPr>
                <w:rFonts w:ascii="Arial"/>
                <w:sz w:val="21"/>
              </w:rPr>
            </w:pPr>
          </w:p>
          <w:p w14:paraId="15597CBF">
            <w:pPr>
              <w:spacing w:line="298" w:lineRule="auto"/>
              <w:rPr>
                <w:rFonts w:ascii="Arial"/>
                <w:sz w:val="21"/>
              </w:rPr>
            </w:pPr>
          </w:p>
          <w:p w14:paraId="0A00A12A">
            <w:pPr>
              <w:pStyle w:val="6"/>
              <w:spacing w:before="78" w:line="242" w:lineRule="auto"/>
              <w:ind w:left="695" w:right="690" w:firstLine="19"/>
            </w:pPr>
            <w:r>
              <w:rPr>
                <w:spacing w:val="-9"/>
              </w:rPr>
              <w:t>国民经济</w:t>
            </w:r>
            <w:r>
              <w:rPr>
                <w:spacing w:val="-4"/>
              </w:rPr>
              <w:t>行业类别</w:t>
            </w:r>
          </w:p>
        </w:tc>
        <w:tc>
          <w:tcPr>
            <w:tcW w:w="1878" w:type="dxa"/>
            <w:vAlign w:val="top"/>
          </w:tcPr>
          <w:p w14:paraId="01D48E87">
            <w:pPr>
              <w:spacing w:line="322" w:lineRule="auto"/>
              <w:rPr>
                <w:rFonts w:ascii="Arial"/>
                <w:sz w:val="21"/>
              </w:rPr>
            </w:pPr>
          </w:p>
          <w:p w14:paraId="04CF86F2">
            <w:pPr>
              <w:spacing w:line="323" w:lineRule="auto"/>
              <w:rPr>
                <w:rFonts w:ascii="Arial"/>
                <w:sz w:val="21"/>
              </w:rPr>
            </w:pPr>
          </w:p>
          <w:p w14:paraId="22DBBFA0">
            <w:pPr>
              <w:spacing w:before="69" w:line="188" w:lineRule="auto"/>
              <w:ind w:left="611"/>
              <w:rPr>
                <w:rFonts w:ascii="Times New Roman" w:hAnsi="Times New Roman" w:eastAsia="Times New Roman" w:cs="Times New Roman"/>
                <w:sz w:val="24"/>
                <w:szCs w:val="24"/>
              </w:rPr>
            </w:pPr>
            <w:r>
              <w:rPr>
                <w:rFonts w:ascii="Times New Roman" w:hAnsi="Times New Roman" w:eastAsia="Times New Roman" w:cs="Times New Roman"/>
                <w:spacing w:val="-1"/>
                <w:sz w:val="24"/>
                <w:szCs w:val="24"/>
              </w:rPr>
              <w:t>D4430</w:t>
            </w:r>
          </w:p>
          <w:p w14:paraId="52FBD0ED">
            <w:pPr>
              <w:pStyle w:val="6"/>
              <w:spacing w:before="34" w:line="219" w:lineRule="auto"/>
              <w:ind w:left="107"/>
            </w:pPr>
            <w:r>
              <w:rPr>
                <w:spacing w:val="-3"/>
              </w:rPr>
              <w:t>热力生产和供应</w:t>
            </w:r>
          </w:p>
        </w:tc>
        <w:tc>
          <w:tcPr>
            <w:tcW w:w="1716" w:type="dxa"/>
            <w:vAlign w:val="top"/>
          </w:tcPr>
          <w:p w14:paraId="787CC059">
            <w:pPr>
              <w:spacing w:line="297" w:lineRule="auto"/>
              <w:rPr>
                <w:rFonts w:ascii="Arial"/>
                <w:sz w:val="21"/>
              </w:rPr>
            </w:pPr>
          </w:p>
          <w:p w14:paraId="35401520">
            <w:pPr>
              <w:spacing w:line="298" w:lineRule="auto"/>
              <w:rPr>
                <w:rFonts w:ascii="Arial"/>
                <w:sz w:val="21"/>
              </w:rPr>
            </w:pPr>
          </w:p>
          <w:p w14:paraId="07815A64">
            <w:pPr>
              <w:pStyle w:val="6"/>
              <w:spacing w:before="78" w:line="242" w:lineRule="auto"/>
              <w:ind w:left="388" w:right="375"/>
            </w:pPr>
            <w:r>
              <w:rPr>
                <w:spacing w:val="-4"/>
              </w:rPr>
              <w:t>建设项目行业类别</w:t>
            </w:r>
          </w:p>
        </w:tc>
        <w:tc>
          <w:tcPr>
            <w:tcW w:w="2937" w:type="dxa"/>
            <w:tcBorders>
              <w:right w:val="single" w:color="000000" w:sz="6" w:space="0"/>
            </w:tcBorders>
            <w:vAlign w:val="top"/>
          </w:tcPr>
          <w:p w14:paraId="40D38EF6">
            <w:pPr>
              <w:pStyle w:val="6"/>
              <w:spacing w:before="52"/>
              <w:ind w:left="13" w:right="4" w:firstLine="22"/>
              <w:jc w:val="both"/>
            </w:pPr>
            <w:r>
              <w:rPr>
                <w:spacing w:val="-3"/>
              </w:rPr>
              <w:t>四十一、电力、热力生产和供应业；</w:t>
            </w:r>
            <w:r>
              <w:rPr>
                <w:rFonts w:ascii="Times New Roman" w:hAnsi="Times New Roman" w:eastAsia="Times New Roman" w:cs="Times New Roman"/>
                <w:spacing w:val="-3"/>
              </w:rPr>
              <w:t>91.</w:t>
            </w:r>
            <w:r>
              <w:rPr>
                <w:spacing w:val="-3"/>
              </w:rPr>
              <w:t>热力生产和供应</w:t>
            </w:r>
            <w:r>
              <w:rPr>
                <w:spacing w:val="-1"/>
              </w:rPr>
              <w:t>工程（包括建设单位自建自用的工程）</w:t>
            </w:r>
            <w:r>
              <w:rPr>
                <w:rFonts w:ascii="Times New Roman" w:hAnsi="Times New Roman" w:eastAsia="Times New Roman" w:cs="Times New Roman"/>
                <w:spacing w:val="-1"/>
              </w:rPr>
              <w:t>--</w:t>
            </w:r>
            <w:r>
              <w:rPr>
                <w:spacing w:val="-1"/>
              </w:rPr>
              <w:t>天然气锅炉总</w:t>
            </w:r>
            <w:r>
              <w:rPr>
                <w:spacing w:val="-4"/>
              </w:rPr>
              <w:t>容量</w:t>
            </w:r>
            <w:r>
              <w:rPr>
                <w:spacing w:val="-31"/>
              </w:rPr>
              <w:t xml:space="preserve"> </w:t>
            </w:r>
            <w:r>
              <w:rPr>
                <w:rFonts w:ascii="Times New Roman" w:hAnsi="Times New Roman" w:eastAsia="Times New Roman" w:cs="Times New Roman"/>
                <w:spacing w:val="-4"/>
              </w:rPr>
              <w:t>1</w:t>
            </w:r>
            <w:r>
              <w:rPr>
                <w:rFonts w:ascii="Times New Roman" w:hAnsi="Times New Roman" w:eastAsia="Times New Roman" w:cs="Times New Roman"/>
                <w:spacing w:val="21"/>
              </w:rPr>
              <w:t xml:space="preserve"> </w:t>
            </w:r>
            <w:r>
              <w:rPr>
                <w:spacing w:val="-4"/>
              </w:rPr>
              <w:t>吨</w:t>
            </w:r>
            <w:r>
              <w:rPr>
                <w:rFonts w:ascii="Times New Roman" w:hAnsi="Times New Roman" w:eastAsia="Times New Roman" w:cs="Times New Roman"/>
                <w:spacing w:val="-4"/>
              </w:rPr>
              <w:t>/</w:t>
            </w:r>
            <w:r>
              <w:rPr>
                <w:spacing w:val="-4"/>
              </w:rPr>
              <w:t>小时（</w:t>
            </w:r>
            <w:r>
              <w:rPr>
                <w:rFonts w:ascii="Times New Roman" w:hAnsi="Times New Roman" w:eastAsia="Times New Roman" w:cs="Times New Roman"/>
                <w:spacing w:val="-4"/>
              </w:rPr>
              <w:t xml:space="preserve">0.7 </w:t>
            </w:r>
            <w:r>
              <w:rPr>
                <w:spacing w:val="-4"/>
              </w:rPr>
              <w:t>兆瓦）</w:t>
            </w:r>
          </w:p>
          <w:p w14:paraId="22C98B58">
            <w:pPr>
              <w:pStyle w:val="6"/>
              <w:spacing w:line="203" w:lineRule="auto"/>
              <w:ind w:left="40"/>
            </w:pPr>
            <w:r>
              <w:rPr>
                <w:spacing w:val="-13"/>
              </w:rPr>
              <w:t>以上的</w:t>
            </w:r>
          </w:p>
        </w:tc>
      </w:tr>
      <w:tr w14:paraId="48B8F7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trPr>
        <w:tc>
          <w:tcPr>
            <w:tcW w:w="2343" w:type="dxa"/>
            <w:tcBorders>
              <w:left w:val="single" w:color="000000" w:sz="6" w:space="0"/>
            </w:tcBorders>
            <w:vAlign w:val="top"/>
          </w:tcPr>
          <w:p w14:paraId="0DDBD636">
            <w:pPr>
              <w:spacing w:line="441" w:lineRule="auto"/>
              <w:rPr>
                <w:rFonts w:ascii="Arial"/>
                <w:sz w:val="21"/>
              </w:rPr>
            </w:pPr>
          </w:p>
          <w:p w14:paraId="254B25FE">
            <w:pPr>
              <w:pStyle w:val="6"/>
              <w:spacing w:before="78" w:line="220" w:lineRule="auto"/>
              <w:ind w:left="694"/>
            </w:pPr>
            <w:r>
              <w:rPr>
                <w:spacing w:val="-4"/>
              </w:rPr>
              <w:t>建设性质</w:t>
            </w:r>
          </w:p>
        </w:tc>
        <w:tc>
          <w:tcPr>
            <w:tcW w:w="1878" w:type="dxa"/>
            <w:vAlign w:val="top"/>
          </w:tcPr>
          <w:p w14:paraId="4927EDAC">
            <w:pPr>
              <w:pStyle w:val="6"/>
              <w:spacing w:before="56" w:line="239" w:lineRule="auto"/>
              <w:ind w:left="31" w:right="216" w:hanging="15"/>
            </w:pPr>
            <w:r>
              <w:rPr>
                <w:rFonts w:ascii="MS Gothic" w:hAnsi="MS Gothic" w:eastAsia="MS Gothic" w:cs="MS Gothic"/>
                <w:spacing w:val="-6"/>
              </w:rPr>
              <w:t>☑</w:t>
            </w:r>
            <w:r>
              <w:rPr>
                <w:spacing w:val="-6"/>
              </w:rPr>
              <w:t>新建（迁建）</w:t>
            </w:r>
            <w:r>
              <w:rPr>
                <w:spacing w:val="1"/>
              </w:rPr>
              <w:t xml:space="preserve"> </w:t>
            </w:r>
            <w:r>
              <w:rPr>
                <w:spacing w:val="-12"/>
              </w:rPr>
              <w:t>□改建</w:t>
            </w:r>
          </w:p>
          <w:p w14:paraId="6995D221">
            <w:pPr>
              <w:pStyle w:val="6"/>
              <w:spacing w:line="220" w:lineRule="auto"/>
              <w:ind w:left="31"/>
            </w:pPr>
            <w:r>
              <w:rPr>
                <w:spacing w:val="-12"/>
              </w:rPr>
              <w:t>□扩建</w:t>
            </w:r>
          </w:p>
          <w:p w14:paraId="00E1D13B">
            <w:pPr>
              <w:pStyle w:val="6"/>
              <w:spacing w:before="25" w:line="203" w:lineRule="auto"/>
              <w:ind w:left="31"/>
            </w:pPr>
            <w:r>
              <w:rPr>
                <w:spacing w:val="-7"/>
              </w:rPr>
              <w:t>□技术改造</w:t>
            </w:r>
          </w:p>
        </w:tc>
        <w:tc>
          <w:tcPr>
            <w:tcW w:w="1716" w:type="dxa"/>
            <w:vAlign w:val="top"/>
          </w:tcPr>
          <w:p w14:paraId="14DA5C06">
            <w:pPr>
              <w:spacing w:line="289" w:lineRule="auto"/>
              <w:rPr>
                <w:rFonts w:ascii="Arial"/>
                <w:sz w:val="21"/>
              </w:rPr>
            </w:pPr>
          </w:p>
          <w:p w14:paraId="12D9BCA9">
            <w:pPr>
              <w:pStyle w:val="6"/>
              <w:spacing w:before="78"/>
              <w:ind w:left="416" w:right="375" w:hanging="28"/>
            </w:pPr>
            <w:r>
              <w:rPr>
                <w:spacing w:val="-4"/>
              </w:rPr>
              <w:t>建设项目</w:t>
            </w:r>
            <w:r>
              <w:rPr>
                <w:spacing w:val="-11"/>
              </w:rPr>
              <w:t>申报情形</w:t>
            </w:r>
          </w:p>
        </w:tc>
        <w:tc>
          <w:tcPr>
            <w:tcW w:w="2937" w:type="dxa"/>
            <w:tcBorders>
              <w:right w:val="single" w:color="000000" w:sz="6" w:space="0"/>
            </w:tcBorders>
            <w:vAlign w:val="top"/>
          </w:tcPr>
          <w:p w14:paraId="4F269EC5">
            <w:pPr>
              <w:pStyle w:val="6"/>
              <w:spacing w:before="57" w:line="219" w:lineRule="auto"/>
              <w:ind w:left="22"/>
            </w:pPr>
            <w:r>
              <w:rPr>
                <w:rFonts w:ascii="MS UI Gothic" w:hAnsi="MS UI Gothic" w:eastAsia="MS UI Gothic" w:cs="MS UI Gothic"/>
                <w:spacing w:val="-3"/>
              </w:rPr>
              <w:t>☑</w:t>
            </w:r>
            <w:r>
              <w:rPr>
                <w:spacing w:val="-3"/>
              </w:rPr>
              <w:t>首次申报项目</w:t>
            </w:r>
          </w:p>
          <w:p w14:paraId="4428055A">
            <w:pPr>
              <w:pStyle w:val="6"/>
              <w:spacing w:before="27" w:line="219" w:lineRule="auto"/>
              <w:ind w:left="37"/>
            </w:pPr>
            <w:r>
              <w:rPr>
                <w:spacing w:val="-3"/>
              </w:rPr>
              <w:t>□不予批准后再次申报项目</w:t>
            </w:r>
          </w:p>
          <w:p w14:paraId="2A416AC7">
            <w:pPr>
              <w:pStyle w:val="6"/>
              <w:spacing w:before="24" w:line="219" w:lineRule="auto"/>
              <w:ind w:left="37"/>
            </w:pPr>
            <w:r>
              <w:rPr>
                <w:spacing w:val="-4"/>
              </w:rPr>
              <w:t>□超五年重新审核项目</w:t>
            </w:r>
          </w:p>
          <w:p w14:paraId="1CF01449">
            <w:pPr>
              <w:pStyle w:val="6"/>
              <w:spacing w:before="26" w:line="203" w:lineRule="auto"/>
              <w:ind w:left="37"/>
            </w:pPr>
            <w:r>
              <w:rPr>
                <w:spacing w:val="-4"/>
              </w:rPr>
              <w:t>□重大变动重新报批项目</w:t>
            </w:r>
          </w:p>
        </w:tc>
      </w:tr>
      <w:tr w14:paraId="564278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4" w:hRule="atLeast"/>
        </w:trPr>
        <w:tc>
          <w:tcPr>
            <w:tcW w:w="2343" w:type="dxa"/>
            <w:tcBorders>
              <w:left w:val="single" w:color="000000" w:sz="6" w:space="0"/>
            </w:tcBorders>
            <w:vAlign w:val="top"/>
          </w:tcPr>
          <w:p w14:paraId="22ED0E1D">
            <w:pPr>
              <w:pStyle w:val="6"/>
              <w:spacing w:before="184" w:line="218" w:lineRule="auto"/>
              <w:ind w:left="212"/>
            </w:pPr>
            <w:r>
              <w:rPr>
                <w:spacing w:val="-2"/>
              </w:rPr>
              <w:t>专项评价设置情况</w:t>
            </w:r>
          </w:p>
        </w:tc>
        <w:tc>
          <w:tcPr>
            <w:tcW w:w="6531" w:type="dxa"/>
            <w:gridSpan w:val="3"/>
            <w:tcBorders>
              <w:right w:val="single" w:color="000000" w:sz="6" w:space="0"/>
            </w:tcBorders>
            <w:vAlign w:val="top"/>
          </w:tcPr>
          <w:p w14:paraId="26B7D1CD">
            <w:pPr>
              <w:spacing w:before="281" w:line="192" w:lineRule="auto"/>
              <w:ind w:left="3228"/>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67DBA4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 w:hRule="atLeast"/>
        </w:trPr>
        <w:tc>
          <w:tcPr>
            <w:tcW w:w="2343" w:type="dxa"/>
            <w:tcBorders>
              <w:left w:val="single" w:color="000000" w:sz="6" w:space="0"/>
            </w:tcBorders>
            <w:vAlign w:val="top"/>
          </w:tcPr>
          <w:p w14:paraId="24D9D209">
            <w:pPr>
              <w:pStyle w:val="6"/>
              <w:spacing w:before="97" w:line="220" w:lineRule="auto"/>
              <w:ind w:left="692"/>
            </w:pPr>
            <w:r>
              <w:rPr>
                <w:spacing w:val="-3"/>
              </w:rPr>
              <w:t>规划情况</w:t>
            </w:r>
          </w:p>
        </w:tc>
        <w:tc>
          <w:tcPr>
            <w:tcW w:w="6531" w:type="dxa"/>
            <w:gridSpan w:val="3"/>
            <w:tcBorders>
              <w:right w:val="single" w:color="000000" w:sz="6" w:space="0"/>
            </w:tcBorders>
            <w:vAlign w:val="top"/>
          </w:tcPr>
          <w:p w14:paraId="0FC6327D">
            <w:pPr>
              <w:spacing w:before="66" w:line="192" w:lineRule="auto"/>
              <w:ind w:left="322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4EF9F0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2343" w:type="dxa"/>
            <w:tcBorders>
              <w:left w:val="single" w:color="000000" w:sz="6" w:space="0"/>
            </w:tcBorders>
            <w:vAlign w:val="top"/>
          </w:tcPr>
          <w:p w14:paraId="1F74F320">
            <w:pPr>
              <w:pStyle w:val="6"/>
              <w:spacing w:before="46" w:line="219" w:lineRule="auto"/>
              <w:ind w:left="690" w:right="450" w:hanging="238"/>
            </w:pPr>
            <w:r>
              <w:rPr>
                <w:spacing w:val="-2"/>
              </w:rPr>
              <w:t>规划环境影响</w:t>
            </w:r>
            <w:r>
              <w:rPr>
                <w:spacing w:val="-3"/>
              </w:rPr>
              <w:t>评价情况</w:t>
            </w:r>
          </w:p>
        </w:tc>
        <w:tc>
          <w:tcPr>
            <w:tcW w:w="6531" w:type="dxa"/>
            <w:gridSpan w:val="3"/>
            <w:tcBorders>
              <w:right w:val="single" w:color="000000" w:sz="6" w:space="0"/>
            </w:tcBorders>
            <w:vAlign w:val="top"/>
          </w:tcPr>
          <w:p w14:paraId="45FDAD3E">
            <w:pPr>
              <w:spacing w:before="170" w:line="192" w:lineRule="auto"/>
              <w:ind w:left="322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407602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8" w:hRule="atLeast"/>
        </w:trPr>
        <w:tc>
          <w:tcPr>
            <w:tcW w:w="2343" w:type="dxa"/>
            <w:tcBorders>
              <w:left w:val="single" w:color="000000" w:sz="6" w:space="0"/>
            </w:tcBorders>
            <w:vAlign w:val="top"/>
          </w:tcPr>
          <w:p w14:paraId="295970EE">
            <w:pPr>
              <w:pStyle w:val="6"/>
              <w:spacing w:before="50" w:line="220" w:lineRule="auto"/>
              <w:ind w:left="332"/>
            </w:pPr>
            <w:r>
              <w:rPr>
                <w:spacing w:val="-2"/>
              </w:rPr>
              <w:t>规划及规划环境</w:t>
            </w:r>
          </w:p>
          <w:p w14:paraId="7F37D1B7">
            <w:pPr>
              <w:pStyle w:val="6"/>
              <w:spacing w:before="23" w:line="218" w:lineRule="auto"/>
              <w:ind w:left="211"/>
            </w:pPr>
            <w:r>
              <w:rPr>
                <w:spacing w:val="-2"/>
              </w:rPr>
              <w:t>影响评价符合性分</w:t>
            </w:r>
          </w:p>
          <w:p w14:paraId="1373C458">
            <w:pPr>
              <w:pStyle w:val="6"/>
              <w:spacing w:before="28" w:line="197" w:lineRule="auto"/>
              <w:ind w:left="1053"/>
            </w:pPr>
            <w:r>
              <w:t>析</w:t>
            </w:r>
          </w:p>
        </w:tc>
        <w:tc>
          <w:tcPr>
            <w:tcW w:w="6531" w:type="dxa"/>
            <w:gridSpan w:val="3"/>
            <w:tcBorders>
              <w:right w:val="single" w:color="000000" w:sz="6" w:space="0"/>
            </w:tcBorders>
            <w:vAlign w:val="top"/>
          </w:tcPr>
          <w:p w14:paraId="21E3850B">
            <w:pPr>
              <w:spacing w:line="325" w:lineRule="auto"/>
              <w:rPr>
                <w:rFonts w:ascii="Arial"/>
                <w:sz w:val="21"/>
              </w:rPr>
            </w:pPr>
          </w:p>
          <w:p w14:paraId="059B62A7">
            <w:pPr>
              <w:spacing w:before="69" w:line="192" w:lineRule="auto"/>
              <w:ind w:left="3226"/>
              <w:rPr>
                <w:rFonts w:ascii="Times New Roman" w:hAnsi="Times New Roman" w:eastAsia="Times New Roman" w:cs="Times New Roman"/>
                <w:sz w:val="24"/>
                <w:szCs w:val="24"/>
              </w:rPr>
            </w:pPr>
            <w:r>
              <w:rPr>
                <w:rFonts w:ascii="Times New Roman" w:hAnsi="Times New Roman" w:eastAsia="Times New Roman" w:cs="Times New Roman"/>
                <w:sz w:val="24"/>
                <w:szCs w:val="24"/>
              </w:rPr>
              <w:t>/</w:t>
            </w:r>
          </w:p>
        </w:tc>
      </w:tr>
      <w:tr w14:paraId="4A92A6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99" w:hRule="atLeast"/>
        </w:trPr>
        <w:tc>
          <w:tcPr>
            <w:tcW w:w="2343" w:type="dxa"/>
            <w:tcBorders>
              <w:left w:val="single" w:color="000000" w:sz="6" w:space="0"/>
              <w:bottom w:val="single" w:color="000000" w:sz="6" w:space="0"/>
            </w:tcBorders>
            <w:vAlign w:val="top"/>
          </w:tcPr>
          <w:p w14:paraId="69387544">
            <w:pPr>
              <w:pStyle w:val="6"/>
              <w:spacing w:before="134" w:line="219" w:lineRule="auto"/>
              <w:ind w:left="332"/>
            </w:pPr>
            <w:r>
              <w:rPr>
                <w:spacing w:val="-2"/>
              </w:rPr>
              <w:t>其他符合性分析</w:t>
            </w:r>
          </w:p>
        </w:tc>
        <w:tc>
          <w:tcPr>
            <w:tcW w:w="6531" w:type="dxa"/>
            <w:gridSpan w:val="3"/>
            <w:tcBorders>
              <w:bottom w:val="single" w:color="000000" w:sz="6" w:space="0"/>
              <w:right w:val="single" w:color="000000" w:sz="6" w:space="0"/>
            </w:tcBorders>
            <w:vAlign w:val="top"/>
          </w:tcPr>
          <w:p w14:paraId="7D949BEE">
            <w:pPr>
              <w:spacing w:before="263" w:line="195" w:lineRule="auto"/>
              <w:ind w:left="3228"/>
              <w:rPr>
                <w:rFonts w:ascii="Times New Roman" w:hAnsi="Times New Roman" w:eastAsia="Times New Roman" w:cs="Times New Roman"/>
                <w:sz w:val="19"/>
                <w:szCs w:val="19"/>
              </w:rPr>
            </w:pPr>
            <w:r>
              <w:rPr>
                <w:rFonts w:ascii="Times New Roman" w:hAnsi="Times New Roman" w:eastAsia="Times New Roman" w:cs="Times New Roman"/>
                <w:b/>
                <w:bCs/>
                <w:spacing w:val="2"/>
                <w:sz w:val="19"/>
                <w:szCs w:val="19"/>
              </w:rPr>
              <w:t>/</w:t>
            </w:r>
          </w:p>
        </w:tc>
      </w:tr>
    </w:tbl>
    <w:p w14:paraId="0D946E92">
      <w:pPr>
        <w:pStyle w:val="2"/>
      </w:pPr>
    </w:p>
    <w:p w14:paraId="007FFB2D">
      <w:pPr>
        <w:sectPr>
          <w:footerReference r:id="rId5" w:type="default"/>
          <w:pgSz w:w="11906" w:h="16839"/>
          <w:pgMar w:top="1431" w:right="1508" w:bottom="1005" w:left="1508" w:header="0" w:footer="842" w:gutter="0"/>
          <w:cols w:space="720" w:num="1"/>
        </w:sectPr>
      </w:pPr>
    </w:p>
    <w:p w14:paraId="7A5F08E3">
      <w:pPr>
        <w:pStyle w:val="2"/>
        <w:spacing w:line="246" w:lineRule="auto"/>
      </w:pPr>
    </w:p>
    <w:p w14:paraId="4A5531D6">
      <w:pPr>
        <w:pStyle w:val="2"/>
        <w:spacing w:line="247" w:lineRule="auto"/>
      </w:pPr>
    </w:p>
    <w:p w14:paraId="2A1E2983">
      <w:pPr>
        <w:spacing w:before="97" w:line="222" w:lineRule="auto"/>
        <w:ind w:left="3055"/>
        <w:outlineLvl w:val="0"/>
        <w:rPr>
          <w:rFonts w:ascii="黑体" w:hAnsi="黑体" w:eastAsia="黑体" w:cs="黑体"/>
          <w:sz w:val="30"/>
          <w:szCs w:val="30"/>
        </w:rPr>
      </w:pPr>
      <w:r>
        <w:rPr>
          <w:rFonts w:ascii="黑体" w:hAnsi="黑体" w:eastAsia="黑体" w:cs="黑体"/>
          <w:spacing w:val="-2"/>
          <w:sz w:val="30"/>
          <w:szCs w:val="30"/>
        </w:rPr>
        <w:t>二、建设项目工程分析</w:t>
      </w:r>
    </w:p>
    <w:p w14:paraId="5EA9AB26">
      <w:pPr>
        <w:spacing w:before="22"/>
      </w:pPr>
    </w:p>
    <w:tbl>
      <w:tblPr>
        <w:tblStyle w:val="5"/>
        <w:tblW w:w="906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2"/>
        <w:gridCol w:w="8612"/>
      </w:tblGrid>
      <w:tr w14:paraId="2B3F6F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901" w:hRule="atLeast"/>
        </w:trPr>
        <w:tc>
          <w:tcPr>
            <w:tcW w:w="452" w:type="dxa"/>
            <w:tcBorders>
              <w:top w:val="single" w:color="000000" w:sz="6" w:space="0"/>
              <w:left w:val="single" w:color="000000" w:sz="6" w:space="0"/>
              <w:bottom w:val="nil"/>
            </w:tcBorders>
            <w:textDirection w:val="tbRlV"/>
            <w:vAlign w:val="top"/>
          </w:tcPr>
          <w:p w14:paraId="104D4B87">
            <w:pPr>
              <w:pStyle w:val="6"/>
              <w:spacing w:before="99" w:line="199" w:lineRule="auto"/>
              <w:ind w:left="5457"/>
            </w:pPr>
            <w:r>
              <w:rPr>
                <w:spacing w:val="52"/>
              </w:rPr>
              <w:t>建设</w:t>
            </w:r>
            <w:r>
              <w:rPr>
                <w:spacing w:val="52"/>
                <w:position w:val="1"/>
              </w:rPr>
              <w:t>内</w:t>
            </w:r>
            <w:r>
              <w:rPr>
                <w:spacing w:val="52"/>
              </w:rPr>
              <w:t>容</w:t>
            </w:r>
          </w:p>
        </w:tc>
        <w:tc>
          <w:tcPr>
            <w:tcW w:w="8612" w:type="dxa"/>
            <w:tcBorders>
              <w:top w:val="single" w:color="000000" w:sz="6" w:space="0"/>
              <w:right w:val="single" w:color="000000" w:sz="6" w:space="0"/>
            </w:tcBorders>
            <w:vAlign w:val="top"/>
          </w:tcPr>
          <w:p w14:paraId="5E0ABC18">
            <w:pPr>
              <w:pStyle w:val="6"/>
              <w:spacing w:before="183" w:line="219" w:lineRule="auto"/>
              <w:ind w:left="113"/>
            </w:pPr>
            <w:r>
              <w:rPr>
                <w:rFonts w:ascii="Times New Roman" w:hAnsi="Times New Roman" w:eastAsia="Times New Roman" w:cs="Times New Roman"/>
                <w:b/>
                <w:bCs/>
                <w:spacing w:val="-3"/>
              </w:rPr>
              <w:t>1.</w:t>
            </w:r>
            <w:r>
              <w:rPr>
                <w:b/>
                <w:bCs/>
                <w:spacing w:val="-3"/>
              </w:rPr>
              <w:t>工程建设内容及规模</w:t>
            </w:r>
          </w:p>
          <w:p w14:paraId="0B58E8B3">
            <w:pPr>
              <w:pStyle w:val="6"/>
              <w:spacing w:before="195" w:line="369" w:lineRule="auto"/>
              <w:ind w:left="113" w:right="102" w:firstLine="474"/>
            </w:pPr>
            <w:r>
              <w:rPr>
                <w:spacing w:val="-5"/>
              </w:rPr>
              <w:t>本项目拟将托克逊县夏镇布拉克贝西村水洗厂燃煤锅炉拆除，新建</w:t>
            </w:r>
            <w:r>
              <w:rPr>
                <w:spacing w:val="-20"/>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28"/>
                <w:w w:val="101"/>
              </w:rPr>
              <w:t xml:space="preserve"> </w:t>
            </w:r>
            <w:r>
              <w:rPr>
                <w:spacing w:val="-5"/>
              </w:rPr>
              <w:t>台</w:t>
            </w:r>
            <w:r>
              <w:rPr>
                <w:spacing w:val="-55"/>
              </w:rPr>
              <w:t xml:space="preserve"> </w:t>
            </w:r>
            <w:r>
              <w:rPr>
                <w:rFonts w:ascii="Times New Roman" w:hAnsi="Times New Roman" w:eastAsia="Times New Roman" w:cs="Times New Roman"/>
                <w:spacing w:val="-5"/>
              </w:rPr>
              <w:t>2</w:t>
            </w:r>
            <w:r>
              <w:rPr>
                <w:rFonts w:ascii="Times New Roman" w:hAnsi="Times New Roman" w:eastAsia="Times New Roman" w:cs="Times New Roman"/>
                <w:spacing w:val="20"/>
                <w:w w:val="101"/>
              </w:rPr>
              <w:t xml:space="preserve"> </w:t>
            </w:r>
            <w:r>
              <w:rPr>
                <w:spacing w:val="-5"/>
              </w:rPr>
              <w:t>吨</w:t>
            </w:r>
            <w:r>
              <w:rPr>
                <w:rFonts w:ascii="Times New Roman" w:hAnsi="Times New Roman" w:eastAsia="Times New Roman" w:cs="Times New Roman"/>
                <w:spacing w:val="-5"/>
              </w:rPr>
              <w:t>/</w:t>
            </w:r>
            <w:r>
              <w:rPr>
                <w:spacing w:val="-2"/>
              </w:rPr>
              <w:t>小时燃气锅炉及配套设施。</w:t>
            </w:r>
          </w:p>
          <w:p w14:paraId="5067FD9D">
            <w:pPr>
              <w:pStyle w:val="6"/>
              <w:spacing w:line="219" w:lineRule="auto"/>
              <w:ind w:left="591"/>
            </w:pPr>
            <w:r>
              <w:rPr>
                <w:spacing w:val="-4"/>
              </w:rPr>
              <w:t>具体工程组成内容见表</w:t>
            </w:r>
            <w:r>
              <w:rPr>
                <w:rFonts w:ascii="Times New Roman" w:hAnsi="Times New Roman" w:eastAsia="Times New Roman" w:cs="Times New Roman"/>
                <w:spacing w:val="-4"/>
              </w:rPr>
              <w:t>2-</w:t>
            </w:r>
            <w:r>
              <w:rPr>
                <w:rFonts w:ascii="Times New Roman" w:hAnsi="Times New Roman" w:eastAsia="Times New Roman" w:cs="Times New Roman"/>
                <w:spacing w:val="-20"/>
              </w:rPr>
              <w:t xml:space="preserve"> </w:t>
            </w:r>
            <w:r>
              <w:rPr>
                <w:rFonts w:ascii="Times New Roman" w:hAnsi="Times New Roman" w:eastAsia="Times New Roman" w:cs="Times New Roman"/>
                <w:spacing w:val="-4"/>
              </w:rPr>
              <w:t>1</w:t>
            </w:r>
            <w:r>
              <w:rPr>
                <w:spacing w:val="-4"/>
              </w:rPr>
              <w:t>。</w:t>
            </w:r>
          </w:p>
          <w:p w14:paraId="50024785">
            <w:pPr>
              <w:pStyle w:val="6"/>
              <w:spacing w:before="48" w:line="222" w:lineRule="auto"/>
              <w:ind w:left="2876"/>
              <w:rPr>
                <w:sz w:val="20"/>
                <w:szCs w:val="20"/>
              </w:rPr>
            </w:pPr>
            <w:r>
              <w:rPr>
                <w:b/>
                <w:bCs/>
                <w:spacing w:val="5"/>
                <w:sz w:val="20"/>
                <w:szCs w:val="20"/>
              </w:rPr>
              <w:t>表</w:t>
            </w:r>
            <w:r>
              <w:rPr>
                <w:spacing w:val="-30"/>
                <w:sz w:val="20"/>
                <w:szCs w:val="20"/>
              </w:rPr>
              <w:t xml:space="preserve"> </w:t>
            </w:r>
            <w:r>
              <w:rPr>
                <w:rFonts w:ascii="Times New Roman" w:hAnsi="Times New Roman" w:eastAsia="Times New Roman" w:cs="Times New Roman"/>
                <w:b/>
                <w:bCs/>
                <w:spacing w:val="5"/>
                <w:sz w:val="20"/>
                <w:szCs w:val="20"/>
              </w:rPr>
              <w:t xml:space="preserve">2-1    </w:t>
            </w:r>
            <w:r>
              <w:rPr>
                <w:b/>
                <w:bCs/>
                <w:spacing w:val="5"/>
                <w:sz w:val="20"/>
                <w:szCs w:val="20"/>
              </w:rPr>
              <w:t>本项目工程组成一览表</w:t>
            </w:r>
          </w:p>
          <w:tbl>
            <w:tblPr>
              <w:tblStyle w:val="5"/>
              <w:tblW w:w="8400" w:type="dxa"/>
              <w:tblInd w:w="9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85"/>
              <w:gridCol w:w="1119"/>
              <w:gridCol w:w="5428"/>
              <w:gridCol w:w="868"/>
            </w:tblGrid>
            <w:tr w14:paraId="208853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0" w:hRule="atLeast"/>
              </w:trPr>
              <w:tc>
                <w:tcPr>
                  <w:tcW w:w="985" w:type="dxa"/>
                  <w:vAlign w:val="top"/>
                </w:tcPr>
                <w:p w14:paraId="20DFB1E1">
                  <w:pPr>
                    <w:pStyle w:val="6"/>
                    <w:spacing w:before="114" w:line="227" w:lineRule="auto"/>
                    <w:ind w:left="79"/>
                    <w:rPr>
                      <w:sz w:val="20"/>
                      <w:szCs w:val="20"/>
                    </w:rPr>
                  </w:pPr>
                  <w:r>
                    <w:rPr>
                      <w:b/>
                      <w:bCs/>
                      <w:spacing w:val="5"/>
                      <w:sz w:val="20"/>
                      <w:szCs w:val="20"/>
                    </w:rPr>
                    <w:t>工程组成</w:t>
                  </w:r>
                </w:p>
              </w:tc>
              <w:tc>
                <w:tcPr>
                  <w:tcW w:w="1119" w:type="dxa"/>
                  <w:vAlign w:val="top"/>
                </w:tcPr>
                <w:p w14:paraId="037C075E">
                  <w:pPr>
                    <w:pStyle w:val="6"/>
                    <w:spacing w:before="114" w:line="227" w:lineRule="auto"/>
                    <w:ind w:left="145"/>
                    <w:rPr>
                      <w:sz w:val="20"/>
                      <w:szCs w:val="20"/>
                    </w:rPr>
                  </w:pPr>
                  <w:r>
                    <w:rPr>
                      <w:b/>
                      <w:bCs/>
                      <w:spacing w:val="5"/>
                      <w:sz w:val="20"/>
                      <w:szCs w:val="20"/>
                    </w:rPr>
                    <w:t>工程名称</w:t>
                  </w:r>
                </w:p>
              </w:tc>
              <w:tc>
                <w:tcPr>
                  <w:tcW w:w="5428" w:type="dxa"/>
                  <w:vAlign w:val="top"/>
                </w:tcPr>
                <w:p w14:paraId="335B713F">
                  <w:pPr>
                    <w:pStyle w:val="6"/>
                    <w:spacing w:before="114" w:line="227" w:lineRule="auto"/>
                    <w:ind w:left="2302"/>
                    <w:rPr>
                      <w:sz w:val="20"/>
                      <w:szCs w:val="20"/>
                    </w:rPr>
                  </w:pPr>
                  <w:r>
                    <w:rPr>
                      <w:b/>
                      <w:bCs/>
                      <w:spacing w:val="5"/>
                      <w:sz w:val="20"/>
                      <w:szCs w:val="20"/>
                    </w:rPr>
                    <w:t>建设内容</w:t>
                  </w:r>
                </w:p>
              </w:tc>
              <w:tc>
                <w:tcPr>
                  <w:tcW w:w="868" w:type="dxa"/>
                  <w:vAlign w:val="top"/>
                </w:tcPr>
                <w:p w14:paraId="44DA2342">
                  <w:pPr>
                    <w:pStyle w:val="6"/>
                    <w:spacing w:before="114" w:line="227" w:lineRule="auto"/>
                    <w:ind w:left="232"/>
                    <w:rPr>
                      <w:sz w:val="20"/>
                      <w:szCs w:val="20"/>
                    </w:rPr>
                  </w:pPr>
                  <w:r>
                    <w:rPr>
                      <w:b/>
                      <w:bCs/>
                      <w:spacing w:val="2"/>
                      <w:sz w:val="20"/>
                      <w:szCs w:val="20"/>
                    </w:rPr>
                    <w:t>备注</w:t>
                  </w:r>
                </w:p>
              </w:tc>
            </w:tr>
            <w:tr w14:paraId="77207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985" w:type="dxa"/>
                  <w:vAlign w:val="top"/>
                </w:tcPr>
                <w:p w14:paraId="5EA695D1">
                  <w:pPr>
                    <w:pStyle w:val="6"/>
                    <w:spacing w:before="109" w:line="229" w:lineRule="auto"/>
                    <w:ind w:left="289"/>
                    <w:rPr>
                      <w:sz w:val="20"/>
                      <w:szCs w:val="20"/>
                    </w:rPr>
                  </w:pPr>
                  <w:r>
                    <w:rPr>
                      <w:spacing w:val="3"/>
                      <w:sz w:val="20"/>
                      <w:szCs w:val="20"/>
                    </w:rPr>
                    <w:t>主体</w:t>
                  </w:r>
                </w:p>
                <w:p w14:paraId="6E6BE656">
                  <w:pPr>
                    <w:pStyle w:val="6"/>
                    <w:spacing w:before="111" w:line="226" w:lineRule="auto"/>
                    <w:ind w:left="290"/>
                    <w:rPr>
                      <w:sz w:val="20"/>
                      <w:szCs w:val="20"/>
                    </w:rPr>
                  </w:pPr>
                  <w:r>
                    <w:rPr>
                      <w:spacing w:val="3"/>
                      <w:sz w:val="20"/>
                      <w:szCs w:val="20"/>
                    </w:rPr>
                    <w:t>工程</w:t>
                  </w:r>
                </w:p>
              </w:tc>
              <w:tc>
                <w:tcPr>
                  <w:tcW w:w="1119" w:type="dxa"/>
                  <w:vAlign w:val="top"/>
                </w:tcPr>
                <w:p w14:paraId="0E024902">
                  <w:pPr>
                    <w:pStyle w:val="6"/>
                    <w:spacing w:before="289" w:line="228" w:lineRule="auto"/>
                    <w:ind w:left="248"/>
                    <w:rPr>
                      <w:sz w:val="20"/>
                      <w:szCs w:val="20"/>
                    </w:rPr>
                  </w:pPr>
                  <w:r>
                    <w:rPr>
                      <w:spacing w:val="6"/>
                      <w:sz w:val="20"/>
                      <w:szCs w:val="20"/>
                    </w:rPr>
                    <w:t>锅炉房</w:t>
                  </w:r>
                </w:p>
              </w:tc>
              <w:tc>
                <w:tcPr>
                  <w:tcW w:w="5428" w:type="dxa"/>
                  <w:vAlign w:val="top"/>
                </w:tcPr>
                <w:p w14:paraId="3D540F6E">
                  <w:pPr>
                    <w:pStyle w:val="6"/>
                    <w:spacing w:before="109" w:line="279" w:lineRule="auto"/>
                    <w:ind w:left="12" w:right="1" w:hanging="2"/>
                    <w:rPr>
                      <w:sz w:val="20"/>
                      <w:szCs w:val="20"/>
                    </w:rPr>
                  </w:pPr>
                  <w:r>
                    <w:rPr>
                      <w:spacing w:val="1"/>
                      <w:sz w:val="20"/>
                      <w:szCs w:val="20"/>
                    </w:rPr>
                    <w:t>地上一层，占地面积</w:t>
                  </w:r>
                  <w:r>
                    <w:rPr>
                      <w:spacing w:val="-12"/>
                      <w:sz w:val="20"/>
                      <w:szCs w:val="20"/>
                    </w:rPr>
                    <w:t xml:space="preserve"> </w:t>
                  </w:r>
                  <w:r>
                    <w:rPr>
                      <w:rFonts w:ascii="Times New Roman" w:hAnsi="Times New Roman" w:eastAsia="Times New Roman" w:cs="Times New Roman"/>
                      <w:spacing w:val="1"/>
                      <w:sz w:val="20"/>
                      <w:szCs w:val="20"/>
                    </w:rPr>
                    <w:t xml:space="preserve">100 </w:t>
                  </w:r>
                  <w:r>
                    <w:rPr>
                      <w:spacing w:val="1"/>
                      <w:sz w:val="20"/>
                      <w:szCs w:val="20"/>
                    </w:rPr>
                    <w:t>平方米，安装</w:t>
                  </w:r>
                  <w:r>
                    <w:rPr>
                      <w:spacing w:val="-18"/>
                      <w:sz w:val="20"/>
                      <w:szCs w:val="20"/>
                    </w:rPr>
                    <w:t xml:space="preserve"> </w:t>
                  </w:r>
                  <w:r>
                    <w:rPr>
                      <w:rFonts w:ascii="Times New Roman" w:hAnsi="Times New Roman" w:eastAsia="Times New Roman" w:cs="Times New Roman"/>
                      <w:spacing w:val="1"/>
                      <w:sz w:val="20"/>
                      <w:szCs w:val="20"/>
                    </w:rPr>
                    <w:t>1</w:t>
                  </w:r>
                  <w:r>
                    <w:rPr>
                      <w:rFonts w:ascii="Times New Roman" w:hAnsi="Times New Roman" w:eastAsia="Times New Roman" w:cs="Times New Roman"/>
                      <w:spacing w:val="26"/>
                      <w:w w:val="101"/>
                      <w:sz w:val="20"/>
                      <w:szCs w:val="20"/>
                    </w:rPr>
                    <w:t xml:space="preserve"> </w:t>
                  </w:r>
                  <w:r>
                    <w:rPr>
                      <w:spacing w:val="1"/>
                      <w:sz w:val="20"/>
                      <w:szCs w:val="20"/>
                    </w:rPr>
                    <w:t>台</w:t>
                  </w:r>
                  <w:r>
                    <w:rPr>
                      <w:spacing w:val="-41"/>
                      <w:sz w:val="20"/>
                      <w:szCs w:val="20"/>
                    </w:rPr>
                    <w:t xml:space="preserve"> </w:t>
                  </w:r>
                  <w:r>
                    <w:rPr>
                      <w:rFonts w:ascii="Times New Roman" w:hAnsi="Times New Roman" w:eastAsia="Times New Roman" w:cs="Times New Roman"/>
                      <w:spacing w:val="1"/>
                      <w:sz w:val="20"/>
                      <w:szCs w:val="20"/>
                    </w:rPr>
                    <w:t>2</w:t>
                  </w:r>
                  <w:r>
                    <w:rPr>
                      <w:rFonts w:ascii="Times New Roman" w:hAnsi="Times New Roman" w:eastAsia="Times New Roman" w:cs="Times New Roman"/>
                      <w:spacing w:val="20"/>
                      <w:sz w:val="20"/>
                      <w:szCs w:val="20"/>
                    </w:rPr>
                    <w:t xml:space="preserve"> </w:t>
                  </w:r>
                  <w:r>
                    <w:rPr>
                      <w:spacing w:val="1"/>
                      <w:sz w:val="20"/>
                      <w:szCs w:val="20"/>
                    </w:rPr>
                    <w:t>吨</w:t>
                  </w:r>
                  <w:r>
                    <w:rPr>
                      <w:rFonts w:ascii="Times New Roman" w:hAnsi="Times New Roman" w:eastAsia="Times New Roman" w:cs="Times New Roman"/>
                      <w:spacing w:val="1"/>
                      <w:sz w:val="20"/>
                      <w:szCs w:val="20"/>
                    </w:rPr>
                    <w:t>/</w:t>
                  </w:r>
                  <w:r>
                    <w:rPr>
                      <w:spacing w:val="1"/>
                      <w:sz w:val="20"/>
                      <w:szCs w:val="20"/>
                    </w:rPr>
                    <w:t>小时燃气锅</w:t>
                  </w:r>
                  <w:r>
                    <w:rPr>
                      <w:sz w:val="20"/>
                      <w:szCs w:val="20"/>
                    </w:rPr>
                    <w:t>炉</w:t>
                  </w:r>
                </w:p>
              </w:tc>
              <w:tc>
                <w:tcPr>
                  <w:tcW w:w="868" w:type="dxa"/>
                  <w:vAlign w:val="top"/>
                </w:tcPr>
                <w:p w14:paraId="48B54E59">
                  <w:pPr>
                    <w:pStyle w:val="6"/>
                    <w:spacing w:before="289" w:line="228" w:lineRule="auto"/>
                    <w:ind w:left="230"/>
                    <w:rPr>
                      <w:sz w:val="20"/>
                      <w:szCs w:val="20"/>
                    </w:rPr>
                  </w:pPr>
                  <w:r>
                    <w:rPr>
                      <w:spacing w:val="4"/>
                      <w:sz w:val="20"/>
                      <w:szCs w:val="20"/>
                    </w:rPr>
                    <w:t>新建</w:t>
                  </w:r>
                </w:p>
              </w:tc>
            </w:tr>
            <w:tr w14:paraId="73BB7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5" w:hRule="atLeast"/>
              </w:trPr>
              <w:tc>
                <w:tcPr>
                  <w:tcW w:w="985" w:type="dxa"/>
                  <w:vAlign w:val="top"/>
                </w:tcPr>
                <w:p w14:paraId="6A281C4B">
                  <w:pPr>
                    <w:pStyle w:val="6"/>
                    <w:spacing w:before="110" w:line="228" w:lineRule="auto"/>
                    <w:ind w:left="289"/>
                    <w:rPr>
                      <w:sz w:val="20"/>
                      <w:szCs w:val="20"/>
                    </w:rPr>
                  </w:pPr>
                  <w:r>
                    <w:rPr>
                      <w:spacing w:val="3"/>
                      <w:sz w:val="20"/>
                      <w:szCs w:val="20"/>
                    </w:rPr>
                    <w:t>辅助</w:t>
                  </w:r>
                </w:p>
                <w:p w14:paraId="36986478">
                  <w:pPr>
                    <w:pStyle w:val="6"/>
                    <w:spacing w:before="113" w:line="226" w:lineRule="auto"/>
                    <w:ind w:left="290"/>
                    <w:rPr>
                      <w:sz w:val="20"/>
                      <w:szCs w:val="20"/>
                    </w:rPr>
                  </w:pPr>
                  <w:r>
                    <w:rPr>
                      <w:spacing w:val="3"/>
                      <w:sz w:val="20"/>
                      <w:szCs w:val="20"/>
                    </w:rPr>
                    <w:t>工程</w:t>
                  </w:r>
                </w:p>
              </w:tc>
              <w:tc>
                <w:tcPr>
                  <w:tcW w:w="1119" w:type="dxa"/>
                  <w:vAlign w:val="top"/>
                </w:tcPr>
                <w:p w14:paraId="10A094A9">
                  <w:pPr>
                    <w:pStyle w:val="6"/>
                    <w:spacing w:before="110" w:line="279" w:lineRule="auto"/>
                    <w:ind w:left="343" w:right="124" w:hanging="224"/>
                    <w:rPr>
                      <w:sz w:val="20"/>
                      <w:szCs w:val="20"/>
                    </w:rPr>
                  </w:pPr>
                  <w:r>
                    <w:rPr>
                      <w:spacing w:val="17"/>
                      <w:sz w:val="20"/>
                      <w:szCs w:val="20"/>
                    </w:rPr>
                    <w:t>软水制备</w:t>
                  </w:r>
                  <w:r>
                    <w:rPr>
                      <w:spacing w:val="9"/>
                      <w:sz w:val="20"/>
                      <w:szCs w:val="20"/>
                    </w:rPr>
                    <w:t>系统</w:t>
                  </w:r>
                </w:p>
              </w:tc>
              <w:tc>
                <w:tcPr>
                  <w:tcW w:w="5428" w:type="dxa"/>
                  <w:vAlign w:val="top"/>
                </w:tcPr>
                <w:p w14:paraId="1BF7560A">
                  <w:pPr>
                    <w:pStyle w:val="6"/>
                    <w:spacing w:before="289" w:line="228" w:lineRule="auto"/>
                    <w:ind w:left="10"/>
                    <w:rPr>
                      <w:sz w:val="20"/>
                      <w:szCs w:val="20"/>
                    </w:rPr>
                  </w:pPr>
                  <w:r>
                    <w:rPr>
                      <w:spacing w:val="9"/>
                      <w:sz w:val="20"/>
                      <w:szCs w:val="20"/>
                    </w:rPr>
                    <w:t>配套设置软水制备装置</w:t>
                  </w:r>
                  <w:r>
                    <w:rPr>
                      <w:spacing w:val="-11"/>
                      <w:sz w:val="20"/>
                      <w:szCs w:val="20"/>
                    </w:rPr>
                    <w:t xml:space="preserve"> </w:t>
                  </w:r>
                  <w:r>
                    <w:rPr>
                      <w:rFonts w:ascii="Times New Roman" w:hAnsi="Times New Roman" w:eastAsia="Times New Roman" w:cs="Times New Roman"/>
                      <w:spacing w:val="9"/>
                      <w:sz w:val="20"/>
                      <w:szCs w:val="20"/>
                    </w:rPr>
                    <w:t xml:space="preserve">1 </w:t>
                  </w:r>
                  <w:r>
                    <w:rPr>
                      <w:spacing w:val="9"/>
                      <w:sz w:val="20"/>
                      <w:szCs w:val="20"/>
                    </w:rPr>
                    <w:t>套，</w:t>
                  </w:r>
                  <w:r>
                    <w:rPr>
                      <w:spacing w:val="-51"/>
                      <w:sz w:val="20"/>
                      <w:szCs w:val="20"/>
                    </w:rPr>
                    <w:t xml:space="preserve"> </w:t>
                  </w:r>
                  <w:r>
                    <w:rPr>
                      <w:spacing w:val="9"/>
                      <w:sz w:val="20"/>
                      <w:szCs w:val="20"/>
                    </w:rPr>
                    <w:t>制水能力</w:t>
                  </w:r>
                  <w:r>
                    <w:rPr>
                      <w:spacing w:val="-24"/>
                      <w:sz w:val="20"/>
                      <w:szCs w:val="20"/>
                    </w:rPr>
                    <w:t xml:space="preserve"> </w:t>
                  </w:r>
                  <w:r>
                    <w:rPr>
                      <w:rFonts w:ascii="Times New Roman" w:hAnsi="Times New Roman" w:eastAsia="Times New Roman" w:cs="Times New Roman"/>
                      <w:spacing w:val="9"/>
                      <w:sz w:val="20"/>
                      <w:szCs w:val="20"/>
                    </w:rPr>
                    <w:t>6</w:t>
                  </w:r>
                  <w:r>
                    <w:rPr>
                      <w:rFonts w:ascii="Times New Roman" w:hAnsi="Times New Roman" w:eastAsia="Times New Roman" w:cs="Times New Roman"/>
                      <w:spacing w:val="19"/>
                      <w:w w:val="101"/>
                      <w:sz w:val="20"/>
                      <w:szCs w:val="20"/>
                    </w:rPr>
                    <w:t xml:space="preserve"> </w:t>
                  </w:r>
                  <w:r>
                    <w:rPr>
                      <w:spacing w:val="9"/>
                      <w:sz w:val="20"/>
                      <w:szCs w:val="20"/>
                    </w:rPr>
                    <w:t>立方米</w:t>
                  </w:r>
                  <w:r>
                    <w:rPr>
                      <w:rFonts w:ascii="Times New Roman" w:hAnsi="Times New Roman" w:eastAsia="Times New Roman" w:cs="Times New Roman"/>
                      <w:spacing w:val="9"/>
                      <w:sz w:val="20"/>
                      <w:szCs w:val="20"/>
                    </w:rPr>
                    <w:t>/</w:t>
                  </w:r>
                  <w:r>
                    <w:rPr>
                      <w:spacing w:val="9"/>
                      <w:sz w:val="20"/>
                      <w:szCs w:val="20"/>
                    </w:rPr>
                    <w:t>小时</w:t>
                  </w:r>
                </w:p>
              </w:tc>
              <w:tc>
                <w:tcPr>
                  <w:tcW w:w="868" w:type="dxa"/>
                  <w:vAlign w:val="top"/>
                </w:tcPr>
                <w:p w14:paraId="5831C34A">
                  <w:pPr>
                    <w:pStyle w:val="6"/>
                    <w:spacing w:before="289" w:line="227" w:lineRule="auto"/>
                    <w:ind w:left="226"/>
                    <w:rPr>
                      <w:sz w:val="20"/>
                      <w:szCs w:val="20"/>
                    </w:rPr>
                  </w:pPr>
                  <w:r>
                    <w:rPr>
                      <w:spacing w:val="7"/>
                      <w:sz w:val="20"/>
                      <w:szCs w:val="20"/>
                    </w:rPr>
                    <w:t>依托</w:t>
                  </w:r>
                </w:p>
              </w:tc>
            </w:tr>
            <w:tr w14:paraId="4ECE73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 w:hRule="atLeast"/>
              </w:trPr>
              <w:tc>
                <w:tcPr>
                  <w:tcW w:w="985" w:type="dxa"/>
                  <w:vMerge w:val="restart"/>
                  <w:tcBorders>
                    <w:bottom w:val="nil"/>
                  </w:tcBorders>
                  <w:vAlign w:val="top"/>
                </w:tcPr>
                <w:p w14:paraId="0A898D91">
                  <w:pPr>
                    <w:spacing w:line="335" w:lineRule="auto"/>
                    <w:rPr>
                      <w:rFonts w:ascii="Arial"/>
                      <w:sz w:val="21"/>
                    </w:rPr>
                  </w:pPr>
                </w:p>
                <w:p w14:paraId="08A4E12E">
                  <w:pPr>
                    <w:spacing w:line="336" w:lineRule="auto"/>
                    <w:rPr>
                      <w:rFonts w:ascii="Arial"/>
                      <w:sz w:val="21"/>
                    </w:rPr>
                  </w:pPr>
                </w:p>
                <w:p w14:paraId="502C27A0">
                  <w:pPr>
                    <w:pStyle w:val="6"/>
                    <w:spacing w:before="65" w:line="334" w:lineRule="auto"/>
                    <w:ind w:left="290" w:right="282" w:firstLine="3"/>
                    <w:rPr>
                      <w:sz w:val="20"/>
                      <w:szCs w:val="20"/>
                    </w:rPr>
                  </w:pPr>
                  <w:r>
                    <w:rPr>
                      <w:spacing w:val="1"/>
                      <w:sz w:val="20"/>
                      <w:szCs w:val="20"/>
                    </w:rPr>
                    <w:t>公用</w:t>
                  </w:r>
                  <w:r>
                    <w:rPr>
                      <w:spacing w:val="3"/>
                      <w:sz w:val="20"/>
                      <w:szCs w:val="20"/>
                    </w:rPr>
                    <w:t>工程</w:t>
                  </w:r>
                </w:p>
              </w:tc>
              <w:tc>
                <w:tcPr>
                  <w:tcW w:w="1119" w:type="dxa"/>
                  <w:vAlign w:val="top"/>
                </w:tcPr>
                <w:p w14:paraId="430ABF94">
                  <w:pPr>
                    <w:pStyle w:val="6"/>
                    <w:spacing w:before="183" w:line="227" w:lineRule="auto"/>
                    <w:ind w:left="354"/>
                    <w:rPr>
                      <w:sz w:val="20"/>
                      <w:szCs w:val="20"/>
                    </w:rPr>
                  </w:pPr>
                  <w:r>
                    <w:rPr>
                      <w:spacing w:val="4"/>
                      <w:sz w:val="20"/>
                      <w:szCs w:val="20"/>
                    </w:rPr>
                    <w:t>供水</w:t>
                  </w:r>
                </w:p>
              </w:tc>
              <w:tc>
                <w:tcPr>
                  <w:tcW w:w="5428" w:type="dxa"/>
                  <w:vAlign w:val="top"/>
                </w:tcPr>
                <w:p w14:paraId="768674E0">
                  <w:pPr>
                    <w:pStyle w:val="6"/>
                    <w:spacing w:before="183" w:line="227" w:lineRule="auto"/>
                    <w:ind w:left="35"/>
                    <w:rPr>
                      <w:sz w:val="20"/>
                      <w:szCs w:val="20"/>
                    </w:rPr>
                  </w:pPr>
                  <w:r>
                    <w:rPr>
                      <w:spacing w:val="14"/>
                      <w:sz w:val="20"/>
                      <w:szCs w:val="20"/>
                    </w:rPr>
                    <w:t>由市政供水管网供给</w:t>
                  </w:r>
                </w:p>
              </w:tc>
              <w:tc>
                <w:tcPr>
                  <w:tcW w:w="868" w:type="dxa"/>
                  <w:vAlign w:val="top"/>
                </w:tcPr>
                <w:p w14:paraId="6EAEE042">
                  <w:pPr>
                    <w:pStyle w:val="6"/>
                    <w:spacing w:before="183" w:line="227" w:lineRule="auto"/>
                    <w:ind w:left="226"/>
                    <w:rPr>
                      <w:sz w:val="20"/>
                      <w:szCs w:val="20"/>
                    </w:rPr>
                  </w:pPr>
                  <w:r>
                    <w:rPr>
                      <w:spacing w:val="7"/>
                      <w:sz w:val="20"/>
                      <w:szCs w:val="20"/>
                    </w:rPr>
                    <w:t>依托</w:t>
                  </w:r>
                </w:p>
              </w:tc>
            </w:tr>
            <w:tr w14:paraId="04ACC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985" w:type="dxa"/>
                  <w:vMerge w:val="continue"/>
                  <w:tcBorders>
                    <w:top w:val="nil"/>
                    <w:bottom w:val="nil"/>
                  </w:tcBorders>
                  <w:vAlign w:val="top"/>
                </w:tcPr>
                <w:p w14:paraId="5D44BBDD">
                  <w:pPr>
                    <w:rPr>
                      <w:rFonts w:ascii="Arial"/>
                      <w:sz w:val="21"/>
                    </w:rPr>
                  </w:pPr>
                </w:p>
              </w:tc>
              <w:tc>
                <w:tcPr>
                  <w:tcW w:w="1119" w:type="dxa"/>
                  <w:vAlign w:val="top"/>
                </w:tcPr>
                <w:p w14:paraId="29DF97BB">
                  <w:pPr>
                    <w:pStyle w:val="6"/>
                    <w:spacing w:before="289" w:line="228" w:lineRule="auto"/>
                    <w:ind w:left="354"/>
                    <w:rPr>
                      <w:sz w:val="20"/>
                      <w:szCs w:val="20"/>
                    </w:rPr>
                  </w:pPr>
                  <w:r>
                    <w:rPr>
                      <w:spacing w:val="4"/>
                      <w:sz w:val="20"/>
                      <w:szCs w:val="20"/>
                    </w:rPr>
                    <w:t>排水</w:t>
                  </w:r>
                </w:p>
              </w:tc>
              <w:tc>
                <w:tcPr>
                  <w:tcW w:w="5428" w:type="dxa"/>
                  <w:vAlign w:val="top"/>
                </w:tcPr>
                <w:p w14:paraId="73907A9B">
                  <w:pPr>
                    <w:pStyle w:val="6"/>
                    <w:spacing w:before="109" w:line="279" w:lineRule="auto"/>
                    <w:ind w:left="13" w:right="1" w:hanging="3"/>
                    <w:rPr>
                      <w:sz w:val="20"/>
                      <w:szCs w:val="20"/>
                    </w:rPr>
                  </w:pPr>
                  <w:r>
                    <w:rPr>
                      <w:spacing w:val="8"/>
                      <w:sz w:val="20"/>
                      <w:szCs w:val="20"/>
                    </w:rPr>
                    <w:t>锅炉排水、软水制备系统排水均直接排入市政污水管网，最终进入托克逊县污水处理厂</w:t>
                  </w:r>
                </w:p>
              </w:tc>
              <w:tc>
                <w:tcPr>
                  <w:tcW w:w="868" w:type="dxa"/>
                  <w:vAlign w:val="top"/>
                </w:tcPr>
                <w:p w14:paraId="6AD0B955">
                  <w:pPr>
                    <w:pStyle w:val="6"/>
                    <w:spacing w:before="289" w:line="227" w:lineRule="auto"/>
                    <w:ind w:left="231"/>
                    <w:rPr>
                      <w:sz w:val="20"/>
                      <w:szCs w:val="20"/>
                    </w:rPr>
                  </w:pPr>
                  <w:r>
                    <w:rPr>
                      <w:spacing w:val="3"/>
                      <w:sz w:val="20"/>
                      <w:szCs w:val="20"/>
                    </w:rPr>
                    <w:t>依托</w:t>
                  </w:r>
                </w:p>
              </w:tc>
            </w:tr>
            <w:tr w14:paraId="68673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85" w:type="dxa"/>
                  <w:vMerge w:val="continue"/>
                  <w:tcBorders>
                    <w:top w:val="nil"/>
                    <w:bottom w:val="nil"/>
                  </w:tcBorders>
                  <w:vAlign w:val="top"/>
                </w:tcPr>
                <w:p w14:paraId="6ED51CA1">
                  <w:pPr>
                    <w:rPr>
                      <w:rFonts w:ascii="Arial"/>
                      <w:sz w:val="21"/>
                    </w:rPr>
                  </w:pPr>
                </w:p>
              </w:tc>
              <w:tc>
                <w:tcPr>
                  <w:tcW w:w="1119" w:type="dxa"/>
                  <w:vAlign w:val="top"/>
                </w:tcPr>
                <w:p w14:paraId="63418141">
                  <w:pPr>
                    <w:pStyle w:val="6"/>
                    <w:spacing w:before="110" w:line="226" w:lineRule="auto"/>
                    <w:ind w:left="354"/>
                    <w:rPr>
                      <w:sz w:val="20"/>
                      <w:szCs w:val="20"/>
                    </w:rPr>
                  </w:pPr>
                  <w:r>
                    <w:rPr>
                      <w:spacing w:val="4"/>
                      <w:sz w:val="20"/>
                      <w:szCs w:val="20"/>
                    </w:rPr>
                    <w:t>供电</w:t>
                  </w:r>
                </w:p>
              </w:tc>
              <w:tc>
                <w:tcPr>
                  <w:tcW w:w="5428" w:type="dxa"/>
                  <w:vAlign w:val="top"/>
                </w:tcPr>
                <w:p w14:paraId="2226F028">
                  <w:pPr>
                    <w:pStyle w:val="6"/>
                    <w:spacing w:before="110" w:line="226" w:lineRule="auto"/>
                    <w:ind w:left="35"/>
                    <w:rPr>
                      <w:sz w:val="20"/>
                      <w:szCs w:val="20"/>
                    </w:rPr>
                  </w:pPr>
                  <w:r>
                    <w:rPr>
                      <w:spacing w:val="4"/>
                      <w:sz w:val="20"/>
                      <w:szCs w:val="20"/>
                    </w:rPr>
                    <w:t>由市政电网供电</w:t>
                  </w:r>
                </w:p>
              </w:tc>
              <w:tc>
                <w:tcPr>
                  <w:tcW w:w="868" w:type="dxa"/>
                  <w:vAlign w:val="top"/>
                </w:tcPr>
                <w:p w14:paraId="7837C0FD">
                  <w:pPr>
                    <w:pStyle w:val="6"/>
                    <w:spacing w:before="110" w:line="226" w:lineRule="auto"/>
                    <w:ind w:left="231"/>
                    <w:rPr>
                      <w:sz w:val="20"/>
                      <w:szCs w:val="20"/>
                    </w:rPr>
                  </w:pPr>
                  <w:r>
                    <w:rPr>
                      <w:spacing w:val="3"/>
                      <w:sz w:val="20"/>
                      <w:szCs w:val="20"/>
                    </w:rPr>
                    <w:t>依托</w:t>
                  </w:r>
                </w:p>
              </w:tc>
            </w:tr>
            <w:tr w14:paraId="772078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85" w:type="dxa"/>
                  <w:vMerge w:val="continue"/>
                  <w:tcBorders>
                    <w:top w:val="nil"/>
                  </w:tcBorders>
                  <w:vAlign w:val="top"/>
                </w:tcPr>
                <w:p w14:paraId="32DEFB24">
                  <w:pPr>
                    <w:rPr>
                      <w:rFonts w:ascii="Arial"/>
                      <w:sz w:val="21"/>
                    </w:rPr>
                  </w:pPr>
                </w:p>
              </w:tc>
              <w:tc>
                <w:tcPr>
                  <w:tcW w:w="1119" w:type="dxa"/>
                  <w:vAlign w:val="top"/>
                </w:tcPr>
                <w:p w14:paraId="4FC0FF25">
                  <w:pPr>
                    <w:pStyle w:val="6"/>
                    <w:spacing w:before="110" w:line="226" w:lineRule="auto"/>
                    <w:ind w:left="354"/>
                    <w:rPr>
                      <w:sz w:val="20"/>
                      <w:szCs w:val="20"/>
                    </w:rPr>
                  </w:pPr>
                  <w:r>
                    <w:rPr>
                      <w:spacing w:val="4"/>
                      <w:sz w:val="20"/>
                      <w:szCs w:val="20"/>
                    </w:rPr>
                    <w:t>供气</w:t>
                  </w:r>
                </w:p>
              </w:tc>
              <w:tc>
                <w:tcPr>
                  <w:tcW w:w="5428" w:type="dxa"/>
                  <w:vAlign w:val="top"/>
                </w:tcPr>
                <w:p w14:paraId="3C82D618">
                  <w:pPr>
                    <w:pStyle w:val="6"/>
                    <w:spacing w:before="110" w:line="226" w:lineRule="auto"/>
                    <w:ind w:left="35"/>
                    <w:rPr>
                      <w:sz w:val="20"/>
                      <w:szCs w:val="20"/>
                    </w:rPr>
                  </w:pPr>
                  <w:r>
                    <w:rPr>
                      <w:spacing w:val="14"/>
                      <w:sz w:val="20"/>
                      <w:szCs w:val="20"/>
                    </w:rPr>
                    <w:t>由市政燃气管网供给</w:t>
                  </w:r>
                </w:p>
              </w:tc>
              <w:tc>
                <w:tcPr>
                  <w:tcW w:w="868" w:type="dxa"/>
                  <w:vAlign w:val="top"/>
                </w:tcPr>
                <w:p w14:paraId="43808E6F">
                  <w:pPr>
                    <w:pStyle w:val="6"/>
                    <w:spacing w:before="110" w:line="226" w:lineRule="auto"/>
                    <w:ind w:left="231"/>
                    <w:rPr>
                      <w:sz w:val="20"/>
                      <w:szCs w:val="20"/>
                    </w:rPr>
                  </w:pPr>
                  <w:r>
                    <w:rPr>
                      <w:spacing w:val="3"/>
                      <w:sz w:val="20"/>
                      <w:szCs w:val="20"/>
                    </w:rPr>
                    <w:t>依托</w:t>
                  </w:r>
                </w:p>
              </w:tc>
            </w:tr>
            <w:tr w14:paraId="283E30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84" w:hRule="atLeast"/>
              </w:trPr>
              <w:tc>
                <w:tcPr>
                  <w:tcW w:w="985" w:type="dxa"/>
                  <w:vMerge w:val="restart"/>
                  <w:tcBorders>
                    <w:bottom w:val="nil"/>
                  </w:tcBorders>
                  <w:vAlign w:val="top"/>
                </w:tcPr>
                <w:p w14:paraId="066ED7E7">
                  <w:pPr>
                    <w:spacing w:line="249" w:lineRule="auto"/>
                    <w:rPr>
                      <w:rFonts w:ascii="Arial"/>
                      <w:sz w:val="21"/>
                    </w:rPr>
                  </w:pPr>
                </w:p>
                <w:p w14:paraId="47F8146C">
                  <w:pPr>
                    <w:spacing w:line="249" w:lineRule="auto"/>
                    <w:rPr>
                      <w:rFonts w:ascii="Arial"/>
                      <w:sz w:val="21"/>
                    </w:rPr>
                  </w:pPr>
                </w:p>
                <w:p w14:paraId="4F331A04">
                  <w:pPr>
                    <w:spacing w:line="249" w:lineRule="auto"/>
                    <w:rPr>
                      <w:rFonts w:ascii="Arial"/>
                      <w:sz w:val="21"/>
                    </w:rPr>
                  </w:pPr>
                </w:p>
                <w:p w14:paraId="7497ACB5">
                  <w:pPr>
                    <w:spacing w:line="250" w:lineRule="auto"/>
                    <w:rPr>
                      <w:rFonts w:ascii="Arial"/>
                      <w:sz w:val="21"/>
                    </w:rPr>
                  </w:pPr>
                </w:p>
                <w:p w14:paraId="2B5C64F8">
                  <w:pPr>
                    <w:spacing w:line="250" w:lineRule="auto"/>
                    <w:rPr>
                      <w:rFonts w:ascii="Arial"/>
                      <w:sz w:val="21"/>
                    </w:rPr>
                  </w:pPr>
                </w:p>
                <w:p w14:paraId="329C91C4">
                  <w:pPr>
                    <w:spacing w:line="250" w:lineRule="auto"/>
                    <w:rPr>
                      <w:rFonts w:ascii="Arial"/>
                      <w:sz w:val="21"/>
                    </w:rPr>
                  </w:pPr>
                </w:p>
                <w:p w14:paraId="298710FA">
                  <w:pPr>
                    <w:pStyle w:val="6"/>
                    <w:spacing w:before="65" w:line="334" w:lineRule="auto"/>
                    <w:ind w:left="289" w:right="282" w:hanging="2"/>
                    <w:rPr>
                      <w:sz w:val="20"/>
                      <w:szCs w:val="20"/>
                    </w:rPr>
                  </w:pPr>
                  <w:r>
                    <w:rPr>
                      <w:spacing w:val="4"/>
                      <w:sz w:val="20"/>
                      <w:szCs w:val="20"/>
                    </w:rPr>
                    <w:t>环保</w:t>
                  </w:r>
                  <w:r>
                    <w:rPr>
                      <w:spacing w:val="3"/>
                      <w:sz w:val="20"/>
                      <w:szCs w:val="20"/>
                    </w:rPr>
                    <w:t>工程</w:t>
                  </w:r>
                </w:p>
              </w:tc>
              <w:tc>
                <w:tcPr>
                  <w:tcW w:w="1119" w:type="dxa"/>
                  <w:vAlign w:val="top"/>
                </w:tcPr>
                <w:p w14:paraId="04BF0FF3">
                  <w:pPr>
                    <w:spacing w:line="402" w:lineRule="auto"/>
                    <w:rPr>
                      <w:rFonts w:ascii="Arial"/>
                      <w:sz w:val="21"/>
                    </w:rPr>
                  </w:pPr>
                </w:p>
                <w:p w14:paraId="5B9A542F">
                  <w:pPr>
                    <w:pStyle w:val="6"/>
                    <w:spacing w:before="65" w:line="228" w:lineRule="auto"/>
                    <w:ind w:left="142"/>
                    <w:rPr>
                      <w:sz w:val="20"/>
                      <w:szCs w:val="20"/>
                    </w:rPr>
                  </w:pPr>
                  <w:r>
                    <w:rPr>
                      <w:spacing w:val="7"/>
                      <w:sz w:val="20"/>
                      <w:szCs w:val="20"/>
                    </w:rPr>
                    <w:t>废气处理</w:t>
                  </w:r>
                </w:p>
              </w:tc>
              <w:tc>
                <w:tcPr>
                  <w:tcW w:w="5428" w:type="dxa"/>
                  <w:vAlign w:val="top"/>
                </w:tcPr>
                <w:p w14:paraId="41C7E7B9">
                  <w:pPr>
                    <w:pStyle w:val="6"/>
                    <w:spacing w:before="108" w:line="297" w:lineRule="auto"/>
                    <w:ind w:left="9" w:right="11" w:firstLine="1"/>
                    <w:jc w:val="both"/>
                    <w:rPr>
                      <w:sz w:val="20"/>
                      <w:szCs w:val="20"/>
                    </w:rPr>
                  </w:pPr>
                  <w:r>
                    <w:rPr>
                      <w:spacing w:val="23"/>
                      <w:sz w:val="20"/>
                      <w:szCs w:val="20"/>
                    </w:rPr>
                    <w:t>燃气热水锅炉配套安装低氮燃烧器</w:t>
                  </w:r>
                  <w:r>
                    <w:rPr>
                      <w:spacing w:val="-53"/>
                      <w:sz w:val="20"/>
                      <w:szCs w:val="20"/>
                    </w:rPr>
                    <w:t xml:space="preserve"> </w:t>
                  </w:r>
                  <w:r>
                    <w:rPr>
                      <w:spacing w:val="23"/>
                      <w:sz w:val="20"/>
                      <w:szCs w:val="20"/>
                    </w:rPr>
                    <w:t>，锅炉烟气经低氮燃</w:t>
                  </w:r>
                  <w:r>
                    <w:rPr>
                      <w:spacing w:val="14"/>
                      <w:sz w:val="20"/>
                      <w:szCs w:val="20"/>
                    </w:rPr>
                    <w:t>烧</w:t>
                  </w:r>
                  <w:r>
                    <w:rPr>
                      <w:rFonts w:ascii="Times New Roman" w:hAnsi="Times New Roman" w:eastAsia="Times New Roman" w:cs="Times New Roman"/>
                      <w:spacing w:val="14"/>
                      <w:sz w:val="20"/>
                      <w:szCs w:val="20"/>
                    </w:rPr>
                    <w:t>+</w:t>
                  </w:r>
                  <w:r>
                    <w:rPr>
                      <w:spacing w:val="14"/>
                      <w:sz w:val="20"/>
                      <w:szCs w:val="20"/>
                    </w:rPr>
                    <w:t>烟气再循环处理后通过</w:t>
                  </w:r>
                  <w:r>
                    <w:rPr>
                      <w:sz w:val="20"/>
                      <w:szCs w:val="20"/>
                    </w:rPr>
                    <w:t xml:space="preserve"> </w:t>
                  </w:r>
                  <w:r>
                    <w:rPr>
                      <w:rFonts w:ascii="Times New Roman" w:hAnsi="Times New Roman" w:eastAsia="Times New Roman" w:cs="Times New Roman"/>
                      <w:spacing w:val="14"/>
                      <w:sz w:val="20"/>
                      <w:szCs w:val="20"/>
                    </w:rPr>
                    <w:t>1</w:t>
                  </w:r>
                  <w:r>
                    <w:rPr>
                      <w:rFonts w:ascii="Times New Roman" w:hAnsi="Times New Roman" w:eastAsia="Times New Roman" w:cs="Times New Roman"/>
                      <w:spacing w:val="20"/>
                      <w:sz w:val="20"/>
                      <w:szCs w:val="20"/>
                    </w:rPr>
                    <w:t xml:space="preserve"> </w:t>
                  </w:r>
                  <w:r>
                    <w:rPr>
                      <w:spacing w:val="14"/>
                      <w:sz w:val="20"/>
                      <w:szCs w:val="20"/>
                    </w:rPr>
                    <w:t>根</w:t>
                  </w:r>
                  <w:r>
                    <w:rPr>
                      <w:spacing w:val="-21"/>
                      <w:sz w:val="20"/>
                      <w:szCs w:val="20"/>
                    </w:rPr>
                    <w:t xml:space="preserve"> </w:t>
                  </w:r>
                  <w:r>
                    <w:rPr>
                      <w:rFonts w:ascii="Times New Roman" w:hAnsi="Times New Roman" w:eastAsia="Times New Roman" w:cs="Times New Roman"/>
                      <w:spacing w:val="14"/>
                      <w:sz w:val="20"/>
                      <w:szCs w:val="20"/>
                    </w:rPr>
                    <w:t xml:space="preserve">8 </w:t>
                  </w:r>
                  <w:r>
                    <w:rPr>
                      <w:spacing w:val="14"/>
                      <w:sz w:val="20"/>
                      <w:szCs w:val="20"/>
                    </w:rPr>
                    <w:t>米排气筒（</w:t>
                  </w:r>
                  <w:r>
                    <w:rPr>
                      <w:rFonts w:ascii="Times New Roman" w:hAnsi="Times New Roman" w:eastAsia="Times New Roman" w:cs="Times New Roman"/>
                      <w:sz w:val="20"/>
                      <w:szCs w:val="20"/>
                    </w:rPr>
                    <w:t>DA</w:t>
                  </w:r>
                  <w:r>
                    <w:rPr>
                      <w:rFonts w:ascii="Times New Roman" w:hAnsi="Times New Roman" w:eastAsia="Times New Roman" w:cs="Times New Roman"/>
                      <w:spacing w:val="14"/>
                      <w:sz w:val="20"/>
                      <w:szCs w:val="20"/>
                    </w:rPr>
                    <w:t>001</w:t>
                  </w:r>
                  <w:r>
                    <w:rPr>
                      <w:spacing w:val="14"/>
                      <w:sz w:val="20"/>
                      <w:szCs w:val="20"/>
                    </w:rPr>
                    <w:t>）排</w:t>
                  </w:r>
                  <w:r>
                    <w:rPr>
                      <w:spacing w:val="1"/>
                      <w:sz w:val="20"/>
                      <w:szCs w:val="20"/>
                    </w:rPr>
                    <w:t>放</w:t>
                  </w:r>
                </w:p>
              </w:tc>
              <w:tc>
                <w:tcPr>
                  <w:tcW w:w="868" w:type="dxa"/>
                  <w:vAlign w:val="top"/>
                </w:tcPr>
                <w:p w14:paraId="5CA98336">
                  <w:pPr>
                    <w:spacing w:line="402" w:lineRule="auto"/>
                    <w:rPr>
                      <w:rFonts w:ascii="Arial"/>
                      <w:sz w:val="21"/>
                    </w:rPr>
                  </w:pPr>
                </w:p>
                <w:p w14:paraId="30828043">
                  <w:pPr>
                    <w:pStyle w:val="6"/>
                    <w:spacing w:before="65" w:line="228" w:lineRule="auto"/>
                    <w:ind w:left="230"/>
                    <w:rPr>
                      <w:sz w:val="20"/>
                      <w:szCs w:val="20"/>
                    </w:rPr>
                  </w:pPr>
                  <w:r>
                    <w:rPr>
                      <w:spacing w:val="4"/>
                      <w:sz w:val="20"/>
                      <w:szCs w:val="20"/>
                    </w:rPr>
                    <w:t>新建</w:t>
                  </w:r>
                </w:p>
              </w:tc>
            </w:tr>
            <w:tr w14:paraId="7819A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985" w:type="dxa"/>
                  <w:vMerge w:val="continue"/>
                  <w:tcBorders>
                    <w:top w:val="nil"/>
                    <w:bottom w:val="nil"/>
                  </w:tcBorders>
                  <w:vAlign w:val="top"/>
                </w:tcPr>
                <w:p w14:paraId="19D82899">
                  <w:pPr>
                    <w:rPr>
                      <w:rFonts w:ascii="Arial"/>
                      <w:sz w:val="21"/>
                    </w:rPr>
                  </w:pPr>
                </w:p>
              </w:tc>
              <w:tc>
                <w:tcPr>
                  <w:tcW w:w="1119" w:type="dxa"/>
                  <w:vAlign w:val="top"/>
                </w:tcPr>
                <w:p w14:paraId="68B39609">
                  <w:pPr>
                    <w:pStyle w:val="6"/>
                    <w:spacing w:before="290" w:line="228" w:lineRule="auto"/>
                    <w:ind w:left="142"/>
                    <w:rPr>
                      <w:sz w:val="20"/>
                      <w:szCs w:val="20"/>
                    </w:rPr>
                  </w:pPr>
                  <w:r>
                    <w:rPr>
                      <w:spacing w:val="7"/>
                      <w:sz w:val="20"/>
                      <w:szCs w:val="20"/>
                    </w:rPr>
                    <w:t>废水处理</w:t>
                  </w:r>
                </w:p>
              </w:tc>
              <w:tc>
                <w:tcPr>
                  <w:tcW w:w="5428" w:type="dxa"/>
                  <w:vAlign w:val="top"/>
                </w:tcPr>
                <w:p w14:paraId="5C1A1E45">
                  <w:pPr>
                    <w:pStyle w:val="6"/>
                    <w:spacing w:before="109" w:line="279" w:lineRule="auto"/>
                    <w:ind w:left="13" w:right="1" w:hanging="3"/>
                    <w:rPr>
                      <w:sz w:val="20"/>
                      <w:szCs w:val="20"/>
                    </w:rPr>
                  </w:pPr>
                  <w:r>
                    <w:rPr>
                      <w:spacing w:val="8"/>
                      <w:sz w:val="20"/>
                      <w:szCs w:val="20"/>
                    </w:rPr>
                    <w:t>锅炉排水、软水制备系统排水均直接排入市政污水管网，最终进入托克逊县污水处理厂</w:t>
                  </w:r>
                </w:p>
              </w:tc>
              <w:tc>
                <w:tcPr>
                  <w:tcW w:w="868" w:type="dxa"/>
                  <w:vAlign w:val="top"/>
                </w:tcPr>
                <w:p w14:paraId="1CCC81DB">
                  <w:pPr>
                    <w:pStyle w:val="6"/>
                    <w:spacing w:before="290" w:line="228" w:lineRule="auto"/>
                    <w:ind w:left="230"/>
                    <w:rPr>
                      <w:sz w:val="20"/>
                      <w:szCs w:val="20"/>
                    </w:rPr>
                  </w:pPr>
                  <w:r>
                    <w:rPr>
                      <w:spacing w:val="4"/>
                      <w:sz w:val="20"/>
                      <w:szCs w:val="20"/>
                    </w:rPr>
                    <w:t>新建</w:t>
                  </w:r>
                </w:p>
              </w:tc>
            </w:tr>
            <w:tr w14:paraId="733270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4" w:hRule="atLeast"/>
              </w:trPr>
              <w:tc>
                <w:tcPr>
                  <w:tcW w:w="985" w:type="dxa"/>
                  <w:vMerge w:val="continue"/>
                  <w:tcBorders>
                    <w:top w:val="nil"/>
                    <w:bottom w:val="nil"/>
                  </w:tcBorders>
                  <w:vAlign w:val="top"/>
                </w:tcPr>
                <w:p w14:paraId="616BA6AF">
                  <w:pPr>
                    <w:rPr>
                      <w:rFonts w:ascii="Arial"/>
                      <w:sz w:val="21"/>
                    </w:rPr>
                  </w:pPr>
                </w:p>
              </w:tc>
              <w:tc>
                <w:tcPr>
                  <w:tcW w:w="1119" w:type="dxa"/>
                  <w:vAlign w:val="top"/>
                </w:tcPr>
                <w:p w14:paraId="2656D777">
                  <w:pPr>
                    <w:pStyle w:val="6"/>
                    <w:spacing w:before="293" w:line="228" w:lineRule="auto"/>
                    <w:ind w:left="160"/>
                    <w:rPr>
                      <w:sz w:val="20"/>
                      <w:szCs w:val="20"/>
                    </w:rPr>
                  </w:pPr>
                  <w:r>
                    <w:rPr>
                      <w:spacing w:val="2"/>
                      <w:sz w:val="20"/>
                      <w:szCs w:val="20"/>
                    </w:rPr>
                    <w:t>固废处置</w:t>
                  </w:r>
                </w:p>
              </w:tc>
              <w:tc>
                <w:tcPr>
                  <w:tcW w:w="5428" w:type="dxa"/>
                  <w:vAlign w:val="top"/>
                </w:tcPr>
                <w:p w14:paraId="0F4F318E">
                  <w:pPr>
                    <w:pStyle w:val="6"/>
                    <w:spacing w:before="113" w:line="277" w:lineRule="auto"/>
                    <w:ind w:left="12" w:right="1"/>
                    <w:rPr>
                      <w:sz w:val="20"/>
                      <w:szCs w:val="20"/>
                    </w:rPr>
                  </w:pPr>
                  <w:r>
                    <w:rPr>
                      <w:spacing w:val="8"/>
                      <w:sz w:val="20"/>
                      <w:szCs w:val="20"/>
                    </w:rPr>
                    <w:t>软水制备产生的废离子交换树脂，属于一般固废，由厂家更</w:t>
                  </w:r>
                  <w:r>
                    <w:rPr>
                      <w:spacing w:val="7"/>
                      <w:sz w:val="20"/>
                      <w:szCs w:val="20"/>
                    </w:rPr>
                    <w:t>换时直接回收</w:t>
                  </w:r>
                </w:p>
              </w:tc>
              <w:tc>
                <w:tcPr>
                  <w:tcW w:w="868" w:type="dxa"/>
                  <w:vAlign w:val="top"/>
                </w:tcPr>
                <w:p w14:paraId="41D369D6">
                  <w:pPr>
                    <w:pStyle w:val="6"/>
                    <w:spacing w:before="293" w:line="228" w:lineRule="auto"/>
                    <w:ind w:left="230"/>
                    <w:rPr>
                      <w:sz w:val="20"/>
                      <w:szCs w:val="20"/>
                    </w:rPr>
                  </w:pPr>
                  <w:r>
                    <w:rPr>
                      <w:spacing w:val="4"/>
                      <w:sz w:val="20"/>
                      <w:szCs w:val="20"/>
                    </w:rPr>
                    <w:t>新建</w:t>
                  </w:r>
                </w:p>
              </w:tc>
            </w:tr>
            <w:tr w14:paraId="7DA768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985" w:type="dxa"/>
                  <w:vMerge w:val="continue"/>
                  <w:tcBorders>
                    <w:top w:val="nil"/>
                    <w:bottom w:val="nil"/>
                  </w:tcBorders>
                  <w:vAlign w:val="top"/>
                </w:tcPr>
                <w:p w14:paraId="7836004B">
                  <w:pPr>
                    <w:rPr>
                      <w:rFonts w:ascii="Arial"/>
                      <w:sz w:val="21"/>
                    </w:rPr>
                  </w:pPr>
                </w:p>
              </w:tc>
              <w:tc>
                <w:tcPr>
                  <w:tcW w:w="1119" w:type="dxa"/>
                  <w:vAlign w:val="top"/>
                </w:tcPr>
                <w:p w14:paraId="2FE25C1A">
                  <w:pPr>
                    <w:pStyle w:val="6"/>
                    <w:spacing w:before="114" w:line="222" w:lineRule="auto"/>
                    <w:ind w:left="152"/>
                    <w:rPr>
                      <w:sz w:val="20"/>
                      <w:szCs w:val="20"/>
                    </w:rPr>
                  </w:pPr>
                  <w:r>
                    <w:rPr>
                      <w:spacing w:val="4"/>
                      <w:sz w:val="20"/>
                      <w:szCs w:val="20"/>
                    </w:rPr>
                    <w:t>噪声防治</w:t>
                  </w:r>
                </w:p>
              </w:tc>
              <w:tc>
                <w:tcPr>
                  <w:tcW w:w="5428" w:type="dxa"/>
                  <w:vAlign w:val="top"/>
                </w:tcPr>
                <w:p w14:paraId="3C568430">
                  <w:pPr>
                    <w:pStyle w:val="6"/>
                    <w:spacing w:before="114" w:line="222" w:lineRule="auto"/>
                    <w:ind w:right="1"/>
                    <w:jc w:val="right"/>
                    <w:rPr>
                      <w:sz w:val="20"/>
                      <w:szCs w:val="20"/>
                    </w:rPr>
                  </w:pPr>
                  <w:r>
                    <w:rPr>
                      <w:spacing w:val="8"/>
                      <w:sz w:val="20"/>
                      <w:szCs w:val="20"/>
                    </w:rPr>
                    <w:t>锅炉配套安装消声、减震设施，锅炉设备均安装在锅炉房内</w:t>
                  </w:r>
                </w:p>
              </w:tc>
              <w:tc>
                <w:tcPr>
                  <w:tcW w:w="868" w:type="dxa"/>
                  <w:vAlign w:val="top"/>
                </w:tcPr>
                <w:p w14:paraId="2AF28366">
                  <w:pPr>
                    <w:pStyle w:val="6"/>
                    <w:spacing w:before="114" w:line="222" w:lineRule="auto"/>
                    <w:ind w:left="230"/>
                    <w:rPr>
                      <w:sz w:val="20"/>
                      <w:szCs w:val="20"/>
                    </w:rPr>
                  </w:pPr>
                  <w:r>
                    <w:rPr>
                      <w:spacing w:val="4"/>
                      <w:sz w:val="20"/>
                      <w:szCs w:val="20"/>
                    </w:rPr>
                    <w:t>新建</w:t>
                  </w:r>
                </w:p>
              </w:tc>
            </w:tr>
            <w:tr w14:paraId="2ACEC5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985" w:type="dxa"/>
                  <w:vMerge w:val="continue"/>
                  <w:tcBorders>
                    <w:top w:val="nil"/>
                  </w:tcBorders>
                  <w:vAlign w:val="top"/>
                </w:tcPr>
                <w:p w14:paraId="470CF1AA">
                  <w:pPr>
                    <w:rPr>
                      <w:rFonts w:ascii="Arial"/>
                      <w:sz w:val="21"/>
                    </w:rPr>
                  </w:pPr>
                </w:p>
              </w:tc>
              <w:tc>
                <w:tcPr>
                  <w:tcW w:w="1119" w:type="dxa"/>
                  <w:vAlign w:val="top"/>
                </w:tcPr>
                <w:p w14:paraId="7072955F">
                  <w:pPr>
                    <w:pStyle w:val="6"/>
                    <w:spacing w:before="114" w:line="279" w:lineRule="auto"/>
                    <w:ind w:left="458" w:right="33" w:hanging="418"/>
                    <w:rPr>
                      <w:sz w:val="20"/>
                      <w:szCs w:val="20"/>
                    </w:rPr>
                  </w:pPr>
                  <w:r>
                    <w:rPr>
                      <w:spacing w:val="7"/>
                      <w:sz w:val="20"/>
                      <w:szCs w:val="20"/>
                    </w:rPr>
                    <w:t>风险防范措</w:t>
                  </w:r>
                  <w:r>
                    <w:rPr>
                      <w:spacing w:val="1"/>
                      <w:sz w:val="20"/>
                      <w:szCs w:val="20"/>
                    </w:rPr>
                    <w:t>施</w:t>
                  </w:r>
                </w:p>
              </w:tc>
              <w:tc>
                <w:tcPr>
                  <w:tcW w:w="5428" w:type="dxa"/>
                  <w:vAlign w:val="top"/>
                </w:tcPr>
                <w:p w14:paraId="0E72CD31">
                  <w:pPr>
                    <w:pStyle w:val="6"/>
                    <w:spacing w:before="293" w:line="228" w:lineRule="auto"/>
                    <w:ind w:left="14"/>
                    <w:rPr>
                      <w:sz w:val="20"/>
                      <w:szCs w:val="20"/>
                    </w:rPr>
                  </w:pPr>
                  <w:r>
                    <w:rPr>
                      <w:spacing w:val="8"/>
                      <w:sz w:val="20"/>
                      <w:szCs w:val="20"/>
                    </w:rPr>
                    <w:t>天然气泄漏报警装置</w:t>
                  </w:r>
                </w:p>
              </w:tc>
              <w:tc>
                <w:tcPr>
                  <w:tcW w:w="868" w:type="dxa"/>
                  <w:vAlign w:val="top"/>
                </w:tcPr>
                <w:p w14:paraId="324B02E0">
                  <w:pPr>
                    <w:pStyle w:val="6"/>
                    <w:spacing w:before="294" w:line="228" w:lineRule="auto"/>
                    <w:ind w:left="230"/>
                    <w:rPr>
                      <w:sz w:val="20"/>
                      <w:szCs w:val="20"/>
                    </w:rPr>
                  </w:pPr>
                  <w:r>
                    <w:rPr>
                      <w:spacing w:val="4"/>
                      <w:sz w:val="20"/>
                      <w:szCs w:val="20"/>
                    </w:rPr>
                    <w:t>新建</w:t>
                  </w:r>
                </w:p>
              </w:tc>
            </w:tr>
          </w:tbl>
          <w:p w14:paraId="1140D680">
            <w:pPr>
              <w:pStyle w:val="6"/>
              <w:spacing w:before="51" w:line="205" w:lineRule="auto"/>
              <w:ind w:left="3087"/>
              <w:rPr>
                <w:sz w:val="20"/>
                <w:szCs w:val="20"/>
              </w:rPr>
            </w:pPr>
          </w:p>
        </w:tc>
      </w:tr>
    </w:tbl>
    <w:p w14:paraId="24691E44">
      <w:pPr>
        <w:pStyle w:val="2"/>
      </w:pPr>
    </w:p>
    <w:p w14:paraId="0BB7467F">
      <w:pPr>
        <w:sectPr>
          <w:footerReference r:id="rId6" w:type="default"/>
          <w:pgSz w:w="11906" w:h="16839"/>
          <w:pgMar w:top="1431" w:right="1413" w:bottom="1005" w:left="1413" w:header="0" w:footer="843" w:gutter="0"/>
          <w:cols w:space="720" w:num="1"/>
        </w:sectPr>
      </w:pPr>
    </w:p>
    <w:p w14:paraId="33C68FFB">
      <w:pPr>
        <w:spacing w:before="28"/>
      </w:pPr>
    </w:p>
    <w:p w14:paraId="5D6AC83D">
      <w:pPr>
        <w:pStyle w:val="2"/>
      </w:pPr>
    </w:p>
    <w:p w14:paraId="49475424">
      <w:pPr>
        <w:sectPr>
          <w:footerReference r:id="rId7" w:type="default"/>
          <w:pgSz w:w="11906" w:h="16839"/>
          <w:pgMar w:top="1431" w:right="1413" w:bottom="1005" w:left="1413" w:header="0" w:footer="842" w:gutter="0"/>
          <w:cols w:space="720" w:num="1"/>
        </w:sectPr>
      </w:pPr>
    </w:p>
    <w:p w14:paraId="2AA67721">
      <w:pPr>
        <w:spacing w:before="315" w:line="222" w:lineRule="auto"/>
        <w:ind w:left="1221"/>
        <w:outlineLvl w:val="0"/>
        <w:rPr>
          <w:rFonts w:ascii="黑体" w:hAnsi="黑体" w:eastAsia="黑体" w:cs="黑体"/>
          <w:sz w:val="30"/>
          <w:szCs w:val="30"/>
        </w:rPr>
      </w:pPr>
      <w:r>
        <w:pict>
          <v:shape id="_x0000_s1030" o:spid="_x0000_s1030" style="position:absolute;left:0pt;margin-left:448.1pt;margin-top:129.05pt;height:532.1pt;width:1pt;z-index:251659264;mso-width-relative:page;mso-height-relative:page;" filled="f" stroked="t" coordsize="20,10641" path="m9,0l9,10641e">
            <v:fill on="f" focussize="0,0"/>
            <v:stroke weight="0.96pt" color="#000000" miterlimit="2" joinstyle="bevel"/>
            <v:imagedata o:title=""/>
            <o:lock v:ext="edit"/>
          </v:shape>
        </w:pict>
      </w:r>
      <w:r>
        <w:rPr>
          <w:rFonts w:ascii="黑体" w:hAnsi="黑体" w:eastAsia="黑体" w:cs="黑体"/>
          <w:spacing w:val="-1"/>
          <w:sz w:val="30"/>
          <w:szCs w:val="30"/>
        </w:rPr>
        <w:t>三、区域环境质量现状、环境保护目标及评价标准</w:t>
      </w:r>
    </w:p>
    <w:p w14:paraId="0A6FB005">
      <w:pPr>
        <w:spacing w:before="21"/>
      </w:pPr>
    </w:p>
    <w:tbl>
      <w:tblPr>
        <w:tblStyle w:val="5"/>
        <w:tblW w:w="899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1"/>
        <w:gridCol w:w="8203"/>
      </w:tblGrid>
      <w:tr w14:paraId="06651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40" w:hRule="atLeast"/>
        </w:trPr>
        <w:tc>
          <w:tcPr>
            <w:tcW w:w="791" w:type="dxa"/>
            <w:tcBorders>
              <w:left w:val="single" w:color="000000" w:sz="6" w:space="0"/>
            </w:tcBorders>
            <w:vAlign w:val="top"/>
          </w:tcPr>
          <w:p w14:paraId="0AF6DB38">
            <w:pPr>
              <w:spacing w:line="243" w:lineRule="auto"/>
              <w:rPr>
                <w:rFonts w:ascii="Arial"/>
                <w:sz w:val="21"/>
              </w:rPr>
            </w:pPr>
          </w:p>
          <w:p w14:paraId="347B29AC">
            <w:pPr>
              <w:spacing w:line="244" w:lineRule="auto"/>
              <w:rPr>
                <w:rFonts w:ascii="Arial"/>
                <w:sz w:val="21"/>
              </w:rPr>
            </w:pPr>
          </w:p>
          <w:p w14:paraId="1DB20B83">
            <w:pPr>
              <w:spacing w:line="244" w:lineRule="auto"/>
              <w:rPr>
                <w:rFonts w:ascii="Arial"/>
                <w:sz w:val="21"/>
              </w:rPr>
            </w:pPr>
          </w:p>
          <w:p w14:paraId="75D57E06">
            <w:pPr>
              <w:spacing w:line="244" w:lineRule="auto"/>
              <w:rPr>
                <w:rFonts w:ascii="Arial"/>
                <w:sz w:val="21"/>
              </w:rPr>
            </w:pPr>
          </w:p>
          <w:p w14:paraId="6820B706">
            <w:pPr>
              <w:spacing w:line="244" w:lineRule="auto"/>
              <w:rPr>
                <w:rFonts w:ascii="Arial"/>
                <w:sz w:val="21"/>
              </w:rPr>
            </w:pPr>
          </w:p>
          <w:p w14:paraId="5B8FBDBD">
            <w:pPr>
              <w:spacing w:line="244" w:lineRule="auto"/>
              <w:rPr>
                <w:rFonts w:ascii="Arial"/>
                <w:sz w:val="21"/>
              </w:rPr>
            </w:pPr>
          </w:p>
          <w:p w14:paraId="6F3DCE6B">
            <w:pPr>
              <w:spacing w:line="244" w:lineRule="auto"/>
              <w:rPr>
                <w:rFonts w:ascii="Arial"/>
                <w:sz w:val="21"/>
              </w:rPr>
            </w:pPr>
          </w:p>
          <w:p w14:paraId="0E4BD405">
            <w:pPr>
              <w:spacing w:line="244" w:lineRule="auto"/>
              <w:rPr>
                <w:rFonts w:ascii="Arial"/>
                <w:sz w:val="21"/>
              </w:rPr>
            </w:pPr>
          </w:p>
          <w:p w14:paraId="67870A2C">
            <w:pPr>
              <w:spacing w:line="244" w:lineRule="auto"/>
              <w:rPr>
                <w:rFonts w:ascii="Arial"/>
                <w:sz w:val="21"/>
              </w:rPr>
            </w:pPr>
          </w:p>
          <w:p w14:paraId="6FD50A79">
            <w:pPr>
              <w:spacing w:line="244" w:lineRule="auto"/>
              <w:rPr>
                <w:rFonts w:ascii="Arial"/>
                <w:sz w:val="21"/>
              </w:rPr>
            </w:pPr>
          </w:p>
          <w:p w14:paraId="1D57C333">
            <w:pPr>
              <w:spacing w:line="244" w:lineRule="auto"/>
              <w:rPr>
                <w:rFonts w:ascii="Arial"/>
                <w:sz w:val="21"/>
              </w:rPr>
            </w:pPr>
          </w:p>
          <w:p w14:paraId="3F336B52">
            <w:pPr>
              <w:pStyle w:val="6"/>
              <w:spacing w:before="78" w:line="241" w:lineRule="auto"/>
              <w:ind w:left="153" w:right="156" w:firstLine="1"/>
              <w:jc w:val="both"/>
            </w:pPr>
            <w:r>
              <w:rPr>
                <w:spacing w:val="-6"/>
              </w:rPr>
              <w:t>污染</w:t>
            </w:r>
            <w:r>
              <w:rPr>
                <w:spacing w:val="-5"/>
              </w:rPr>
              <w:t>物排放控制标</w:t>
            </w:r>
            <w:r>
              <w:rPr>
                <w:spacing w:val="45"/>
                <w:w w:val="127"/>
              </w:rPr>
              <w:t>准</w:t>
            </w:r>
          </w:p>
        </w:tc>
        <w:tc>
          <w:tcPr>
            <w:tcW w:w="8203" w:type="dxa"/>
            <w:tcBorders>
              <w:right w:val="nil"/>
            </w:tcBorders>
            <w:vAlign w:val="top"/>
          </w:tcPr>
          <w:p w14:paraId="64D3D11F">
            <w:pPr>
              <w:pStyle w:val="6"/>
              <w:spacing w:before="181" w:line="220" w:lineRule="auto"/>
              <w:ind w:left="116"/>
            </w:pPr>
            <w:r>
              <w:rPr>
                <w:rFonts w:ascii="Times New Roman" w:hAnsi="Times New Roman" w:eastAsia="Times New Roman" w:cs="Times New Roman"/>
                <w:b/>
                <w:bCs/>
                <w:spacing w:val="-3"/>
              </w:rPr>
              <w:t>1.</w:t>
            </w:r>
            <w:r>
              <w:rPr>
                <w:b/>
                <w:bCs/>
                <w:spacing w:val="-3"/>
              </w:rPr>
              <w:t>大气污染物排放标准</w:t>
            </w:r>
          </w:p>
          <w:p w14:paraId="6542C9D6">
            <w:pPr>
              <w:pStyle w:val="6"/>
              <w:spacing w:before="193" w:line="333" w:lineRule="auto"/>
              <w:ind w:left="111" w:right="137" w:firstLine="477"/>
              <w:jc w:val="both"/>
            </w:pPr>
            <w:r>
              <w:rPr>
                <w:spacing w:val="-7"/>
              </w:rPr>
              <w:t>项目运营期锅炉废气颗粒物、二氧化硫、氮氧化物、烟气黑度执行《锅炉大气污染物排放标准》（</w:t>
            </w:r>
            <w:r>
              <w:rPr>
                <w:rFonts w:ascii="Times New Roman" w:hAnsi="Times New Roman" w:eastAsia="Times New Roman" w:cs="Times New Roman"/>
                <w:spacing w:val="-7"/>
              </w:rPr>
              <w:t>GB13271-2014</w:t>
            </w:r>
            <w:r>
              <w:rPr>
                <w:spacing w:val="-7"/>
              </w:rPr>
              <w:t>）表</w:t>
            </w:r>
            <w:r>
              <w:rPr>
                <w:spacing w:val="-43"/>
              </w:rPr>
              <w:t xml:space="preserve"> </w:t>
            </w:r>
            <w:r>
              <w:rPr>
                <w:rFonts w:ascii="Times New Roman" w:hAnsi="Times New Roman" w:eastAsia="Times New Roman" w:cs="Times New Roman"/>
                <w:spacing w:val="-7"/>
              </w:rPr>
              <w:t xml:space="preserve">2 </w:t>
            </w:r>
            <w:r>
              <w:rPr>
                <w:spacing w:val="-7"/>
              </w:rPr>
              <w:t>燃气锅炉大气污染物排放限值要</w:t>
            </w:r>
            <w:r>
              <w:rPr>
                <w:spacing w:val="-6"/>
              </w:rPr>
              <w:t>求。</w:t>
            </w:r>
          </w:p>
          <w:p w14:paraId="3793978B">
            <w:pPr>
              <w:pStyle w:val="6"/>
              <w:spacing w:line="219" w:lineRule="auto"/>
              <w:ind w:left="105"/>
            </w:pPr>
            <w:r>
              <w:rPr>
                <w:rFonts w:ascii="Times New Roman" w:hAnsi="Times New Roman" w:eastAsia="Times New Roman" w:cs="Times New Roman"/>
                <w:b/>
                <w:bCs/>
                <w:spacing w:val="-3"/>
              </w:rPr>
              <w:t>2.</w:t>
            </w:r>
            <w:r>
              <w:rPr>
                <w:b/>
                <w:bCs/>
                <w:spacing w:val="-3"/>
              </w:rPr>
              <w:t>水污染物</w:t>
            </w:r>
          </w:p>
          <w:p w14:paraId="1DCD8A50">
            <w:pPr>
              <w:pStyle w:val="6"/>
              <w:spacing w:before="179" w:line="219" w:lineRule="auto"/>
              <w:ind w:left="590"/>
            </w:pPr>
            <w:r>
              <w:rPr>
                <w:spacing w:val="-1"/>
              </w:rPr>
              <w:t>本项目锅炉排污水和软水制备系统排水以及生活污水排入市政排水管</w:t>
            </w:r>
          </w:p>
          <w:p w14:paraId="009EB55B">
            <w:pPr>
              <w:pStyle w:val="6"/>
              <w:spacing w:before="183" w:line="362" w:lineRule="auto"/>
              <w:ind w:left="121" w:right="41" w:firstLine="7"/>
            </w:pPr>
            <w:r>
              <w:rPr>
                <w:spacing w:val="-4"/>
              </w:rPr>
              <w:t>网，最终排至托克逊县污水处理厂处理。出水水质执行《污水综合排放标准》</w:t>
            </w:r>
            <w:r>
              <w:rPr>
                <w:spacing w:val="6"/>
              </w:rPr>
              <w:t xml:space="preserve"> </w:t>
            </w:r>
            <w:r>
              <w:rPr>
                <w:spacing w:val="-3"/>
              </w:rPr>
              <w:t>（</w:t>
            </w:r>
            <w:r>
              <w:rPr>
                <w:rFonts w:ascii="Times New Roman" w:hAnsi="Times New Roman" w:eastAsia="Times New Roman" w:cs="Times New Roman"/>
                <w:spacing w:val="-3"/>
              </w:rPr>
              <w:t>GB8978-</w:t>
            </w:r>
            <w:r>
              <w:rPr>
                <w:rFonts w:ascii="Times New Roman" w:hAnsi="Times New Roman" w:eastAsia="Times New Roman" w:cs="Times New Roman"/>
                <w:spacing w:val="-21"/>
              </w:rPr>
              <w:t xml:space="preserve"> </w:t>
            </w:r>
            <w:r>
              <w:rPr>
                <w:rFonts w:ascii="Times New Roman" w:hAnsi="Times New Roman" w:eastAsia="Times New Roman" w:cs="Times New Roman"/>
                <w:spacing w:val="-3"/>
              </w:rPr>
              <w:t>1996</w:t>
            </w:r>
            <w:r>
              <w:rPr>
                <w:spacing w:val="-3"/>
              </w:rPr>
              <w:t>）中表</w:t>
            </w:r>
            <w:r>
              <w:rPr>
                <w:spacing w:val="-56"/>
              </w:rPr>
              <w:t xml:space="preserve"> </w:t>
            </w:r>
            <w:r>
              <w:rPr>
                <w:rFonts w:ascii="Times New Roman" w:hAnsi="Times New Roman" w:eastAsia="Times New Roman" w:cs="Times New Roman"/>
                <w:spacing w:val="-3"/>
              </w:rPr>
              <w:t xml:space="preserve">4 </w:t>
            </w:r>
            <w:r>
              <w:rPr>
                <w:spacing w:val="-3"/>
              </w:rPr>
              <w:t>三级标准。</w:t>
            </w:r>
          </w:p>
          <w:p w14:paraId="76288ABC">
            <w:pPr>
              <w:pStyle w:val="6"/>
              <w:spacing w:before="135" w:line="220" w:lineRule="auto"/>
              <w:ind w:left="104"/>
            </w:pPr>
            <w:r>
              <w:rPr>
                <w:rFonts w:ascii="Times New Roman" w:hAnsi="Times New Roman" w:eastAsia="Times New Roman" w:cs="Times New Roman"/>
                <w:b/>
                <w:bCs/>
                <w:spacing w:val="-2"/>
              </w:rPr>
              <w:t>3.</w:t>
            </w:r>
            <w:r>
              <w:rPr>
                <w:b/>
                <w:bCs/>
                <w:spacing w:val="-2"/>
              </w:rPr>
              <w:t>噪声排放标准</w:t>
            </w:r>
          </w:p>
          <w:p w14:paraId="0BC0BF3B">
            <w:pPr>
              <w:pStyle w:val="6"/>
              <w:spacing w:before="194" w:line="369" w:lineRule="auto"/>
              <w:ind w:left="121" w:right="914" w:firstLine="469"/>
            </w:pPr>
            <w:r>
              <w:rPr>
                <w:spacing w:val="-1"/>
              </w:rPr>
              <w:t>本项目运营期厂界噪声执行《工业企业厂界环境噪声排放标准》</w:t>
            </w:r>
            <w:r>
              <w:rPr>
                <w:spacing w:val="2"/>
              </w:rPr>
              <w:t xml:space="preserve"> </w:t>
            </w:r>
            <w:r>
              <w:rPr>
                <w:spacing w:val="-2"/>
              </w:rPr>
              <w:t>（</w:t>
            </w:r>
            <w:r>
              <w:rPr>
                <w:rFonts w:ascii="Times New Roman" w:hAnsi="Times New Roman" w:eastAsia="Times New Roman" w:cs="Times New Roman"/>
                <w:spacing w:val="-2"/>
              </w:rPr>
              <w:t>GB12348-2008</w:t>
            </w:r>
            <w:r>
              <w:rPr>
                <w:spacing w:val="-2"/>
              </w:rPr>
              <w:t>）中</w:t>
            </w:r>
            <w:r>
              <w:rPr>
                <w:spacing w:val="-41"/>
              </w:rPr>
              <w:t xml:space="preserve"> </w:t>
            </w:r>
            <w:r>
              <w:rPr>
                <w:rFonts w:ascii="Times New Roman" w:hAnsi="Times New Roman" w:eastAsia="Times New Roman" w:cs="Times New Roman"/>
                <w:spacing w:val="-2"/>
              </w:rPr>
              <w:t xml:space="preserve">2 </w:t>
            </w:r>
            <w:r>
              <w:rPr>
                <w:spacing w:val="-2"/>
              </w:rPr>
              <w:t>类标准。</w:t>
            </w:r>
          </w:p>
          <w:p w14:paraId="7DDC8400">
            <w:pPr>
              <w:pStyle w:val="6"/>
              <w:spacing w:before="1" w:line="220" w:lineRule="auto"/>
              <w:ind w:left="106"/>
              <w:outlineLvl w:val="0"/>
            </w:pPr>
            <w:r>
              <w:rPr>
                <w:rFonts w:ascii="Times New Roman" w:hAnsi="Times New Roman" w:eastAsia="Times New Roman" w:cs="Times New Roman"/>
                <w:b/>
                <w:bCs/>
                <w:spacing w:val="-5"/>
              </w:rPr>
              <w:t>4.</w:t>
            </w:r>
            <w:r>
              <w:rPr>
                <w:rFonts w:ascii="Times New Roman" w:hAnsi="Times New Roman" w:eastAsia="Times New Roman" w:cs="Times New Roman"/>
                <w:b/>
                <w:bCs/>
                <w:spacing w:val="-30"/>
              </w:rPr>
              <w:t xml:space="preserve"> </w:t>
            </w:r>
            <w:r>
              <w:rPr>
                <w:b/>
                <w:bCs/>
                <w:spacing w:val="-5"/>
              </w:rPr>
              <w:t>固体废物控制标准</w:t>
            </w:r>
          </w:p>
          <w:p w14:paraId="5AEDDEC6">
            <w:pPr>
              <w:pStyle w:val="6"/>
              <w:spacing w:before="195" w:line="377" w:lineRule="auto"/>
              <w:ind w:left="121" w:right="161" w:firstLine="472"/>
            </w:pPr>
            <w:r>
              <w:rPr>
                <w:spacing w:val="33"/>
              </w:rPr>
              <w:t>一般固废执行《</w:t>
            </w:r>
            <w:r>
              <w:rPr>
                <w:spacing w:val="-45"/>
              </w:rPr>
              <w:t xml:space="preserve"> </w:t>
            </w:r>
            <w:r>
              <w:rPr>
                <w:spacing w:val="33"/>
              </w:rPr>
              <w:t>一般工业固体废物贮存和填埋污染控制标</w:t>
            </w:r>
            <w:r>
              <w:rPr>
                <w:spacing w:val="32"/>
              </w:rPr>
              <w:t>准》</w:t>
            </w:r>
            <w:r>
              <w:t xml:space="preserve"> </w:t>
            </w:r>
            <w:r>
              <w:rPr>
                <w:spacing w:val="-2"/>
              </w:rPr>
              <w:t>（</w:t>
            </w:r>
            <w:r>
              <w:rPr>
                <w:rFonts w:ascii="Times New Roman" w:hAnsi="Times New Roman" w:eastAsia="Times New Roman" w:cs="Times New Roman"/>
                <w:spacing w:val="-2"/>
              </w:rPr>
              <w:t>GB18599-2020</w:t>
            </w:r>
            <w:r>
              <w:rPr>
                <w:spacing w:val="-2"/>
              </w:rPr>
              <w:t>）。</w:t>
            </w:r>
          </w:p>
        </w:tc>
      </w:tr>
      <w:tr w14:paraId="5393A2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94" w:hRule="atLeast"/>
        </w:trPr>
        <w:tc>
          <w:tcPr>
            <w:tcW w:w="791" w:type="dxa"/>
            <w:tcBorders>
              <w:left w:val="single" w:color="000000" w:sz="6" w:space="0"/>
              <w:bottom w:val="single" w:color="000000" w:sz="6" w:space="0"/>
            </w:tcBorders>
            <w:vAlign w:val="top"/>
          </w:tcPr>
          <w:p w14:paraId="09119281">
            <w:pPr>
              <w:spacing w:line="343" w:lineRule="auto"/>
              <w:rPr>
                <w:rFonts w:ascii="Arial"/>
                <w:sz w:val="21"/>
              </w:rPr>
            </w:pPr>
          </w:p>
          <w:p w14:paraId="74C1DD48">
            <w:pPr>
              <w:spacing w:line="344" w:lineRule="auto"/>
              <w:rPr>
                <w:rFonts w:ascii="Arial"/>
                <w:sz w:val="21"/>
              </w:rPr>
            </w:pPr>
          </w:p>
          <w:p w14:paraId="511CAB7C">
            <w:pPr>
              <w:pStyle w:val="6"/>
              <w:spacing w:before="78" w:line="241" w:lineRule="auto"/>
              <w:ind w:left="153" w:right="156" w:firstLine="7"/>
              <w:jc w:val="both"/>
            </w:pPr>
            <w:r>
              <w:rPr>
                <w:spacing w:val="-8"/>
              </w:rPr>
              <w:t>总量</w:t>
            </w:r>
            <w:r>
              <w:rPr>
                <w:spacing w:val="-5"/>
              </w:rPr>
              <w:t>控制指标</w:t>
            </w:r>
          </w:p>
        </w:tc>
        <w:tc>
          <w:tcPr>
            <w:tcW w:w="8203" w:type="dxa"/>
            <w:tcBorders>
              <w:bottom w:val="single" w:color="000000" w:sz="6" w:space="0"/>
              <w:right w:val="nil"/>
            </w:tcBorders>
            <w:vAlign w:val="top"/>
          </w:tcPr>
          <w:p w14:paraId="66D6E5D4">
            <w:pPr>
              <w:spacing w:line="272" w:lineRule="auto"/>
              <w:rPr>
                <w:rFonts w:ascii="Arial"/>
                <w:sz w:val="21"/>
              </w:rPr>
            </w:pPr>
          </w:p>
          <w:p w14:paraId="7AC77FA8">
            <w:pPr>
              <w:spacing w:line="272" w:lineRule="auto"/>
              <w:rPr>
                <w:rFonts w:ascii="Arial"/>
                <w:sz w:val="21"/>
              </w:rPr>
            </w:pPr>
          </w:p>
          <w:p w14:paraId="4B95E944">
            <w:pPr>
              <w:spacing w:line="273" w:lineRule="auto"/>
              <w:rPr>
                <w:rFonts w:ascii="Arial"/>
                <w:sz w:val="21"/>
              </w:rPr>
            </w:pPr>
          </w:p>
          <w:p w14:paraId="5FB58951">
            <w:pPr>
              <w:pStyle w:val="6"/>
              <w:spacing w:before="78" w:line="371" w:lineRule="auto"/>
              <w:ind w:left="108" w:right="180" w:firstLine="479"/>
            </w:pPr>
            <w:r>
              <w:t>据工程分析内容，本项目在采取有效的污染防治</w:t>
            </w:r>
            <w:r>
              <w:rPr>
                <w:spacing w:val="-1"/>
              </w:rPr>
              <w:t>措施后，污染物可实现达标排放，氮氧化物排放量为</w:t>
            </w:r>
            <w:r>
              <w:rPr>
                <w:spacing w:val="-46"/>
              </w:rPr>
              <w:t xml:space="preserve"> </w:t>
            </w:r>
            <w:r>
              <w:rPr>
                <w:rFonts w:ascii="Times New Roman" w:hAnsi="Times New Roman" w:eastAsia="Times New Roman" w:cs="Times New Roman"/>
                <w:spacing w:val="-1"/>
              </w:rPr>
              <w:t>0.0708t/a</w:t>
            </w:r>
            <w:r>
              <w:rPr>
                <w:spacing w:val="-1"/>
              </w:rPr>
              <w:t>。</w:t>
            </w:r>
          </w:p>
        </w:tc>
      </w:tr>
    </w:tbl>
    <w:p w14:paraId="51452E2D">
      <w:pPr>
        <w:pStyle w:val="2"/>
      </w:pPr>
    </w:p>
    <w:p w14:paraId="49264D8D">
      <w:pPr>
        <w:sectPr>
          <w:footerReference r:id="rId8" w:type="default"/>
          <w:pgSz w:w="11906" w:h="16839"/>
          <w:pgMar w:top="1431" w:right="1448" w:bottom="1002" w:left="1448" w:header="0" w:footer="843" w:gutter="0"/>
          <w:cols w:space="720" w:num="1"/>
        </w:sectPr>
      </w:pPr>
    </w:p>
    <w:p w14:paraId="67E595D3">
      <w:pPr>
        <w:spacing w:before="315" w:line="222" w:lineRule="auto"/>
        <w:ind w:left="2544"/>
        <w:outlineLvl w:val="0"/>
        <w:rPr>
          <w:rFonts w:ascii="黑体" w:hAnsi="黑体" w:eastAsia="黑体" w:cs="黑体"/>
          <w:sz w:val="30"/>
          <w:szCs w:val="30"/>
        </w:rPr>
      </w:pPr>
      <w:r>
        <w:rPr>
          <w:rFonts w:ascii="黑体" w:hAnsi="黑体" w:eastAsia="黑体" w:cs="黑体"/>
          <w:spacing w:val="-3"/>
          <w:sz w:val="30"/>
          <w:szCs w:val="30"/>
        </w:rPr>
        <w:t>四、主要环境影响和保护措施</w:t>
      </w:r>
    </w:p>
    <w:p w14:paraId="26488D6A">
      <w:pPr>
        <w:spacing w:before="21"/>
      </w:pPr>
    </w:p>
    <w:tbl>
      <w:tblPr>
        <w:tblStyle w:val="5"/>
        <w:tblW w:w="891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04"/>
        <w:gridCol w:w="8409"/>
      </w:tblGrid>
      <w:tr w14:paraId="4C4236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19" w:hRule="atLeast"/>
        </w:trPr>
        <w:tc>
          <w:tcPr>
            <w:tcW w:w="504" w:type="dxa"/>
            <w:tcBorders>
              <w:bottom w:val="single" w:color="000000" w:sz="2" w:space="0"/>
              <w:right w:val="single" w:color="000000" w:sz="2" w:space="0"/>
            </w:tcBorders>
            <w:textDirection w:val="tbRlV"/>
            <w:vAlign w:val="top"/>
          </w:tcPr>
          <w:p w14:paraId="544ECEB7">
            <w:pPr>
              <w:pStyle w:val="6"/>
              <w:spacing w:before="132" w:line="209" w:lineRule="auto"/>
              <w:ind w:left="3198"/>
            </w:pPr>
            <w:r>
              <w:rPr>
                <w:spacing w:val="-1"/>
              </w:rPr>
              <w:t>施</w:t>
            </w:r>
            <w:r>
              <w:rPr>
                <w:spacing w:val="-42"/>
              </w:rPr>
              <w:t xml:space="preserve"> </w:t>
            </w:r>
            <w:r>
              <w:rPr>
                <w:spacing w:val="-1"/>
              </w:rPr>
              <w:t>工</w:t>
            </w:r>
            <w:r>
              <w:rPr>
                <w:spacing w:val="-48"/>
              </w:rPr>
              <w:t xml:space="preserve"> </w:t>
            </w:r>
            <w:r>
              <w:rPr>
                <w:spacing w:val="-1"/>
              </w:rPr>
              <w:t>期</w:t>
            </w:r>
            <w:r>
              <w:rPr>
                <w:spacing w:val="-50"/>
              </w:rPr>
              <w:t xml:space="preserve"> </w:t>
            </w:r>
            <w:r>
              <w:rPr>
                <w:spacing w:val="-1"/>
              </w:rPr>
              <w:t>环</w:t>
            </w:r>
            <w:r>
              <w:rPr>
                <w:spacing w:val="-48"/>
              </w:rPr>
              <w:t xml:space="preserve"> </w:t>
            </w:r>
            <w:r>
              <w:rPr>
                <w:spacing w:val="-1"/>
              </w:rPr>
              <w:t>境</w:t>
            </w:r>
            <w:r>
              <w:rPr>
                <w:spacing w:val="-48"/>
              </w:rPr>
              <w:t xml:space="preserve"> </w:t>
            </w:r>
            <w:r>
              <w:rPr>
                <w:spacing w:val="-1"/>
              </w:rPr>
              <w:t>保</w:t>
            </w:r>
            <w:r>
              <w:rPr>
                <w:spacing w:val="-50"/>
              </w:rPr>
              <w:t xml:space="preserve"> </w:t>
            </w:r>
            <w:r>
              <w:rPr>
                <w:spacing w:val="-1"/>
              </w:rPr>
              <w:t>护</w:t>
            </w:r>
            <w:r>
              <w:rPr>
                <w:spacing w:val="-48"/>
              </w:rPr>
              <w:t xml:space="preserve"> </w:t>
            </w:r>
            <w:r>
              <w:rPr>
                <w:spacing w:val="-1"/>
              </w:rPr>
              <w:t>措</w:t>
            </w:r>
            <w:r>
              <w:rPr>
                <w:spacing w:val="-47"/>
              </w:rPr>
              <w:t xml:space="preserve"> </w:t>
            </w:r>
            <w:r>
              <w:rPr>
                <w:spacing w:val="-1"/>
              </w:rPr>
              <w:t>施</w:t>
            </w:r>
          </w:p>
        </w:tc>
        <w:tc>
          <w:tcPr>
            <w:tcW w:w="8409" w:type="dxa"/>
            <w:tcBorders>
              <w:left w:val="single" w:color="000000" w:sz="2" w:space="0"/>
              <w:bottom w:val="single" w:color="000000" w:sz="2" w:space="0"/>
            </w:tcBorders>
            <w:vAlign w:val="top"/>
          </w:tcPr>
          <w:p w14:paraId="1E9BA889">
            <w:pPr>
              <w:pStyle w:val="6"/>
              <w:spacing w:before="184" w:line="220" w:lineRule="auto"/>
              <w:ind w:left="593"/>
            </w:pPr>
            <w:r>
              <w:rPr>
                <w:rFonts w:ascii="Times New Roman" w:hAnsi="Times New Roman" w:eastAsia="Times New Roman" w:cs="Times New Roman"/>
                <w:b/>
                <w:bCs/>
                <w:spacing w:val="-6"/>
              </w:rPr>
              <w:t>1.</w:t>
            </w:r>
            <w:r>
              <w:rPr>
                <w:b/>
                <w:bCs/>
                <w:spacing w:val="-6"/>
              </w:rPr>
              <w:t>废气</w:t>
            </w:r>
          </w:p>
          <w:p w14:paraId="7988AA93">
            <w:pPr>
              <w:pStyle w:val="6"/>
              <w:spacing w:before="193" w:line="219" w:lineRule="auto"/>
              <w:jc w:val="right"/>
            </w:pPr>
            <w:r>
              <w:rPr>
                <w:spacing w:val="-4"/>
              </w:rPr>
              <w:t>本项目无新增用地，无土建工程，</w:t>
            </w:r>
            <w:r>
              <w:rPr>
                <w:rFonts w:hint="eastAsia"/>
                <w:spacing w:val="-4"/>
                <w:lang w:eastAsia="zh-CN"/>
              </w:rPr>
              <w:t>仅</w:t>
            </w:r>
            <w:r>
              <w:rPr>
                <w:spacing w:val="-4"/>
              </w:rPr>
              <w:t>设备安装、调试等工序无废气产生。</w:t>
            </w:r>
          </w:p>
          <w:p w14:paraId="0130B5C1">
            <w:pPr>
              <w:pStyle w:val="6"/>
              <w:spacing w:before="196" w:line="219" w:lineRule="auto"/>
              <w:ind w:left="583"/>
            </w:pPr>
            <w:r>
              <w:rPr>
                <w:rFonts w:ascii="Times New Roman" w:hAnsi="Times New Roman" w:eastAsia="Times New Roman" w:cs="Times New Roman"/>
                <w:b/>
                <w:bCs/>
                <w:spacing w:val="-3"/>
              </w:rPr>
              <w:t>2.</w:t>
            </w:r>
            <w:r>
              <w:rPr>
                <w:b/>
                <w:bCs/>
                <w:spacing w:val="-3"/>
              </w:rPr>
              <w:t>废水</w:t>
            </w:r>
          </w:p>
          <w:p w14:paraId="5421512F">
            <w:pPr>
              <w:pStyle w:val="6"/>
              <w:spacing w:before="194" w:line="219" w:lineRule="auto"/>
              <w:ind w:left="587"/>
            </w:pPr>
            <w:r>
              <w:rPr>
                <w:spacing w:val="-1"/>
              </w:rPr>
              <w:t>本项目施工期废水主要为生活污水，排入市政管网。</w:t>
            </w:r>
          </w:p>
          <w:p w14:paraId="04C74466">
            <w:pPr>
              <w:pStyle w:val="6"/>
              <w:spacing w:before="195" w:line="220" w:lineRule="auto"/>
              <w:ind w:left="581"/>
            </w:pPr>
            <w:r>
              <w:rPr>
                <w:rFonts w:ascii="Times New Roman" w:hAnsi="Times New Roman" w:eastAsia="Times New Roman" w:cs="Times New Roman"/>
                <w:b/>
                <w:bCs/>
                <w:spacing w:val="-3"/>
              </w:rPr>
              <w:t>3.</w:t>
            </w:r>
            <w:r>
              <w:rPr>
                <w:b/>
                <w:bCs/>
                <w:spacing w:val="-3"/>
              </w:rPr>
              <w:t>噪声</w:t>
            </w:r>
          </w:p>
          <w:p w14:paraId="3B2B2472">
            <w:pPr>
              <w:pStyle w:val="6"/>
              <w:spacing w:before="195" w:line="369" w:lineRule="auto"/>
              <w:ind w:left="109" w:right="103" w:firstLine="478"/>
              <w:jc w:val="both"/>
            </w:pPr>
            <w:r>
              <w:rPr>
                <w:spacing w:val="1"/>
              </w:rPr>
              <w:t>本项目施工期产生的噪声为设备安装噪声和运输车辆产生的</w:t>
            </w:r>
            <w:r>
              <w:t>交通噪声，设</w:t>
            </w:r>
            <w:r>
              <w:rPr>
                <w:spacing w:val="1"/>
              </w:rPr>
              <w:t>备安装主要在车间内进行，通过合理安排施工时间，缩短</w:t>
            </w:r>
            <w:r>
              <w:t>施工期；运输车辆场</w:t>
            </w:r>
            <w:r>
              <w:rPr>
                <w:spacing w:val="1"/>
              </w:rPr>
              <w:t>内禁止鸣笛等措施，施工噪声对周围声环境影响可大大减</w:t>
            </w:r>
            <w:r>
              <w:t>轻，且随施工结束而</w:t>
            </w:r>
            <w:r>
              <w:rPr>
                <w:spacing w:val="-5"/>
              </w:rPr>
              <w:t>消除。</w:t>
            </w:r>
          </w:p>
          <w:p w14:paraId="1F79E917">
            <w:pPr>
              <w:pStyle w:val="6"/>
              <w:spacing w:line="220" w:lineRule="auto"/>
              <w:ind w:left="583"/>
            </w:pPr>
            <w:r>
              <w:rPr>
                <w:rFonts w:ascii="Times New Roman" w:hAnsi="Times New Roman" w:eastAsia="Times New Roman" w:cs="Times New Roman"/>
                <w:b/>
                <w:bCs/>
                <w:spacing w:val="-8"/>
              </w:rPr>
              <w:t>4.</w:t>
            </w:r>
            <w:r>
              <w:rPr>
                <w:rFonts w:ascii="Times New Roman" w:hAnsi="Times New Roman" w:eastAsia="Times New Roman" w:cs="Times New Roman"/>
                <w:b/>
                <w:bCs/>
                <w:spacing w:val="-27"/>
              </w:rPr>
              <w:t xml:space="preserve"> </w:t>
            </w:r>
            <w:r>
              <w:rPr>
                <w:b/>
                <w:bCs/>
                <w:spacing w:val="-8"/>
              </w:rPr>
              <w:t>固体废物</w:t>
            </w:r>
          </w:p>
          <w:p w14:paraId="4223C656">
            <w:pPr>
              <w:pStyle w:val="6"/>
              <w:spacing w:before="194" w:line="369" w:lineRule="auto"/>
              <w:ind w:left="108" w:right="103" w:firstLine="479"/>
            </w:pPr>
            <w:r>
              <w:rPr>
                <w:spacing w:val="1"/>
              </w:rPr>
              <w:t>本项目施工期产生的固体废物主要为生产设备的包装材料及</w:t>
            </w:r>
            <w:r>
              <w:t>生活垃圾，建</w:t>
            </w:r>
            <w:r>
              <w:rPr>
                <w:spacing w:val="-2"/>
              </w:rPr>
              <w:t>议进一步采取如下措施：</w:t>
            </w:r>
          </w:p>
          <w:p w14:paraId="6B610912">
            <w:pPr>
              <w:pStyle w:val="6"/>
              <w:spacing w:before="1" w:line="218" w:lineRule="auto"/>
              <w:jc w:val="right"/>
            </w:pPr>
            <w:r>
              <w:rPr>
                <w:spacing w:val="-8"/>
              </w:rPr>
              <w:t>（</w:t>
            </w:r>
            <w:r>
              <w:rPr>
                <w:rFonts w:ascii="Times New Roman" w:hAnsi="Times New Roman" w:eastAsia="Times New Roman" w:cs="Times New Roman"/>
                <w:spacing w:val="-8"/>
              </w:rPr>
              <w:t>1</w:t>
            </w:r>
            <w:r>
              <w:rPr>
                <w:spacing w:val="-8"/>
              </w:rPr>
              <w:t>）包装材料：分类收集，合理堆放最终全部运往指定的垃圾点进行处置。</w:t>
            </w:r>
          </w:p>
          <w:p w14:paraId="7A35CDC7">
            <w:pPr>
              <w:pStyle w:val="6"/>
              <w:spacing w:before="196" w:line="219" w:lineRule="auto"/>
              <w:ind w:left="598"/>
            </w:pPr>
            <w:r>
              <w:rPr>
                <w:spacing w:val="-1"/>
              </w:rPr>
              <w:t>（</w:t>
            </w:r>
            <w:r>
              <w:rPr>
                <w:rFonts w:ascii="Times New Roman" w:hAnsi="Times New Roman" w:eastAsia="Times New Roman" w:cs="Times New Roman"/>
                <w:spacing w:val="-1"/>
              </w:rPr>
              <w:t>2</w:t>
            </w:r>
            <w:r>
              <w:rPr>
                <w:spacing w:val="-1"/>
              </w:rPr>
              <w:t>）生活垃圾：集中收集至垃圾桶，交由环卫部门统一清运。</w:t>
            </w:r>
          </w:p>
          <w:p w14:paraId="32722054">
            <w:pPr>
              <w:pStyle w:val="6"/>
              <w:spacing w:before="196" w:line="369" w:lineRule="auto"/>
              <w:ind w:left="106" w:right="103" w:firstLine="482"/>
              <w:jc w:val="both"/>
            </w:pPr>
            <w:r>
              <w:rPr>
                <w:spacing w:val="1"/>
              </w:rPr>
              <w:t>综上所述，项目建设将会对项目所在区域的水环境、声环</w:t>
            </w:r>
            <w:r>
              <w:t>境产生一定程度</w:t>
            </w:r>
            <w:r>
              <w:rPr>
                <w:spacing w:val="1"/>
              </w:rPr>
              <w:t>的影响，但均属局部，短期不利影响，通过采取有效的预防和</w:t>
            </w:r>
            <w:r>
              <w:t>治理措施后，其影响程度将会大大降低，其影响范围也将减</w:t>
            </w:r>
            <w:r>
              <w:rPr>
                <w:spacing w:val="-1"/>
              </w:rPr>
              <w:t>小，且随施工结束消失。</w:t>
            </w:r>
          </w:p>
          <w:p w14:paraId="31F5F410">
            <w:pPr>
              <w:pStyle w:val="6"/>
              <w:spacing w:line="220" w:lineRule="auto"/>
              <w:ind w:left="585"/>
            </w:pPr>
            <w:r>
              <w:rPr>
                <w:rFonts w:ascii="Times New Roman" w:hAnsi="Times New Roman" w:eastAsia="Times New Roman" w:cs="Times New Roman"/>
                <w:b/>
                <w:bCs/>
                <w:spacing w:val="-3"/>
              </w:rPr>
              <w:t>5.</w:t>
            </w:r>
            <w:r>
              <w:rPr>
                <w:b/>
                <w:bCs/>
                <w:spacing w:val="-3"/>
              </w:rPr>
              <w:t>生态环境</w:t>
            </w:r>
          </w:p>
          <w:p w14:paraId="0095A30B">
            <w:pPr>
              <w:pStyle w:val="6"/>
              <w:spacing w:before="194" w:line="219" w:lineRule="auto"/>
              <w:ind w:left="587"/>
            </w:pPr>
            <w:r>
              <w:rPr>
                <w:spacing w:val="-1"/>
              </w:rPr>
              <w:t>本项目不新增占地，对生态环境影响不大。</w:t>
            </w:r>
          </w:p>
        </w:tc>
      </w:tr>
      <w:tr w14:paraId="0720B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57" w:hRule="atLeast"/>
        </w:trPr>
        <w:tc>
          <w:tcPr>
            <w:tcW w:w="504" w:type="dxa"/>
            <w:tcBorders>
              <w:top w:val="single" w:color="000000" w:sz="2" w:space="0"/>
              <w:right w:val="single" w:color="000000" w:sz="2" w:space="0"/>
            </w:tcBorders>
            <w:textDirection w:val="tbRlV"/>
            <w:vAlign w:val="top"/>
          </w:tcPr>
          <w:p w14:paraId="0F0E0AB3">
            <w:pPr>
              <w:pStyle w:val="6"/>
              <w:spacing w:before="131" w:line="209" w:lineRule="auto"/>
              <w:ind w:left="45"/>
            </w:pPr>
            <w:r>
              <w:rPr>
                <w:spacing w:val="24"/>
                <w:w w:val="117"/>
              </w:rPr>
              <w:t>运营期环境影响和保护措</w:t>
            </w:r>
          </w:p>
        </w:tc>
        <w:tc>
          <w:tcPr>
            <w:tcW w:w="8409" w:type="dxa"/>
            <w:tcBorders>
              <w:top w:val="single" w:color="000000" w:sz="2" w:space="0"/>
              <w:left w:val="single" w:color="000000" w:sz="2" w:space="0"/>
            </w:tcBorders>
            <w:vAlign w:val="top"/>
          </w:tcPr>
          <w:p w14:paraId="6D7C897C">
            <w:pPr>
              <w:pStyle w:val="6"/>
              <w:spacing w:before="228" w:line="220" w:lineRule="auto"/>
              <w:ind w:left="113"/>
            </w:pPr>
            <w:r>
              <w:rPr>
                <w:rFonts w:ascii="Times New Roman" w:hAnsi="Times New Roman" w:eastAsia="Times New Roman" w:cs="Times New Roman"/>
                <w:b/>
                <w:bCs/>
                <w:spacing w:val="-3"/>
              </w:rPr>
              <w:t>1.</w:t>
            </w:r>
            <w:r>
              <w:rPr>
                <w:b/>
                <w:bCs/>
                <w:spacing w:val="-3"/>
              </w:rPr>
              <w:t>废气环境影响和保护措施</w:t>
            </w:r>
          </w:p>
          <w:p w14:paraId="7360F31E">
            <w:pPr>
              <w:pStyle w:val="6"/>
              <w:spacing w:before="195" w:line="332" w:lineRule="auto"/>
              <w:ind w:left="107" w:right="100" w:firstLine="480"/>
              <w:jc w:val="both"/>
            </w:pPr>
            <w:r>
              <w:rPr>
                <w:spacing w:val="-2"/>
              </w:rPr>
              <w:t>本项目建设</w:t>
            </w:r>
            <w:r>
              <w:rPr>
                <w:spacing w:val="-29"/>
              </w:rPr>
              <w:t xml:space="preserve"> </w:t>
            </w:r>
            <w:r>
              <w:rPr>
                <w:rFonts w:ascii="Times New Roman" w:hAnsi="Times New Roman" w:eastAsia="Times New Roman" w:cs="Times New Roman"/>
                <w:spacing w:val="-2"/>
              </w:rPr>
              <w:t>1</w:t>
            </w:r>
            <w:r>
              <w:rPr>
                <w:rFonts w:ascii="Times New Roman" w:hAnsi="Times New Roman" w:eastAsia="Times New Roman" w:cs="Times New Roman"/>
                <w:spacing w:val="28"/>
              </w:rPr>
              <w:t xml:space="preserve"> </w:t>
            </w:r>
            <w:r>
              <w:rPr>
                <w:spacing w:val="-2"/>
              </w:rPr>
              <w:t>台</w:t>
            </w:r>
            <w:r>
              <w:rPr>
                <w:spacing w:val="-55"/>
              </w:rPr>
              <w:t xml:space="preserve"> </w:t>
            </w:r>
            <w:r>
              <w:rPr>
                <w:rFonts w:ascii="Times New Roman" w:hAnsi="Times New Roman" w:eastAsia="Times New Roman" w:cs="Times New Roman"/>
                <w:spacing w:val="-2"/>
              </w:rPr>
              <w:t>2t/h</w:t>
            </w:r>
            <w:r>
              <w:rPr>
                <w:rFonts w:ascii="Times New Roman" w:hAnsi="Times New Roman" w:eastAsia="Times New Roman" w:cs="Times New Roman"/>
                <w:spacing w:val="32"/>
              </w:rPr>
              <w:t xml:space="preserve"> </w:t>
            </w:r>
            <w:r>
              <w:rPr>
                <w:spacing w:val="-2"/>
              </w:rPr>
              <w:t>的燃气锅炉，燃料为天然</w:t>
            </w:r>
            <w:r>
              <w:rPr>
                <w:spacing w:val="-3"/>
              </w:rPr>
              <w:t>气，本项目产生的废气为锅炉燃烧时产生</w:t>
            </w:r>
            <w:r>
              <w:rPr>
                <w:rFonts w:hint="eastAsia"/>
                <w:spacing w:val="-3"/>
                <w:lang w:eastAsia="zh-CN"/>
              </w:rPr>
              <w:t>的颗粒物</w:t>
            </w:r>
            <w:r>
              <w:rPr>
                <w:spacing w:val="-3"/>
              </w:rPr>
              <w:t>、氮氧化物和二氧化硫。烟气经配套的低氮燃烧</w:t>
            </w:r>
            <w:r>
              <w:rPr>
                <w:rFonts w:ascii="Times New Roman" w:hAnsi="Times New Roman" w:eastAsia="Times New Roman" w:cs="Times New Roman"/>
                <w:spacing w:val="-3"/>
              </w:rPr>
              <w:t>+</w:t>
            </w:r>
            <w:r>
              <w:rPr>
                <w:spacing w:val="-4"/>
              </w:rPr>
              <w:t>烟气循环</w:t>
            </w:r>
            <w:r>
              <w:rPr>
                <w:spacing w:val="-2"/>
              </w:rPr>
              <w:t>燃烧后经</w:t>
            </w:r>
            <w:r>
              <w:rPr>
                <w:spacing w:val="-32"/>
              </w:rPr>
              <w:t xml:space="preserve"> </w:t>
            </w:r>
            <w:r>
              <w:rPr>
                <w:rFonts w:ascii="Times New Roman" w:hAnsi="Times New Roman" w:eastAsia="Times New Roman" w:cs="Times New Roman"/>
                <w:spacing w:val="-2"/>
              </w:rPr>
              <w:t xml:space="preserve">1 </w:t>
            </w:r>
            <w:r>
              <w:rPr>
                <w:spacing w:val="-2"/>
              </w:rPr>
              <w:t>根</w:t>
            </w:r>
            <w:r>
              <w:rPr>
                <w:spacing w:val="-45"/>
              </w:rPr>
              <w:t xml:space="preserve"> </w:t>
            </w:r>
            <w:r>
              <w:rPr>
                <w:rFonts w:ascii="Times New Roman" w:hAnsi="Times New Roman" w:eastAsia="Times New Roman" w:cs="Times New Roman"/>
                <w:spacing w:val="-2"/>
              </w:rPr>
              <w:t xml:space="preserve">8 </w:t>
            </w:r>
            <w:r>
              <w:rPr>
                <w:spacing w:val="-2"/>
              </w:rPr>
              <w:t>米高排气筒（</w:t>
            </w:r>
            <w:r>
              <w:rPr>
                <w:rFonts w:ascii="Times New Roman" w:hAnsi="Times New Roman" w:eastAsia="Times New Roman" w:cs="Times New Roman"/>
                <w:spacing w:val="-2"/>
              </w:rPr>
              <w:t>DA00</w:t>
            </w:r>
            <w:r>
              <w:rPr>
                <w:rFonts w:ascii="Times New Roman" w:hAnsi="Times New Roman" w:eastAsia="Times New Roman" w:cs="Times New Roman"/>
                <w:spacing w:val="-3"/>
              </w:rPr>
              <w:t>1</w:t>
            </w:r>
            <w:r>
              <w:rPr>
                <w:spacing w:val="-3"/>
              </w:rPr>
              <w:t>）排放。</w:t>
            </w:r>
          </w:p>
          <w:p w14:paraId="1051A169">
            <w:pPr>
              <w:pStyle w:val="6"/>
              <w:spacing w:line="219" w:lineRule="auto"/>
              <w:ind w:left="103"/>
            </w:pPr>
            <w:r>
              <w:rPr>
                <w:rFonts w:ascii="Times New Roman" w:hAnsi="Times New Roman" w:eastAsia="Times New Roman" w:cs="Times New Roman"/>
                <w:b/>
                <w:bCs/>
                <w:spacing w:val="-2"/>
              </w:rPr>
              <w:t>2.</w:t>
            </w:r>
            <w:r>
              <w:rPr>
                <w:b/>
                <w:bCs/>
                <w:spacing w:val="-2"/>
              </w:rPr>
              <w:t>水环境影响分析及防治措施</w:t>
            </w:r>
          </w:p>
          <w:p w14:paraId="700B48E5">
            <w:pPr>
              <w:spacing w:line="246" w:lineRule="auto"/>
              <w:rPr>
                <w:rFonts w:ascii="Arial"/>
                <w:sz w:val="21"/>
              </w:rPr>
            </w:pPr>
          </w:p>
          <w:p w14:paraId="57B1A851">
            <w:pPr>
              <w:pStyle w:val="6"/>
              <w:spacing w:before="78" w:line="320" w:lineRule="auto"/>
              <w:ind w:left="110" w:right="103" w:firstLine="478"/>
            </w:pPr>
            <w:r>
              <w:rPr>
                <w:spacing w:val="1"/>
              </w:rPr>
              <w:t>生产废水主要来自软水制备系统产生的含盐废水以及锅炉</w:t>
            </w:r>
            <w:r>
              <w:t>排污水。属于清</w:t>
            </w:r>
            <w:r>
              <w:rPr>
                <w:spacing w:val="-1"/>
              </w:rPr>
              <w:t>洁下水，由锅炉房排水系统经市政排水管网最终进入托克逊县污水处理厂。</w:t>
            </w:r>
          </w:p>
        </w:tc>
      </w:tr>
    </w:tbl>
    <w:p w14:paraId="5C3DDD3A">
      <w:pPr>
        <w:pStyle w:val="2"/>
      </w:pPr>
    </w:p>
    <w:p w14:paraId="3E8F6B2C">
      <w:pPr>
        <w:sectPr>
          <w:footerReference r:id="rId9" w:type="default"/>
          <w:pgSz w:w="11906" w:h="16839"/>
          <w:pgMar w:top="1431" w:right="1489" w:bottom="1005" w:left="1488" w:header="0" w:footer="843" w:gutter="0"/>
          <w:cols w:space="720" w:num="1"/>
        </w:sectPr>
      </w:pPr>
    </w:p>
    <w:p w14:paraId="00BA0825">
      <w:pPr>
        <w:spacing w:before="28"/>
      </w:pPr>
    </w:p>
    <w:tbl>
      <w:tblPr>
        <w:tblStyle w:val="5"/>
        <w:tblW w:w="891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04"/>
        <w:gridCol w:w="8409"/>
      </w:tblGrid>
      <w:tr w14:paraId="5B5DAC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365" w:hRule="atLeast"/>
        </w:trPr>
        <w:tc>
          <w:tcPr>
            <w:tcW w:w="504" w:type="dxa"/>
            <w:tcBorders>
              <w:right w:val="single" w:color="000000" w:sz="2" w:space="0"/>
            </w:tcBorders>
            <w:vAlign w:val="top"/>
          </w:tcPr>
          <w:p w14:paraId="6B99C03D">
            <w:pPr>
              <w:pStyle w:val="6"/>
              <w:spacing w:before="30" w:line="222" w:lineRule="auto"/>
              <w:ind w:left="129"/>
            </w:pPr>
            <w:r>
              <w:t>施</w:t>
            </w:r>
          </w:p>
        </w:tc>
        <w:tc>
          <w:tcPr>
            <w:tcW w:w="8409" w:type="dxa"/>
            <w:tcBorders>
              <w:left w:val="single" w:color="000000" w:sz="2" w:space="0"/>
            </w:tcBorders>
            <w:vAlign w:val="top"/>
          </w:tcPr>
          <w:p w14:paraId="7810AC5E">
            <w:pPr>
              <w:pStyle w:val="6"/>
              <w:spacing w:before="30" w:line="220" w:lineRule="auto"/>
              <w:ind w:left="101"/>
            </w:pPr>
            <w:r>
              <w:rPr>
                <w:rFonts w:ascii="Times New Roman" w:hAnsi="Times New Roman" w:eastAsia="Times New Roman" w:cs="Times New Roman"/>
                <w:b/>
                <w:bCs/>
                <w:spacing w:val="-3"/>
              </w:rPr>
              <w:t>3.</w:t>
            </w:r>
            <w:r>
              <w:rPr>
                <w:b/>
                <w:bCs/>
                <w:spacing w:val="-3"/>
              </w:rPr>
              <w:t>噪声</w:t>
            </w:r>
          </w:p>
          <w:p w14:paraId="2163630B">
            <w:pPr>
              <w:pStyle w:val="6"/>
              <w:spacing w:before="181" w:line="361" w:lineRule="auto"/>
              <w:ind w:left="108" w:right="103" w:firstLine="479"/>
              <w:jc w:val="both"/>
            </w:pPr>
            <w:r>
              <w:rPr>
                <w:spacing w:val="-3"/>
              </w:rPr>
              <w:t>本项目50m范围内无噪声敏感点。经过采取降噪措施后，本项目运营期厂界</w:t>
            </w:r>
            <w:r>
              <w:rPr>
                <w:spacing w:val="1"/>
              </w:rPr>
              <w:t>噪声能满足《工业企业厂界环境噪声排放标准》（</w:t>
            </w:r>
            <w:r>
              <w:t>GB</w:t>
            </w:r>
            <w:r>
              <w:rPr>
                <w:spacing w:val="1"/>
              </w:rPr>
              <w:t xml:space="preserve"> 123</w:t>
            </w:r>
            <w:r>
              <w:t>48-2008）中2类区标</w:t>
            </w:r>
            <w:r>
              <w:rPr>
                <w:spacing w:val="-3"/>
              </w:rPr>
              <w:t>准限值。</w:t>
            </w:r>
          </w:p>
          <w:p w14:paraId="38AB6347">
            <w:pPr>
              <w:pStyle w:val="6"/>
              <w:spacing w:before="136" w:line="220" w:lineRule="auto"/>
              <w:ind w:left="103"/>
            </w:pPr>
            <w:r>
              <w:rPr>
                <w:rFonts w:ascii="Times New Roman" w:hAnsi="Times New Roman" w:eastAsia="Times New Roman" w:cs="Times New Roman"/>
                <w:b/>
                <w:bCs/>
                <w:spacing w:val="-5"/>
              </w:rPr>
              <w:t>4.</w:t>
            </w:r>
            <w:r>
              <w:rPr>
                <w:rFonts w:ascii="Times New Roman" w:hAnsi="Times New Roman" w:eastAsia="Times New Roman" w:cs="Times New Roman"/>
                <w:b/>
                <w:bCs/>
                <w:spacing w:val="-30"/>
              </w:rPr>
              <w:t xml:space="preserve"> </w:t>
            </w:r>
            <w:r>
              <w:rPr>
                <w:b/>
                <w:bCs/>
                <w:spacing w:val="-5"/>
              </w:rPr>
              <w:t>固体废物影响分析</w:t>
            </w:r>
          </w:p>
          <w:p w14:paraId="2D5F9285">
            <w:pPr>
              <w:pStyle w:val="6"/>
              <w:spacing w:before="194" w:line="369" w:lineRule="auto"/>
              <w:ind w:left="106" w:right="100" w:firstLine="479"/>
            </w:pPr>
            <w:r>
              <w:rPr>
                <w:spacing w:val="1"/>
              </w:rPr>
              <w:t>本项目不新增劳动定员，因此无生活垃圾产生。运营期产生的固体废物为</w:t>
            </w:r>
            <w:r>
              <w:rPr>
                <w:spacing w:val="-1"/>
              </w:rPr>
              <w:t>废离子交换树脂。不属于危险废物，由厂家更换</w:t>
            </w:r>
            <w:r>
              <w:rPr>
                <w:spacing w:val="-2"/>
              </w:rPr>
              <w:t>带走，不在厂内储存。</w:t>
            </w:r>
          </w:p>
          <w:p w14:paraId="581B3337">
            <w:pPr>
              <w:pStyle w:val="6"/>
              <w:spacing w:line="219" w:lineRule="auto"/>
              <w:ind w:left="105"/>
            </w:pPr>
            <w:r>
              <w:rPr>
                <w:rFonts w:ascii="Times New Roman" w:hAnsi="Times New Roman" w:eastAsia="Times New Roman" w:cs="Times New Roman"/>
                <w:b/>
                <w:bCs/>
                <w:spacing w:val="-3"/>
              </w:rPr>
              <w:t>5.</w:t>
            </w:r>
            <w:r>
              <w:rPr>
                <w:b/>
                <w:bCs/>
                <w:spacing w:val="-3"/>
              </w:rPr>
              <w:t>地下水环境影响及保护措施</w:t>
            </w:r>
          </w:p>
          <w:p w14:paraId="3D13891B">
            <w:pPr>
              <w:pStyle w:val="6"/>
              <w:spacing w:before="195" w:line="369" w:lineRule="auto"/>
              <w:ind w:left="106" w:right="161" w:firstLine="480"/>
            </w:pPr>
            <w:r>
              <w:rPr>
                <w:spacing w:val="-1"/>
              </w:rPr>
              <w:t>本项目运营期间，废水主要为锅炉设施排放，废水污染物类型较为简单，且废水经市政污水管网最终进入托克逊县污水处理</w:t>
            </w:r>
            <w:r>
              <w:rPr>
                <w:spacing w:val="-2"/>
              </w:rPr>
              <w:t>厂集中处理，不直接排放。</w:t>
            </w:r>
          </w:p>
          <w:p w14:paraId="6CB29551">
            <w:pPr>
              <w:pStyle w:val="6"/>
              <w:spacing w:line="220" w:lineRule="auto"/>
              <w:ind w:left="106"/>
            </w:pPr>
            <w:r>
              <w:rPr>
                <w:rFonts w:ascii="Times New Roman" w:hAnsi="Times New Roman" w:eastAsia="Times New Roman" w:cs="Times New Roman"/>
                <w:b/>
                <w:bCs/>
                <w:spacing w:val="-3"/>
              </w:rPr>
              <w:t>6.</w:t>
            </w:r>
            <w:r>
              <w:rPr>
                <w:b/>
                <w:bCs/>
                <w:spacing w:val="-3"/>
              </w:rPr>
              <w:t>土壤环境影响及保护措施</w:t>
            </w:r>
          </w:p>
          <w:p w14:paraId="382B274F">
            <w:pPr>
              <w:pStyle w:val="6"/>
              <w:spacing w:before="194" w:line="369" w:lineRule="auto"/>
              <w:ind w:left="109" w:right="41" w:firstLine="478"/>
              <w:jc w:val="both"/>
            </w:pPr>
            <w:r>
              <w:rPr>
                <w:spacing w:val="1"/>
              </w:rPr>
              <w:t>本项目位于托克逊县夏镇布拉克贝希村水洗厂厂区内，不新增</w:t>
            </w:r>
            <w:r>
              <w:t>用地，现有</w:t>
            </w:r>
            <w:r>
              <w:rPr>
                <w:spacing w:val="-4"/>
              </w:rPr>
              <w:t>建构筑物已进行了基础防渗，在加强管理、规范</w:t>
            </w:r>
            <w:r>
              <w:rPr>
                <w:spacing w:val="-5"/>
              </w:rPr>
              <w:t>操作、加强日常维护的情况下，</w:t>
            </w:r>
            <w:r>
              <w:rPr>
                <w:spacing w:val="-1"/>
              </w:rPr>
              <w:t>发生非正常情况导致土壤环境污染的概率较小。</w:t>
            </w:r>
          </w:p>
          <w:p w14:paraId="47D7F2A5">
            <w:pPr>
              <w:pStyle w:val="6"/>
              <w:spacing w:line="220" w:lineRule="auto"/>
              <w:ind w:left="105"/>
            </w:pPr>
            <w:r>
              <w:rPr>
                <w:rFonts w:ascii="Times New Roman" w:hAnsi="Times New Roman" w:eastAsia="Times New Roman" w:cs="Times New Roman"/>
                <w:b/>
                <w:bCs/>
                <w:spacing w:val="-3"/>
              </w:rPr>
              <w:t>7.</w:t>
            </w:r>
            <w:r>
              <w:rPr>
                <w:b/>
                <w:bCs/>
                <w:spacing w:val="-3"/>
              </w:rPr>
              <w:t>生态环境影响分析</w:t>
            </w:r>
          </w:p>
          <w:p w14:paraId="1FA26FB0">
            <w:pPr>
              <w:pStyle w:val="6"/>
              <w:spacing w:before="195" w:line="369" w:lineRule="auto"/>
              <w:ind w:left="106" w:right="103" w:firstLine="480"/>
              <w:jc w:val="both"/>
            </w:pPr>
            <w:r>
              <w:rPr>
                <w:spacing w:val="1"/>
              </w:rPr>
              <w:t>本项目位于托克逊县夏镇布拉克贝希村水洗厂厂区内，项目所</w:t>
            </w:r>
            <w:r>
              <w:t>在地周边无</w:t>
            </w:r>
            <w:r>
              <w:rPr>
                <w:spacing w:val="1"/>
              </w:rPr>
              <w:t>珍稀动植物物种和自然保护区等环境敏感区。在各项污染防治措</w:t>
            </w:r>
            <w:r>
              <w:t>施正常运行状</w:t>
            </w:r>
            <w:r>
              <w:rPr>
                <w:spacing w:val="1"/>
              </w:rPr>
              <w:t>态下，各种污染物能够做到达标排放。因此，本项目不会对区</w:t>
            </w:r>
            <w:r>
              <w:t>域的生态环境造</w:t>
            </w:r>
            <w:r>
              <w:rPr>
                <w:spacing w:val="-2"/>
              </w:rPr>
              <w:t>成不利影响。</w:t>
            </w:r>
          </w:p>
          <w:p w14:paraId="7CC26779">
            <w:pPr>
              <w:pStyle w:val="6"/>
              <w:spacing w:line="220" w:lineRule="auto"/>
              <w:ind w:left="106"/>
            </w:pPr>
            <w:r>
              <w:rPr>
                <w:rFonts w:ascii="Times New Roman" w:hAnsi="Times New Roman" w:eastAsia="Times New Roman" w:cs="Times New Roman"/>
                <w:b/>
                <w:bCs/>
                <w:spacing w:val="-3"/>
              </w:rPr>
              <w:t>8.</w:t>
            </w:r>
            <w:r>
              <w:rPr>
                <w:b/>
                <w:bCs/>
                <w:spacing w:val="-3"/>
              </w:rPr>
              <w:t>环境风险分析</w:t>
            </w:r>
          </w:p>
          <w:p w14:paraId="15A2E9B0">
            <w:pPr>
              <w:pStyle w:val="6"/>
              <w:spacing w:before="195" w:line="219" w:lineRule="auto"/>
              <w:ind w:left="106"/>
            </w:pPr>
            <w:r>
              <w:rPr>
                <w:rFonts w:ascii="Times New Roman" w:hAnsi="Times New Roman" w:eastAsia="Times New Roman" w:cs="Times New Roman"/>
                <w:b/>
                <w:bCs/>
                <w:spacing w:val="-2"/>
              </w:rPr>
              <w:t>8.1</w:t>
            </w:r>
            <w:r>
              <w:rPr>
                <w:b/>
                <w:bCs/>
                <w:spacing w:val="-2"/>
              </w:rPr>
              <w:t>环境风险潜势初判</w:t>
            </w:r>
          </w:p>
          <w:p w14:paraId="5B5E4FE5">
            <w:pPr>
              <w:pStyle w:val="6"/>
              <w:spacing w:before="51" w:line="365" w:lineRule="auto"/>
              <w:ind w:left="106" w:right="100" w:firstLine="480"/>
              <w:jc w:val="both"/>
            </w:pPr>
            <w:r>
              <w:rPr>
                <w:spacing w:val="1"/>
              </w:rPr>
              <w:t>根据《建设项目环境风险评价技术导则》（</w:t>
            </w:r>
            <w:r>
              <w:rPr>
                <w:rFonts w:ascii="Times New Roman" w:hAnsi="Times New Roman" w:eastAsia="Times New Roman" w:cs="Times New Roman"/>
              </w:rPr>
              <w:t>HJ</w:t>
            </w:r>
            <w:r>
              <w:rPr>
                <w:rFonts w:ascii="Times New Roman" w:hAnsi="Times New Roman" w:eastAsia="Times New Roman" w:cs="Times New Roman"/>
                <w:spacing w:val="1"/>
              </w:rPr>
              <w:t>169-</w:t>
            </w:r>
            <w:r>
              <w:rPr>
                <w:rFonts w:ascii="Times New Roman" w:hAnsi="Times New Roman" w:eastAsia="Times New Roman" w:cs="Times New Roman"/>
              </w:rPr>
              <w:t>2018</w:t>
            </w:r>
            <w:r>
              <w:rPr>
                <w:spacing w:val="9"/>
              </w:rPr>
              <w:t>），</w:t>
            </w:r>
            <w:r>
              <w:t>项目所涉及的</w:t>
            </w:r>
            <w:r>
              <w:rPr>
                <w:spacing w:val="5"/>
              </w:rPr>
              <w:t>每种危险物质在厂界内的最大存在总量与其对应临界量的比值</w:t>
            </w:r>
            <w:r>
              <w:rPr>
                <w:spacing w:val="-28"/>
              </w:rPr>
              <w:t xml:space="preserve"> </w:t>
            </w:r>
            <w:r>
              <w:rPr>
                <w:rFonts w:ascii="Times New Roman" w:hAnsi="Times New Roman" w:eastAsia="Times New Roman" w:cs="Times New Roman"/>
                <w:spacing w:val="5"/>
              </w:rPr>
              <w:t>Q</w:t>
            </w:r>
            <w:r>
              <w:rPr>
                <w:rFonts w:ascii="Times New Roman" w:hAnsi="Times New Roman" w:eastAsia="Times New Roman" w:cs="Times New Roman"/>
                <w:spacing w:val="20"/>
              </w:rPr>
              <w:t xml:space="preserve"> </w:t>
            </w:r>
            <w:r>
              <w:rPr>
                <w:spacing w:val="5"/>
              </w:rPr>
              <w:t>来表征危险</w:t>
            </w:r>
            <w:r>
              <w:rPr>
                <w:spacing w:val="-2"/>
              </w:rPr>
              <w:t>性。本项目</w:t>
            </w:r>
            <w:r>
              <w:rPr>
                <w:spacing w:val="-49"/>
              </w:rPr>
              <w:t xml:space="preserve"> </w:t>
            </w:r>
            <w:r>
              <w:rPr>
                <w:rFonts w:ascii="Times New Roman" w:hAnsi="Times New Roman" w:eastAsia="Times New Roman" w:cs="Times New Roman"/>
                <w:spacing w:val="-2"/>
              </w:rPr>
              <w:t>Q=0.0002</w:t>
            </w:r>
            <w:r>
              <w:rPr>
                <w:spacing w:val="-2"/>
              </w:rPr>
              <w:t>＜</w:t>
            </w:r>
            <w:r>
              <w:rPr>
                <w:rFonts w:ascii="Times New Roman" w:hAnsi="Times New Roman" w:eastAsia="Times New Roman" w:cs="Times New Roman"/>
                <w:spacing w:val="-2"/>
              </w:rPr>
              <w:t>1</w:t>
            </w:r>
            <w:r>
              <w:rPr>
                <w:rFonts w:ascii="Times New Roman" w:hAnsi="Times New Roman" w:eastAsia="Times New Roman" w:cs="Times New Roman"/>
                <w:spacing w:val="-31"/>
              </w:rPr>
              <w:t xml:space="preserve"> </w:t>
            </w:r>
            <w:r>
              <w:rPr>
                <w:spacing w:val="-2"/>
              </w:rPr>
              <w:t>，该项目无重大风险。</w:t>
            </w:r>
          </w:p>
          <w:p w14:paraId="676303F6">
            <w:pPr>
              <w:pStyle w:val="6"/>
              <w:spacing w:before="122" w:line="220" w:lineRule="auto"/>
              <w:ind w:left="106"/>
            </w:pPr>
            <w:r>
              <w:rPr>
                <w:rFonts w:ascii="Times New Roman" w:hAnsi="Times New Roman" w:eastAsia="Times New Roman" w:cs="Times New Roman"/>
                <w:b/>
                <w:bCs/>
                <w:spacing w:val="-2"/>
              </w:rPr>
              <w:t xml:space="preserve">8.2 </w:t>
            </w:r>
            <w:r>
              <w:rPr>
                <w:b/>
                <w:bCs/>
                <w:spacing w:val="-2"/>
              </w:rPr>
              <w:t>环境风险识别</w:t>
            </w:r>
          </w:p>
          <w:p w14:paraId="3D77E67A">
            <w:pPr>
              <w:pStyle w:val="6"/>
              <w:spacing w:before="195" w:line="326" w:lineRule="auto"/>
              <w:ind w:left="106" w:right="141" w:firstLine="480"/>
            </w:pPr>
            <w:r>
              <w:t>本项目主要风险物质为天然气，存在的主要环</w:t>
            </w:r>
            <w:r>
              <w:rPr>
                <w:spacing w:val="-1"/>
              </w:rPr>
              <w:t>境风险为天然气泄漏产生的</w:t>
            </w:r>
            <w:r>
              <w:t>爆炸、火灾，以及其对人体产生的毒害性。当天然气</w:t>
            </w:r>
            <w:r>
              <w:rPr>
                <w:spacing w:val="-1"/>
              </w:rPr>
              <w:t>泄漏产生的爆炸、火灾、</w:t>
            </w:r>
            <w:r>
              <w:t>天然气逸散时，距离靠近灾区会有造成烧伤、中毒的</w:t>
            </w:r>
            <w:r>
              <w:rPr>
                <w:spacing w:val="-1"/>
              </w:rPr>
              <w:t>危险。因此，天然气泄漏</w:t>
            </w:r>
          </w:p>
        </w:tc>
      </w:tr>
    </w:tbl>
    <w:p w14:paraId="55144F06">
      <w:pPr>
        <w:pStyle w:val="2"/>
      </w:pPr>
    </w:p>
    <w:p w14:paraId="133DDD85">
      <w:pPr>
        <w:sectPr>
          <w:footerReference r:id="rId10" w:type="default"/>
          <w:pgSz w:w="11906" w:h="16839"/>
          <w:pgMar w:top="1431" w:right="1489" w:bottom="1002" w:left="1488" w:header="0" w:footer="843" w:gutter="0"/>
          <w:cols w:space="720" w:num="1"/>
        </w:sectPr>
      </w:pPr>
    </w:p>
    <w:p w14:paraId="30FFF111">
      <w:pPr>
        <w:spacing w:before="28"/>
      </w:pPr>
    </w:p>
    <w:tbl>
      <w:tblPr>
        <w:tblStyle w:val="5"/>
        <w:tblW w:w="8913"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04"/>
        <w:gridCol w:w="8409"/>
      </w:tblGrid>
      <w:tr w14:paraId="7B558F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310" w:hRule="atLeast"/>
        </w:trPr>
        <w:tc>
          <w:tcPr>
            <w:tcW w:w="504" w:type="dxa"/>
            <w:tcBorders>
              <w:right w:val="single" w:color="000000" w:sz="2" w:space="0"/>
            </w:tcBorders>
            <w:vAlign w:val="top"/>
          </w:tcPr>
          <w:p w14:paraId="24BE3B6D">
            <w:pPr>
              <w:rPr>
                <w:rFonts w:ascii="Arial"/>
                <w:sz w:val="21"/>
              </w:rPr>
            </w:pPr>
          </w:p>
        </w:tc>
        <w:tc>
          <w:tcPr>
            <w:tcW w:w="8409" w:type="dxa"/>
            <w:tcBorders>
              <w:left w:val="single" w:color="000000" w:sz="2" w:space="0"/>
            </w:tcBorders>
            <w:vAlign w:val="top"/>
          </w:tcPr>
          <w:p w14:paraId="6B029102">
            <w:pPr>
              <w:pStyle w:val="6"/>
              <w:spacing w:before="174" w:line="219" w:lineRule="auto"/>
              <w:ind w:left="105"/>
            </w:pPr>
            <w:r>
              <w:t>将不可避免地对周边人员安全与生产设施产</w:t>
            </w:r>
            <w:r>
              <w:rPr>
                <w:spacing w:val="-1"/>
              </w:rPr>
              <w:t>生一定的不利影响。</w:t>
            </w:r>
          </w:p>
          <w:p w14:paraId="20E4A595">
            <w:pPr>
              <w:pStyle w:val="6"/>
              <w:spacing w:before="194" w:line="220" w:lineRule="auto"/>
              <w:ind w:left="106"/>
            </w:pPr>
            <w:r>
              <w:rPr>
                <w:rFonts w:ascii="Times New Roman" w:hAnsi="Times New Roman" w:eastAsia="Times New Roman" w:cs="Times New Roman"/>
                <w:b/>
                <w:bCs/>
                <w:spacing w:val="-2"/>
              </w:rPr>
              <w:t>8.3</w:t>
            </w:r>
            <w:r>
              <w:rPr>
                <w:b/>
                <w:bCs/>
                <w:spacing w:val="-2"/>
              </w:rPr>
              <w:t>环境风险防范措施</w:t>
            </w:r>
          </w:p>
          <w:p w14:paraId="01B08135">
            <w:pPr>
              <w:pStyle w:val="6"/>
              <w:spacing w:before="193" w:line="218" w:lineRule="auto"/>
              <w:ind w:left="587"/>
            </w:pPr>
            <w:r>
              <w:rPr>
                <w:spacing w:val="-1"/>
              </w:rPr>
              <w:t>本次评价针对本项目的性质以及周边环境等情况，具体</w:t>
            </w:r>
            <w:r>
              <w:rPr>
                <w:rFonts w:hint="eastAsia"/>
                <w:spacing w:val="-1"/>
                <w:lang w:val="en-US" w:eastAsia="zh-CN"/>
              </w:rPr>
              <w:t>措施</w:t>
            </w:r>
            <w:r>
              <w:rPr>
                <w:spacing w:val="-1"/>
              </w:rPr>
              <w:t>如下：</w:t>
            </w:r>
          </w:p>
          <w:p w14:paraId="6160A01E">
            <w:pPr>
              <w:pStyle w:val="6"/>
              <w:spacing w:before="197" w:line="369" w:lineRule="auto"/>
              <w:ind w:left="106" w:right="103" w:firstLine="479"/>
            </w:pPr>
            <w:r>
              <w:rPr>
                <w:spacing w:val="1"/>
              </w:rPr>
              <w:t>①加强运行管理，定期检查调整炉内燃烧情况，保证锅炉完全燃</w:t>
            </w:r>
            <w:r>
              <w:t>烧，并及</w:t>
            </w:r>
            <w:r>
              <w:rPr>
                <w:spacing w:val="1"/>
              </w:rPr>
              <w:t>时修理锅炉本体漏风点。定期校验可燃气体报警器，保证完好</w:t>
            </w:r>
            <w:r>
              <w:t>。定期用漏检仪检测燃气管路。保证室内通风换气。备足灭火</w:t>
            </w:r>
            <w:r>
              <w:rPr>
                <w:spacing w:val="-1"/>
              </w:rPr>
              <w:t>器、灭火沙等灭火工具。</w:t>
            </w:r>
          </w:p>
          <w:p w14:paraId="37EF9623">
            <w:pPr>
              <w:pStyle w:val="6"/>
              <w:spacing w:before="1" w:line="369" w:lineRule="auto"/>
              <w:ind w:left="106" w:right="103" w:firstLine="478"/>
            </w:pPr>
            <w:r>
              <w:rPr>
                <w:spacing w:val="1"/>
              </w:rPr>
              <w:t>②加强操作人员的岗位培训，严格遵守规程。对事故易发处按规定</w:t>
            </w:r>
            <w:r>
              <w:t>时间巡</w:t>
            </w:r>
            <w:r>
              <w:rPr>
                <w:spacing w:val="-1"/>
              </w:rPr>
              <w:t>检，发现问题及早解决。本项目的防火等消防措施必须到位。</w:t>
            </w:r>
          </w:p>
          <w:p w14:paraId="5671F8A6">
            <w:pPr>
              <w:pStyle w:val="6"/>
              <w:spacing w:before="2" w:line="369" w:lineRule="auto"/>
              <w:ind w:left="106" w:right="41" w:firstLine="478"/>
            </w:pPr>
            <w:r>
              <w:rPr>
                <w:spacing w:val="-5"/>
              </w:rPr>
              <w:t>③严格按照规范选取设备、管道的材料以及装置、设备的设计压力和温度，</w:t>
            </w:r>
            <w:r>
              <w:rPr>
                <w:spacing w:val="1"/>
              </w:rPr>
              <w:t>压力设备、容器等制造及安装过程中严格进行气密性检测</w:t>
            </w:r>
            <w:bookmarkStart w:id="0" w:name="_GoBack"/>
            <w:r>
              <w:rPr>
                <w:rFonts w:hint="eastAsia"/>
                <w:spacing w:val="1"/>
                <w:lang w:eastAsia="zh-CN"/>
              </w:rPr>
              <w:t>，在</w:t>
            </w:r>
            <w:bookmarkEnd w:id="0"/>
            <w:r>
              <w:rPr>
                <w:spacing w:val="1"/>
              </w:rPr>
              <w:t>爆</w:t>
            </w:r>
            <w:r>
              <w:t>炸危险区域内选</w:t>
            </w:r>
            <w:r>
              <w:rPr>
                <w:spacing w:val="1"/>
              </w:rPr>
              <w:t>用符合相应国家标准规定的防爆型电气、仪表、通信设备，严</w:t>
            </w:r>
            <w:r>
              <w:t>格执行设备的维</w:t>
            </w:r>
            <w:r>
              <w:rPr>
                <w:spacing w:val="1"/>
              </w:rPr>
              <w:t>护保养，</w:t>
            </w:r>
            <w:r>
              <w:rPr>
                <w:rFonts w:hint="eastAsia"/>
                <w:spacing w:val="1"/>
                <w:lang w:eastAsia="zh-CN"/>
              </w:rPr>
              <w:t>对</w:t>
            </w:r>
            <w:r>
              <w:rPr>
                <w:spacing w:val="1"/>
              </w:rPr>
              <w:t>各种装置、设备运行使用过程中定期进行维护、</w:t>
            </w:r>
            <w:r>
              <w:t>检修，以确保生</w:t>
            </w:r>
            <w:r>
              <w:rPr>
                <w:spacing w:val="1"/>
              </w:rPr>
              <w:t>产装置连续安全可靠运行，定期对设备管道、仪表、阀门、安</w:t>
            </w:r>
            <w:r>
              <w:t>全装置等进行检</w:t>
            </w:r>
            <w:r>
              <w:rPr>
                <w:spacing w:val="-2"/>
              </w:rPr>
              <w:t>查和校验。</w:t>
            </w:r>
          </w:p>
          <w:p w14:paraId="60189780">
            <w:pPr>
              <w:pStyle w:val="6"/>
              <w:spacing w:before="2" w:line="369" w:lineRule="auto"/>
              <w:ind w:left="107" w:right="103" w:firstLine="477"/>
            </w:pPr>
            <w:r>
              <w:rPr>
                <w:spacing w:val="1"/>
              </w:rPr>
              <w:t>④发生天然气泄漏时，立即打开锅炉房所有窗户和通风换气设施，</w:t>
            </w:r>
            <w:r>
              <w:t>关闭室</w:t>
            </w:r>
            <w:r>
              <w:rPr>
                <w:spacing w:val="1"/>
              </w:rPr>
              <w:t>外燃气总阀门，汇报值班领导。当天然气浓度较高时，严禁</w:t>
            </w:r>
            <w:r>
              <w:t>掺和操作，严禁贸</w:t>
            </w:r>
            <w:r>
              <w:rPr>
                <w:spacing w:val="1"/>
              </w:rPr>
              <w:t>然进入，</w:t>
            </w:r>
            <w:r>
              <w:rPr>
                <w:rFonts w:hint="eastAsia"/>
                <w:spacing w:val="1"/>
                <w:lang w:eastAsia="zh-CN"/>
              </w:rPr>
              <w:t>应</w:t>
            </w:r>
            <w:r>
              <w:rPr>
                <w:spacing w:val="1"/>
              </w:rPr>
              <w:t>到室外</w:t>
            </w:r>
            <w:r>
              <w:rPr>
                <w:rFonts w:hint="eastAsia"/>
                <w:spacing w:val="1"/>
                <w:lang w:eastAsia="zh-CN"/>
              </w:rPr>
              <w:t>上风</w:t>
            </w:r>
            <w:r>
              <w:rPr>
                <w:spacing w:val="1"/>
              </w:rPr>
              <w:t>处。在安全条件允许情况下，进行强</w:t>
            </w:r>
            <w:r>
              <w:t>制通风，锅炉上水</w:t>
            </w:r>
            <w:r>
              <w:rPr>
                <w:spacing w:val="1"/>
              </w:rPr>
              <w:t>至正常水位，并防止火花产生。用可燃气体检漏仪检查管路</w:t>
            </w:r>
            <w:r>
              <w:t>漏点，待现场可燃气体降至</w:t>
            </w:r>
            <w:r>
              <w:rPr>
                <w:spacing w:val="-53"/>
              </w:rPr>
              <w:t xml:space="preserve"> </w:t>
            </w:r>
            <w:r>
              <w:rPr>
                <w:rFonts w:ascii="Times New Roman" w:hAnsi="Times New Roman" w:eastAsia="Times New Roman" w:cs="Times New Roman"/>
              </w:rPr>
              <w:t>20%</w:t>
            </w:r>
            <w:r>
              <w:t>以下时，锅炉房值班人员组织抢修人员对泄漏点进行抢修，抢修</w:t>
            </w:r>
            <w:r>
              <w:rPr>
                <w:spacing w:val="-1"/>
              </w:rPr>
              <w:t>人员穿防静电服、戴好防毒面具、使用防爆工具。</w:t>
            </w:r>
          </w:p>
          <w:p w14:paraId="5557B065">
            <w:pPr>
              <w:pStyle w:val="6"/>
              <w:spacing w:before="1" w:line="217" w:lineRule="auto"/>
              <w:ind w:left="106"/>
            </w:pPr>
            <w:r>
              <w:rPr>
                <w:rFonts w:ascii="Times New Roman" w:hAnsi="Times New Roman" w:eastAsia="Times New Roman" w:cs="Times New Roman"/>
                <w:b/>
                <w:bCs/>
                <w:spacing w:val="-2"/>
              </w:rPr>
              <w:t>8.4</w:t>
            </w:r>
            <w:r>
              <w:rPr>
                <w:b/>
                <w:bCs/>
                <w:spacing w:val="-2"/>
              </w:rPr>
              <w:t>环境风险评价结论</w:t>
            </w:r>
          </w:p>
          <w:p w14:paraId="2D1072B2">
            <w:pPr>
              <w:pStyle w:val="6"/>
              <w:spacing w:before="197" w:line="369" w:lineRule="auto"/>
              <w:ind w:left="106" w:right="103" w:firstLine="480"/>
              <w:jc w:val="both"/>
            </w:pPr>
            <w:r>
              <w:rPr>
                <w:spacing w:val="1"/>
              </w:rPr>
              <w:t>本项目未构成重大危险源，在经过安全防范措施后能够基本</w:t>
            </w:r>
            <w:r>
              <w:t>杜绝风险事故</w:t>
            </w:r>
            <w:r>
              <w:rPr>
                <w:spacing w:val="1"/>
              </w:rPr>
              <w:t>发生，经认真贯彻预案中的应急措施，可将风险降至接受水平</w:t>
            </w:r>
            <w:r>
              <w:t>内，故本项目的</w:t>
            </w:r>
            <w:r>
              <w:rPr>
                <w:spacing w:val="-1"/>
              </w:rPr>
              <w:t>环境风险是可接受的。</w:t>
            </w:r>
          </w:p>
          <w:p w14:paraId="6FEAF76D">
            <w:pPr>
              <w:pStyle w:val="6"/>
              <w:spacing w:before="50" w:line="208" w:lineRule="auto"/>
              <w:ind w:left="107"/>
            </w:pPr>
          </w:p>
        </w:tc>
      </w:tr>
    </w:tbl>
    <w:p w14:paraId="6C37CB37">
      <w:pPr>
        <w:pStyle w:val="2"/>
      </w:pPr>
    </w:p>
    <w:p w14:paraId="5504F9A1">
      <w:pPr>
        <w:sectPr>
          <w:footerReference r:id="rId11" w:type="default"/>
          <w:pgSz w:w="11906" w:h="16839"/>
          <w:pgMar w:top="1431" w:right="1489" w:bottom="1005" w:left="1488" w:header="0" w:footer="843" w:gutter="0"/>
          <w:cols w:space="720" w:num="1"/>
        </w:sectPr>
      </w:pPr>
    </w:p>
    <w:p w14:paraId="6D0AA2F3">
      <w:pPr>
        <w:spacing w:before="315" w:line="221" w:lineRule="auto"/>
        <w:ind w:left="2328"/>
        <w:outlineLvl w:val="0"/>
        <w:rPr>
          <w:rFonts w:ascii="黑体" w:hAnsi="黑体" w:eastAsia="黑体" w:cs="黑体"/>
          <w:sz w:val="30"/>
          <w:szCs w:val="30"/>
        </w:rPr>
      </w:pPr>
      <w:r>
        <w:rPr>
          <w:rFonts w:ascii="黑体" w:hAnsi="黑体" w:eastAsia="黑体" w:cs="黑体"/>
          <w:spacing w:val="-2"/>
          <w:sz w:val="30"/>
          <w:szCs w:val="30"/>
        </w:rPr>
        <w:t>五、环境保护措施监督检查清单</w:t>
      </w:r>
    </w:p>
    <w:p w14:paraId="37121CA5">
      <w:pPr>
        <w:spacing w:before="22"/>
      </w:pPr>
    </w:p>
    <w:tbl>
      <w:tblPr>
        <w:tblStyle w:val="5"/>
        <w:tblW w:w="8804" w:type="dxa"/>
        <w:tblInd w:w="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84"/>
        <w:gridCol w:w="1603"/>
        <w:gridCol w:w="1270"/>
        <w:gridCol w:w="1416"/>
        <w:gridCol w:w="2731"/>
      </w:tblGrid>
      <w:tr w14:paraId="272689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4" w:hRule="atLeast"/>
        </w:trPr>
        <w:tc>
          <w:tcPr>
            <w:tcW w:w="1784" w:type="dxa"/>
            <w:tcBorders>
              <w:top w:val="single" w:color="000000" w:sz="6" w:space="0"/>
              <w:left w:val="single" w:color="000000" w:sz="6" w:space="0"/>
              <w:tl2br w:val="single" w:color="000000" w:sz="4" w:space="0"/>
            </w:tcBorders>
            <w:vAlign w:val="top"/>
          </w:tcPr>
          <w:p w14:paraId="03CE67B6">
            <w:pPr>
              <w:pStyle w:val="6"/>
              <w:spacing w:before="34" w:line="235" w:lineRule="auto"/>
              <w:ind w:left="682" w:right="262" w:firstLine="444"/>
              <w:rPr>
                <w:sz w:val="20"/>
                <w:szCs w:val="20"/>
              </w:rPr>
            </w:pPr>
            <w:r>
              <w:rPr>
                <w:spacing w:val="-8"/>
                <w:sz w:val="20"/>
                <w:szCs w:val="20"/>
              </w:rPr>
              <w:t>内容</w:t>
            </w:r>
            <w:r>
              <w:rPr>
                <w:spacing w:val="4"/>
                <w:sz w:val="20"/>
                <w:szCs w:val="20"/>
              </w:rPr>
              <w:t>要素</w:t>
            </w:r>
          </w:p>
        </w:tc>
        <w:tc>
          <w:tcPr>
            <w:tcW w:w="1603" w:type="dxa"/>
            <w:tcBorders>
              <w:top w:val="single" w:color="000000" w:sz="6" w:space="0"/>
            </w:tcBorders>
            <w:vAlign w:val="top"/>
          </w:tcPr>
          <w:p w14:paraId="3E9DB2C4">
            <w:pPr>
              <w:pStyle w:val="6"/>
              <w:spacing w:before="34" w:line="235" w:lineRule="auto"/>
              <w:ind w:left="147" w:right="62" w:hanging="38"/>
              <w:rPr>
                <w:sz w:val="20"/>
                <w:szCs w:val="20"/>
              </w:rPr>
            </w:pPr>
            <w:r>
              <w:rPr>
                <w:spacing w:val="3"/>
                <w:sz w:val="20"/>
                <w:szCs w:val="20"/>
              </w:rPr>
              <w:t>排放口（编号、</w:t>
            </w:r>
            <w:r>
              <w:rPr>
                <w:spacing w:val="7"/>
                <w:sz w:val="20"/>
                <w:szCs w:val="20"/>
              </w:rPr>
              <w:t>名称）</w:t>
            </w:r>
            <w:r>
              <w:rPr>
                <w:rFonts w:ascii="Times New Roman" w:hAnsi="Times New Roman" w:eastAsia="Times New Roman" w:cs="Times New Roman"/>
                <w:spacing w:val="7"/>
                <w:sz w:val="20"/>
                <w:szCs w:val="20"/>
              </w:rPr>
              <w:t>/</w:t>
            </w:r>
            <w:r>
              <w:rPr>
                <w:spacing w:val="7"/>
                <w:sz w:val="20"/>
                <w:szCs w:val="20"/>
              </w:rPr>
              <w:t>污染源</w:t>
            </w:r>
          </w:p>
        </w:tc>
        <w:tc>
          <w:tcPr>
            <w:tcW w:w="1270" w:type="dxa"/>
            <w:tcBorders>
              <w:top w:val="single" w:color="000000" w:sz="6" w:space="0"/>
            </w:tcBorders>
            <w:vAlign w:val="top"/>
          </w:tcPr>
          <w:p w14:paraId="45FA24E9">
            <w:pPr>
              <w:pStyle w:val="6"/>
              <w:spacing w:before="172" w:line="228" w:lineRule="auto"/>
              <w:ind w:left="116"/>
              <w:rPr>
                <w:sz w:val="20"/>
                <w:szCs w:val="20"/>
              </w:rPr>
            </w:pPr>
            <w:r>
              <w:rPr>
                <w:spacing w:val="7"/>
                <w:sz w:val="20"/>
                <w:szCs w:val="20"/>
              </w:rPr>
              <w:t>污染物项目</w:t>
            </w:r>
          </w:p>
        </w:tc>
        <w:tc>
          <w:tcPr>
            <w:tcW w:w="1416" w:type="dxa"/>
            <w:tcBorders>
              <w:top w:val="single" w:color="000000" w:sz="6" w:space="0"/>
            </w:tcBorders>
            <w:vAlign w:val="top"/>
          </w:tcPr>
          <w:p w14:paraId="78A58E45">
            <w:pPr>
              <w:pStyle w:val="6"/>
              <w:spacing w:before="34" w:line="235" w:lineRule="auto"/>
              <w:ind w:left="610" w:right="178" w:hanging="419"/>
              <w:rPr>
                <w:sz w:val="20"/>
                <w:szCs w:val="20"/>
              </w:rPr>
            </w:pPr>
            <w:r>
              <w:rPr>
                <w:spacing w:val="8"/>
                <w:sz w:val="20"/>
                <w:szCs w:val="20"/>
              </w:rPr>
              <w:t>环境保护措</w:t>
            </w:r>
            <w:r>
              <w:rPr>
                <w:spacing w:val="1"/>
                <w:sz w:val="20"/>
                <w:szCs w:val="20"/>
              </w:rPr>
              <w:t>施</w:t>
            </w:r>
          </w:p>
        </w:tc>
        <w:tc>
          <w:tcPr>
            <w:tcW w:w="2731" w:type="dxa"/>
            <w:tcBorders>
              <w:top w:val="single" w:color="000000" w:sz="6" w:space="0"/>
              <w:right w:val="single" w:color="000000" w:sz="6" w:space="0"/>
            </w:tcBorders>
            <w:vAlign w:val="top"/>
          </w:tcPr>
          <w:p w14:paraId="3FFC0CDA">
            <w:pPr>
              <w:pStyle w:val="6"/>
              <w:spacing w:before="172" w:line="228" w:lineRule="auto"/>
              <w:ind w:left="952"/>
              <w:rPr>
                <w:sz w:val="20"/>
                <w:szCs w:val="20"/>
              </w:rPr>
            </w:pPr>
            <w:r>
              <w:rPr>
                <w:spacing w:val="7"/>
                <w:sz w:val="20"/>
                <w:szCs w:val="20"/>
              </w:rPr>
              <w:t>执行标准</w:t>
            </w:r>
          </w:p>
        </w:tc>
      </w:tr>
      <w:tr w14:paraId="1FE8E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1784" w:type="dxa"/>
            <w:vMerge w:val="restart"/>
            <w:tcBorders>
              <w:left w:val="single" w:color="000000" w:sz="6" w:space="0"/>
              <w:bottom w:val="nil"/>
            </w:tcBorders>
            <w:vAlign w:val="top"/>
          </w:tcPr>
          <w:p w14:paraId="032D1331">
            <w:pPr>
              <w:spacing w:line="258" w:lineRule="auto"/>
              <w:rPr>
                <w:rFonts w:ascii="Arial"/>
                <w:sz w:val="21"/>
              </w:rPr>
            </w:pPr>
          </w:p>
          <w:p w14:paraId="729D0567">
            <w:pPr>
              <w:spacing w:line="258" w:lineRule="auto"/>
              <w:rPr>
                <w:rFonts w:ascii="Arial"/>
                <w:sz w:val="21"/>
              </w:rPr>
            </w:pPr>
          </w:p>
          <w:p w14:paraId="08E75EBF">
            <w:pPr>
              <w:spacing w:line="258" w:lineRule="auto"/>
              <w:rPr>
                <w:rFonts w:ascii="Arial"/>
                <w:sz w:val="21"/>
              </w:rPr>
            </w:pPr>
          </w:p>
          <w:p w14:paraId="582C9529">
            <w:pPr>
              <w:spacing w:line="259" w:lineRule="auto"/>
              <w:rPr>
                <w:rFonts w:ascii="Arial"/>
                <w:sz w:val="21"/>
              </w:rPr>
            </w:pPr>
          </w:p>
          <w:p w14:paraId="2A8E66DB">
            <w:pPr>
              <w:spacing w:line="259" w:lineRule="auto"/>
              <w:rPr>
                <w:rFonts w:ascii="Arial"/>
                <w:sz w:val="21"/>
              </w:rPr>
            </w:pPr>
          </w:p>
          <w:p w14:paraId="136EBEEF">
            <w:pPr>
              <w:pStyle w:val="6"/>
              <w:spacing w:before="65" w:line="228" w:lineRule="auto"/>
              <w:ind w:left="473"/>
              <w:rPr>
                <w:sz w:val="20"/>
                <w:szCs w:val="20"/>
              </w:rPr>
            </w:pPr>
            <w:r>
              <w:rPr>
                <w:spacing w:val="6"/>
                <w:sz w:val="20"/>
                <w:szCs w:val="20"/>
              </w:rPr>
              <w:t>大气环境</w:t>
            </w:r>
          </w:p>
        </w:tc>
        <w:tc>
          <w:tcPr>
            <w:tcW w:w="1603" w:type="dxa"/>
            <w:vMerge w:val="restart"/>
            <w:tcBorders>
              <w:bottom w:val="nil"/>
            </w:tcBorders>
            <w:vAlign w:val="top"/>
          </w:tcPr>
          <w:p w14:paraId="493B6EAD">
            <w:pPr>
              <w:spacing w:line="276" w:lineRule="auto"/>
              <w:rPr>
                <w:rFonts w:ascii="Arial"/>
                <w:sz w:val="21"/>
              </w:rPr>
            </w:pPr>
          </w:p>
          <w:p w14:paraId="16FBCE84">
            <w:pPr>
              <w:spacing w:line="276" w:lineRule="auto"/>
              <w:rPr>
                <w:rFonts w:ascii="Arial"/>
                <w:sz w:val="21"/>
              </w:rPr>
            </w:pPr>
          </w:p>
          <w:p w14:paraId="2898D225">
            <w:pPr>
              <w:spacing w:line="276" w:lineRule="auto"/>
              <w:rPr>
                <w:rFonts w:ascii="Arial"/>
                <w:sz w:val="21"/>
              </w:rPr>
            </w:pPr>
          </w:p>
          <w:p w14:paraId="0B49097C">
            <w:pPr>
              <w:spacing w:line="276" w:lineRule="auto"/>
              <w:rPr>
                <w:rFonts w:ascii="Arial"/>
                <w:sz w:val="21"/>
              </w:rPr>
            </w:pPr>
          </w:p>
          <w:p w14:paraId="37014CE6">
            <w:pPr>
              <w:pStyle w:val="6"/>
              <w:spacing w:before="65" w:line="278" w:lineRule="auto"/>
              <w:ind w:left="433" w:right="334" w:hanging="211"/>
              <w:rPr>
                <w:rFonts w:ascii="Times New Roman" w:hAnsi="Times New Roman" w:eastAsia="Times New Roman" w:cs="Times New Roman"/>
                <w:sz w:val="20"/>
                <w:szCs w:val="20"/>
              </w:rPr>
            </w:pPr>
            <w:r>
              <w:rPr>
                <w:spacing w:val="8"/>
                <w:sz w:val="20"/>
                <w:szCs w:val="20"/>
              </w:rPr>
              <w:t>锅炉排放口</w:t>
            </w:r>
            <w:r>
              <w:rPr>
                <w:rFonts w:ascii="Times New Roman" w:hAnsi="Times New Roman" w:eastAsia="Times New Roman" w:cs="Times New Roman"/>
                <w:sz w:val="20"/>
                <w:szCs w:val="20"/>
              </w:rPr>
              <w:t>DA</w:t>
            </w:r>
            <w:r>
              <w:rPr>
                <w:rFonts w:ascii="Times New Roman" w:hAnsi="Times New Roman" w:eastAsia="Times New Roman" w:cs="Times New Roman"/>
                <w:spacing w:val="8"/>
                <w:sz w:val="20"/>
                <w:szCs w:val="20"/>
              </w:rPr>
              <w:t>001</w:t>
            </w:r>
          </w:p>
        </w:tc>
        <w:tc>
          <w:tcPr>
            <w:tcW w:w="1270" w:type="dxa"/>
            <w:vAlign w:val="top"/>
          </w:tcPr>
          <w:p w14:paraId="7DF5D5BC">
            <w:pPr>
              <w:pStyle w:val="6"/>
              <w:spacing w:before="264" w:line="228" w:lineRule="auto"/>
              <w:ind w:left="325"/>
              <w:rPr>
                <w:sz w:val="20"/>
                <w:szCs w:val="20"/>
              </w:rPr>
            </w:pPr>
            <w:r>
              <w:rPr>
                <w:spacing w:val="7"/>
                <w:sz w:val="20"/>
                <w:szCs w:val="20"/>
              </w:rPr>
              <w:t>颗粒物</w:t>
            </w:r>
          </w:p>
        </w:tc>
        <w:tc>
          <w:tcPr>
            <w:tcW w:w="1416" w:type="dxa"/>
            <w:vMerge w:val="restart"/>
            <w:tcBorders>
              <w:bottom w:val="nil"/>
            </w:tcBorders>
            <w:vAlign w:val="top"/>
          </w:tcPr>
          <w:p w14:paraId="6FE8F44F">
            <w:pPr>
              <w:spacing w:line="295" w:lineRule="auto"/>
              <w:rPr>
                <w:rFonts w:ascii="Arial"/>
                <w:sz w:val="21"/>
              </w:rPr>
            </w:pPr>
          </w:p>
          <w:p w14:paraId="779E0EA3">
            <w:pPr>
              <w:spacing w:line="295" w:lineRule="auto"/>
              <w:rPr>
                <w:rFonts w:ascii="Arial"/>
                <w:sz w:val="21"/>
              </w:rPr>
            </w:pPr>
          </w:p>
          <w:p w14:paraId="0D1EF27D">
            <w:pPr>
              <w:spacing w:line="296" w:lineRule="auto"/>
              <w:rPr>
                <w:rFonts w:ascii="Arial"/>
                <w:sz w:val="21"/>
              </w:rPr>
            </w:pPr>
          </w:p>
          <w:p w14:paraId="42EBCB62">
            <w:pPr>
              <w:pStyle w:val="6"/>
              <w:spacing w:before="65" w:line="227" w:lineRule="auto"/>
              <w:ind w:left="191"/>
              <w:rPr>
                <w:sz w:val="20"/>
                <w:szCs w:val="20"/>
              </w:rPr>
            </w:pPr>
            <w:r>
              <w:rPr>
                <w:spacing w:val="8"/>
                <w:sz w:val="20"/>
                <w:szCs w:val="20"/>
              </w:rPr>
              <w:t>配套低氮燃</w:t>
            </w:r>
          </w:p>
          <w:p w14:paraId="4975A69A">
            <w:pPr>
              <w:pStyle w:val="6"/>
              <w:spacing w:before="25" w:line="227" w:lineRule="auto"/>
              <w:ind w:left="130"/>
              <w:rPr>
                <w:sz w:val="20"/>
                <w:szCs w:val="20"/>
              </w:rPr>
            </w:pPr>
            <w:r>
              <w:rPr>
                <w:spacing w:val="7"/>
                <w:sz w:val="20"/>
                <w:szCs w:val="20"/>
              </w:rPr>
              <w:t>烧</w:t>
            </w:r>
            <w:r>
              <w:rPr>
                <w:rFonts w:ascii="Times New Roman" w:hAnsi="Times New Roman" w:eastAsia="Times New Roman" w:cs="Times New Roman"/>
                <w:spacing w:val="7"/>
                <w:sz w:val="20"/>
                <w:szCs w:val="20"/>
              </w:rPr>
              <w:t>+</w:t>
            </w:r>
            <w:r>
              <w:rPr>
                <w:spacing w:val="7"/>
                <w:sz w:val="20"/>
                <w:szCs w:val="20"/>
              </w:rPr>
              <w:t>烟气再循</w:t>
            </w:r>
          </w:p>
          <w:p w14:paraId="04D521E6">
            <w:pPr>
              <w:pStyle w:val="6"/>
              <w:spacing w:before="27" w:line="228" w:lineRule="auto"/>
              <w:ind w:left="157"/>
              <w:rPr>
                <w:sz w:val="20"/>
                <w:szCs w:val="20"/>
              </w:rPr>
            </w:pPr>
            <w:r>
              <w:rPr>
                <w:spacing w:val="6"/>
                <w:sz w:val="20"/>
                <w:szCs w:val="20"/>
              </w:rPr>
              <w:t>环</w:t>
            </w:r>
            <w:r>
              <w:rPr>
                <w:rFonts w:ascii="Times New Roman" w:hAnsi="Times New Roman" w:eastAsia="Times New Roman" w:cs="Times New Roman"/>
                <w:spacing w:val="6"/>
                <w:sz w:val="20"/>
                <w:szCs w:val="20"/>
              </w:rPr>
              <w:t xml:space="preserve">+8 </w:t>
            </w:r>
            <w:r>
              <w:rPr>
                <w:spacing w:val="6"/>
                <w:sz w:val="20"/>
                <w:szCs w:val="20"/>
              </w:rPr>
              <w:t>米排气</w:t>
            </w:r>
          </w:p>
          <w:p w14:paraId="46BA0C5E">
            <w:pPr>
              <w:pStyle w:val="6"/>
              <w:spacing w:before="24" w:line="228" w:lineRule="auto"/>
              <w:ind w:left="614"/>
              <w:rPr>
                <w:sz w:val="20"/>
                <w:szCs w:val="20"/>
              </w:rPr>
            </w:pPr>
            <w:r>
              <w:rPr>
                <w:sz w:val="20"/>
                <w:szCs w:val="20"/>
              </w:rPr>
              <w:t>筒</w:t>
            </w:r>
          </w:p>
        </w:tc>
        <w:tc>
          <w:tcPr>
            <w:tcW w:w="2731" w:type="dxa"/>
            <w:vMerge w:val="restart"/>
            <w:tcBorders>
              <w:bottom w:val="nil"/>
              <w:right w:val="single" w:color="000000" w:sz="6" w:space="0"/>
            </w:tcBorders>
            <w:vAlign w:val="top"/>
          </w:tcPr>
          <w:p w14:paraId="3B524B9E">
            <w:pPr>
              <w:spacing w:line="255" w:lineRule="auto"/>
              <w:rPr>
                <w:rFonts w:ascii="Arial"/>
                <w:sz w:val="21"/>
              </w:rPr>
            </w:pPr>
          </w:p>
          <w:p w14:paraId="690891DF">
            <w:pPr>
              <w:spacing w:line="256" w:lineRule="auto"/>
              <w:rPr>
                <w:rFonts w:ascii="Arial"/>
                <w:sz w:val="21"/>
              </w:rPr>
            </w:pPr>
          </w:p>
          <w:p w14:paraId="7BAE574C">
            <w:pPr>
              <w:spacing w:line="256" w:lineRule="auto"/>
              <w:rPr>
                <w:rFonts w:ascii="Arial"/>
                <w:sz w:val="21"/>
              </w:rPr>
            </w:pPr>
          </w:p>
          <w:p w14:paraId="2AAEE3B9">
            <w:pPr>
              <w:spacing w:line="256" w:lineRule="auto"/>
              <w:rPr>
                <w:rFonts w:ascii="Arial"/>
                <w:sz w:val="21"/>
              </w:rPr>
            </w:pPr>
          </w:p>
          <w:p w14:paraId="46F4D2B6">
            <w:pPr>
              <w:pStyle w:val="6"/>
              <w:spacing w:before="65" w:line="228" w:lineRule="auto"/>
              <w:ind w:left="223"/>
              <w:rPr>
                <w:sz w:val="20"/>
                <w:szCs w:val="20"/>
              </w:rPr>
            </w:pPr>
            <w:r>
              <w:rPr>
                <w:spacing w:val="8"/>
                <w:sz w:val="20"/>
                <w:szCs w:val="20"/>
              </w:rPr>
              <w:t>《锅炉大气污染物排放标</w:t>
            </w:r>
          </w:p>
          <w:p w14:paraId="269541F7">
            <w:pPr>
              <w:pStyle w:val="6"/>
              <w:spacing w:before="23" w:line="229" w:lineRule="auto"/>
              <w:ind w:left="142"/>
              <w:rPr>
                <w:rFonts w:ascii="Times New Roman" w:hAnsi="Times New Roman" w:eastAsia="Times New Roman" w:cs="Times New Roman"/>
                <w:sz w:val="20"/>
                <w:szCs w:val="20"/>
              </w:rPr>
            </w:pPr>
            <w:r>
              <w:rPr>
                <w:spacing w:val="6"/>
                <w:sz w:val="20"/>
                <w:szCs w:val="20"/>
              </w:rPr>
              <w:t>准》（</w:t>
            </w:r>
            <w:r>
              <w:rPr>
                <w:rFonts w:ascii="Times New Roman" w:hAnsi="Times New Roman" w:eastAsia="Times New Roman" w:cs="Times New Roman"/>
                <w:sz w:val="20"/>
                <w:szCs w:val="20"/>
              </w:rPr>
              <w:t>GB</w:t>
            </w:r>
            <w:r>
              <w:rPr>
                <w:rFonts w:ascii="Times New Roman" w:hAnsi="Times New Roman" w:eastAsia="Times New Roman" w:cs="Times New Roman"/>
                <w:spacing w:val="6"/>
                <w:sz w:val="20"/>
                <w:szCs w:val="20"/>
              </w:rPr>
              <w:t>13271-2014</w:t>
            </w:r>
            <w:r>
              <w:rPr>
                <w:spacing w:val="6"/>
                <w:sz w:val="20"/>
                <w:szCs w:val="20"/>
              </w:rPr>
              <w:t>）表</w:t>
            </w:r>
            <w:r>
              <w:rPr>
                <w:rFonts w:ascii="Times New Roman" w:hAnsi="Times New Roman" w:eastAsia="Times New Roman" w:cs="Times New Roman"/>
                <w:spacing w:val="6"/>
                <w:sz w:val="20"/>
                <w:szCs w:val="20"/>
              </w:rPr>
              <w:t>2</w:t>
            </w:r>
          </w:p>
          <w:p w14:paraId="4BABC9C3">
            <w:pPr>
              <w:pStyle w:val="6"/>
              <w:spacing w:before="22" w:line="228" w:lineRule="auto"/>
              <w:ind w:left="446"/>
              <w:rPr>
                <w:sz w:val="20"/>
                <w:szCs w:val="20"/>
              </w:rPr>
            </w:pPr>
            <w:r>
              <w:rPr>
                <w:spacing w:val="6"/>
                <w:sz w:val="20"/>
                <w:szCs w:val="20"/>
              </w:rPr>
              <w:t>中燃气锅炉排放限值</w:t>
            </w:r>
          </w:p>
        </w:tc>
      </w:tr>
      <w:tr w14:paraId="2FA13B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trPr>
        <w:tc>
          <w:tcPr>
            <w:tcW w:w="1784" w:type="dxa"/>
            <w:vMerge w:val="continue"/>
            <w:tcBorders>
              <w:top w:val="nil"/>
              <w:left w:val="single" w:color="000000" w:sz="6" w:space="0"/>
              <w:bottom w:val="nil"/>
            </w:tcBorders>
            <w:vAlign w:val="top"/>
          </w:tcPr>
          <w:p w14:paraId="2619C967">
            <w:pPr>
              <w:rPr>
                <w:rFonts w:ascii="Arial"/>
                <w:sz w:val="21"/>
              </w:rPr>
            </w:pPr>
          </w:p>
        </w:tc>
        <w:tc>
          <w:tcPr>
            <w:tcW w:w="1603" w:type="dxa"/>
            <w:vMerge w:val="continue"/>
            <w:tcBorders>
              <w:top w:val="nil"/>
              <w:bottom w:val="nil"/>
            </w:tcBorders>
            <w:vAlign w:val="top"/>
          </w:tcPr>
          <w:p w14:paraId="58E0A080">
            <w:pPr>
              <w:rPr>
                <w:rFonts w:ascii="Arial"/>
                <w:sz w:val="21"/>
              </w:rPr>
            </w:pPr>
          </w:p>
        </w:tc>
        <w:tc>
          <w:tcPr>
            <w:tcW w:w="1270" w:type="dxa"/>
            <w:vAlign w:val="top"/>
          </w:tcPr>
          <w:p w14:paraId="5DA40196">
            <w:pPr>
              <w:spacing w:line="243" w:lineRule="auto"/>
              <w:rPr>
                <w:rFonts w:ascii="Arial"/>
                <w:sz w:val="21"/>
              </w:rPr>
            </w:pPr>
          </w:p>
          <w:p w14:paraId="626B203D">
            <w:pPr>
              <w:spacing w:before="57" w:line="202" w:lineRule="auto"/>
              <w:ind w:left="477"/>
              <w:rPr>
                <w:rFonts w:ascii="Times New Roman" w:hAnsi="Times New Roman" w:eastAsia="Times New Roman" w:cs="Times New Roman"/>
                <w:sz w:val="13"/>
                <w:szCs w:val="13"/>
              </w:rPr>
            </w:pPr>
            <w:r>
              <w:rPr>
                <w:rFonts w:ascii="Times New Roman" w:hAnsi="Times New Roman" w:eastAsia="Times New Roman" w:cs="Times New Roman"/>
                <w:sz w:val="20"/>
                <w:szCs w:val="20"/>
              </w:rPr>
              <w:t>SO</w:t>
            </w:r>
            <w:r>
              <w:rPr>
                <w:rFonts w:ascii="Times New Roman" w:hAnsi="Times New Roman" w:eastAsia="Times New Roman" w:cs="Times New Roman"/>
                <w:spacing w:val="3"/>
                <w:position w:val="-1"/>
                <w:sz w:val="13"/>
                <w:szCs w:val="13"/>
              </w:rPr>
              <w:t>2</w:t>
            </w:r>
          </w:p>
        </w:tc>
        <w:tc>
          <w:tcPr>
            <w:tcW w:w="1416" w:type="dxa"/>
            <w:vMerge w:val="continue"/>
            <w:tcBorders>
              <w:top w:val="nil"/>
              <w:bottom w:val="nil"/>
            </w:tcBorders>
            <w:vAlign w:val="top"/>
          </w:tcPr>
          <w:p w14:paraId="0F1E059B">
            <w:pPr>
              <w:rPr>
                <w:rFonts w:ascii="Arial"/>
                <w:sz w:val="21"/>
              </w:rPr>
            </w:pPr>
          </w:p>
        </w:tc>
        <w:tc>
          <w:tcPr>
            <w:tcW w:w="2731" w:type="dxa"/>
            <w:vMerge w:val="continue"/>
            <w:tcBorders>
              <w:top w:val="nil"/>
              <w:bottom w:val="nil"/>
              <w:right w:val="single" w:color="000000" w:sz="6" w:space="0"/>
            </w:tcBorders>
            <w:vAlign w:val="top"/>
          </w:tcPr>
          <w:p w14:paraId="38C7482C">
            <w:pPr>
              <w:rPr>
                <w:rFonts w:ascii="Arial"/>
                <w:sz w:val="21"/>
              </w:rPr>
            </w:pPr>
          </w:p>
        </w:tc>
      </w:tr>
      <w:tr w14:paraId="6FFEC5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1784" w:type="dxa"/>
            <w:vMerge w:val="continue"/>
            <w:tcBorders>
              <w:top w:val="nil"/>
              <w:left w:val="single" w:color="000000" w:sz="6" w:space="0"/>
              <w:bottom w:val="nil"/>
            </w:tcBorders>
            <w:vAlign w:val="top"/>
          </w:tcPr>
          <w:p w14:paraId="744A01E5">
            <w:pPr>
              <w:rPr>
                <w:rFonts w:ascii="Arial"/>
                <w:sz w:val="21"/>
              </w:rPr>
            </w:pPr>
          </w:p>
        </w:tc>
        <w:tc>
          <w:tcPr>
            <w:tcW w:w="1603" w:type="dxa"/>
            <w:vMerge w:val="continue"/>
            <w:tcBorders>
              <w:top w:val="nil"/>
              <w:bottom w:val="nil"/>
            </w:tcBorders>
            <w:vAlign w:val="top"/>
          </w:tcPr>
          <w:p w14:paraId="29AC01E1">
            <w:pPr>
              <w:rPr>
                <w:rFonts w:ascii="Arial"/>
                <w:sz w:val="21"/>
              </w:rPr>
            </w:pPr>
          </w:p>
        </w:tc>
        <w:tc>
          <w:tcPr>
            <w:tcW w:w="1270" w:type="dxa"/>
            <w:vAlign w:val="top"/>
          </w:tcPr>
          <w:p w14:paraId="16E9D642">
            <w:pPr>
              <w:spacing w:before="241" w:line="202" w:lineRule="auto"/>
              <w:ind w:left="428"/>
              <w:rPr>
                <w:rFonts w:ascii="Times New Roman" w:hAnsi="Times New Roman" w:eastAsia="Times New Roman" w:cs="Times New Roman"/>
                <w:sz w:val="13"/>
                <w:szCs w:val="13"/>
              </w:rPr>
            </w:pPr>
            <w:r>
              <w:rPr>
                <w:rFonts w:ascii="Times New Roman" w:hAnsi="Times New Roman" w:eastAsia="Times New Roman" w:cs="Times New Roman"/>
                <w:spacing w:val="7"/>
                <w:sz w:val="20"/>
                <w:szCs w:val="20"/>
              </w:rPr>
              <w:t>NO</w:t>
            </w:r>
            <w:r>
              <w:rPr>
                <w:rFonts w:ascii="Times New Roman" w:hAnsi="Times New Roman" w:eastAsia="Times New Roman" w:cs="Times New Roman"/>
                <w:spacing w:val="7"/>
                <w:position w:val="-1"/>
                <w:sz w:val="13"/>
                <w:szCs w:val="13"/>
              </w:rPr>
              <w:t>X</w:t>
            </w:r>
          </w:p>
        </w:tc>
        <w:tc>
          <w:tcPr>
            <w:tcW w:w="1416" w:type="dxa"/>
            <w:vMerge w:val="continue"/>
            <w:tcBorders>
              <w:top w:val="nil"/>
              <w:bottom w:val="nil"/>
            </w:tcBorders>
            <w:vAlign w:val="top"/>
          </w:tcPr>
          <w:p w14:paraId="5E781397">
            <w:pPr>
              <w:rPr>
                <w:rFonts w:ascii="Arial"/>
                <w:sz w:val="21"/>
              </w:rPr>
            </w:pPr>
          </w:p>
        </w:tc>
        <w:tc>
          <w:tcPr>
            <w:tcW w:w="2731" w:type="dxa"/>
            <w:vMerge w:val="continue"/>
            <w:tcBorders>
              <w:top w:val="nil"/>
              <w:bottom w:val="nil"/>
              <w:right w:val="single" w:color="000000" w:sz="6" w:space="0"/>
            </w:tcBorders>
            <w:vAlign w:val="top"/>
          </w:tcPr>
          <w:p w14:paraId="76AFE11D">
            <w:pPr>
              <w:rPr>
                <w:rFonts w:ascii="Arial"/>
                <w:sz w:val="21"/>
              </w:rPr>
            </w:pPr>
          </w:p>
        </w:tc>
      </w:tr>
      <w:tr w14:paraId="509383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784" w:type="dxa"/>
            <w:vMerge w:val="continue"/>
            <w:tcBorders>
              <w:top w:val="nil"/>
              <w:left w:val="single" w:color="000000" w:sz="6" w:space="0"/>
            </w:tcBorders>
            <w:vAlign w:val="top"/>
          </w:tcPr>
          <w:p w14:paraId="0CEDCD5D">
            <w:pPr>
              <w:rPr>
                <w:rFonts w:ascii="Arial"/>
                <w:sz w:val="21"/>
              </w:rPr>
            </w:pPr>
          </w:p>
        </w:tc>
        <w:tc>
          <w:tcPr>
            <w:tcW w:w="1603" w:type="dxa"/>
            <w:vMerge w:val="continue"/>
            <w:tcBorders>
              <w:top w:val="nil"/>
            </w:tcBorders>
            <w:vAlign w:val="top"/>
          </w:tcPr>
          <w:p w14:paraId="7B9506A2">
            <w:pPr>
              <w:rPr>
                <w:rFonts w:ascii="Arial"/>
                <w:sz w:val="21"/>
              </w:rPr>
            </w:pPr>
          </w:p>
        </w:tc>
        <w:tc>
          <w:tcPr>
            <w:tcW w:w="1270" w:type="dxa"/>
            <w:vAlign w:val="top"/>
          </w:tcPr>
          <w:p w14:paraId="2F3CFAB9">
            <w:pPr>
              <w:pStyle w:val="6"/>
              <w:spacing w:before="34" w:line="228" w:lineRule="auto"/>
              <w:ind w:left="221"/>
              <w:rPr>
                <w:sz w:val="20"/>
                <w:szCs w:val="20"/>
              </w:rPr>
            </w:pPr>
            <w:r>
              <w:rPr>
                <w:spacing w:val="7"/>
                <w:sz w:val="20"/>
                <w:szCs w:val="20"/>
              </w:rPr>
              <w:t>烟气黑度</w:t>
            </w:r>
          </w:p>
          <w:p w14:paraId="7F5931F3">
            <w:pPr>
              <w:pStyle w:val="6"/>
              <w:spacing w:before="23" w:line="228" w:lineRule="auto"/>
              <w:ind w:left="125"/>
              <w:rPr>
                <w:sz w:val="20"/>
                <w:szCs w:val="20"/>
              </w:rPr>
            </w:pPr>
            <w:r>
              <w:rPr>
                <w:spacing w:val="3"/>
                <w:sz w:val="20"/>
                <w:szCs w:val="20"/>
              </w:rPr>
              <w:t>（林格曼，</w:t>
            </w:r>
          </w:p>
          <w:p w14:paraId="1BD9154B">
            <w:pPr>
              <w:pStyle w:val="6"/>
              <w:spacing w:before="26" w:line="214" w:lineRule="auto"/>
              <w:ind w:left="435"/>
              <w:rPr>
                <w:sz w:val="20"/>
                <w:szCs w:val="20"/>
              </w:rPr>
            </w:pPr>
            <w:r>
              <w:rPr>
                <w:spacing w:val="-2"/>
                <w:sz w:val="20"/>
                <w:szCs w:val="20"/>
              </w:rPr>
              <w:t>级）</w:t>
            </w:r>
          </w:p>
        </w:tc>
        <w:tc>
          <w:tcPr>
            <w:tcW w:w="1416" w:type="dxa"/>
            <w:vMerge w:val="continue"/>
            <w:tcBorders>
              <w:top w:val="nil"/>
            </w:tcBorders>
            <w:vAlign w:val="top"/>
          </w:tcPr>
          <w:p w14:paraId="30D02E1C">
            <w:pPr>
              <w:rPr>
                <w:rFonts w:ascii="Arial"/>
                <w:sz w:val="21"/>
              </w:rPr>
            </w:pPr>
          </w:p>
        </w:tc>
        <w:tc>
          <w:tcPr>
            <w:tcW w:w="2731" w:type="dxa"/>
            <w:vMerge w:val="continue"/>
            <w:tcBorders>
              <w:top w:val="nil"/>
              <w:right w:val="single" w:color="000000" w:sz="6" w:space="0"/>
            </w:tcBorders>
            <w:vAlign w:val="top"/>
          </w:tcPr>
          <w:p w14:paraId="2922CA5E">
            <w:pPr>
              <w:rPr>
                <w:rFonts w:ascii="Arial"/>
                <w:sz w:val="21"/>
              </w:rPr>
            </w:pPr>
          </w:p>
        </w:tc>
      </w:tr>
      <w:tr w14:paraId="74C26A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65" w:hRule="atLeast"/>
        </w:trPr>
        <w:tc>
          <w:tcPr>
            <w:tcW w:w="1784" w:type="dxa"/>
            <w:tcBorders>
              <w:left w:val="single" w:color="000000" w:sz="6" w:space="0"/>
            </w:tcBorders>
            <w:vAlign w:val="top"/>
          </w:tcPr>
          <w:p w14:paraId="29E4D0A0">
            <w:pPr>
              <w:spacing w:line="255" w:lineRule="auto"/>
              <w:rPr>
                <w:rFonts w:ascii="Arial"/>
                <w:sz w:val="21"/>
              </w:rPr>
            </w:pPr>
          </w:p>
          <w:p w14:paraId="587D2841">
            <w:pPr>
              <w:spacing w:line="255" w:lineRule="auto"/>
              <w:rPr>
                <w:rFonts w:ascii="Arial"/>
                <w:sz w:val="21"/>
              </w:rPr>
            </w:pPr>
          </w:p>
          <w:p w14:paraId="6CAE8DFA">
            <w:pPr>
              <w:pStyle w:val="6"/>
              <w:spacing w:before="65" w:line="228" w:lineRule="auto"/>
              <w:ind w:left="367"/>
              <w:rPr>
                <w:sz w:val="20"/>
                <w:szCs w:val="20"/>
              </w:rPr>
            </w:pPr>
            <w:r>
              <w:rPr>
                <w:spacing w:val="8"/>
                <w:sz w:val="20"/>
                <w:szCs w:val="20"/>
              </w:rPr>
              <w:t>地表水环境</w:t>
            </w:r>
          </w:p>
        </w:tc>
        <w:tc>
          <w:tcPr>
            <w:tcW w:w="1603" w:type="dxa"/>
            <w:vAlign w:val="top"/>
          </w:tcPr>
          <w:p w14:paraId="0F7BF9A9">
            <w:pPr>
              <w:spacing w:line="392" w:lineRule="auto"/>
              <w:rPr>
                <w:rFonts w:ascii="Arial"/>
                <w:sz w:val="21"/>
              </w:rPr>
            </w:pPr>
          </w:p>
          <w:p w14:paraId="2C6AEDC7">
            <w:pPr>
              <w:pStyle w:val="6"/>
              <w:spacing w:before="65" w:line="260" w:lineRule="auto"/>
              <w:ind w:left="467" w:right="276" w:hanging="188"/>
              <w:rPr>
                <w:rFonts w:ascii="Times New Roman" w:hAnsi="Times New Roman" w:eastAsia="Times New Roman" w:cs="Times New Roman"/>
                <w:sz w:val="20"/>
                <w:szCs w:val="20"/>
              </w:rPr>
            </w:pPr>
            <w:r>
              <w:rPr>
                <w:spacing w:val="8"/>
                <w:sz w:val="20"/>
                <w:szCs w:val="20"/>
              </w:rPr>
              <w:t>废水排放口</w:t>
            </w:r>
            <w:r>
              <w:rPr>
                <w:rFonts w:ascii="Times New Roman" w:hAnsi="Times New Roman" w:eastAsia="Times New Roman" w:cs="Times New Roman"/>
                <w:sz w:val="20"/>
                <w:szCs w:val="20"/>
              </w:rPr>
              <w:t>DW</w:t>
            </w:r>
            <w:r>
              <w:rPr>
                <w:rFonts w:ascii="Times New Roman" w:hAnsi="Times New Roman" w:eastAsia="Times New Roman" w:cs="Times New Roman"/>
                <w:spacing w:val="8"/>
                <w:sz w:val="20"/>
                <w:szCs w:val="20"/>
              </w:rPr>
              <w:t>001</w:t>
            </w:r>
          </w:p>
        </w:tc>
        <w:tc>
          <w:tcPr>
            <w:tcW w:w="1270" w:type="dxa"/>
            <w:vAlign w:val="top"/>
          </w:tcPr>
          <w:p w14:paraId="4085A246">
            <w:pPr>
              <w:pStyle w:val="6"/>
              <w:spacing w:before="206" w:line="188" w:lineRule="auto"/>
              <w:ind w:left="103"/>
              <w:rPr>
                <w:sz w:val="20"/>
                <w:szCs w:val="20"/>
              </w:rPr>
            </w:pPr>
            <w:r>
              <w:rPr>
                <w:rFonts w:ascii="Times New Roman" w:hAnsi="Times New Roman" w:eastAsia="Times New Roman" w:cs="Times New Roman"/>
                <w:sz w:val="20"/>
                <w:szCs w:val="20"/>
              </w:rPr>
              <w:t>pH</w:t>
            </w:r>
            <w:r>
              <w:rPr>
                <w:rFonts w:ascii="Times New Roman" w:hAnsi="Times New Roman" w:eastAsia="Times New Roman" w:cs="Times New Roman"/>
                <w:spacing w:val="-27"/>
                <w:sz w:val="20"/>
                <w:szCs w:val="20"/>
              </w:rPr>
              <w:t xml:space="preserve"> </w:t>
            </w:r>
            <w:r>
              <w:rPr>
                <w:spacing w:val="8"/>
                <w:sz w:val="20"/>
                <w:szCs w:val="20"/>
              </w:rPr>
              <w:t>、</w:t>
            </w:r>
            <w:r>
              <w:rPr>
                <w:rFonts w:ascii="Times New Roman" w:hAnsi="Times New Roman" w:eastAsia="Times New Roman" w:cs="Times New Roman"/>
                <w:sz w:val="20"/>
                <w:szCs w:val="20"/>
              </w:rPr>
              <w:t>COD</w:t>
            </w:r>
            <w:r>
              <w:rPr>
                <w:spacing w:val="8"/>
                <w:sz w:val="20"/>
                <w:szCs w:val="20"/>
              </w:rPr>
              <w:t>、</w:t>
            </w:r>
          </w:p>
          <w:p w14:paraId="33C049F7">
            <w:pPr>
              <w:pStyle w:val="6"/>
              <w:spacing w:before="68" w:line="192" w:lineRule="auto"/>
              <w:ind w:right="12"/>
              <w:jc w:val="right"/>
              <w:rPr>
                <w:sz w:val="20"/>
                <w:szCs w:val="20"/>
              </w:rPr>
            </w:pPr>
            <w:r>
              <w:rPr>
                <w:rFonts w:ascii="Times New Roman" w:hAnsi="Times New Roman" w:eastAsia="Times New Roman" w:cs="Times New Roman"/>
                <w:spacing w:val="-13"/>
                <w:sz w:val="20"/>
                <w:szCs w:val="20"/>
              </w:rPr>
              <w:t>SS</w:t>
            </w:r>
            <w:r>
              <w:rPr>
                <w:spacing w:val="-13"/>
                <w:sz w:val="20"/>
                <w:szCs w:val="20"/>
              </w:rPr>
              <w:t>、</w:t>
            </w:r>
            <w:r>
              <w:rPr>
                <w:rFonts w:ascii="Times New Roman" w:hAnsi="Times New Roman" w:eastAsia="Times New Roman" w:cs="Times New Roman"/>
                <w:spacing w:val="-13"/>
                <w:sz w:val="20"/>
                <w:szCs w:val="20"/>
              </w:rPr>
              <w:t>NH</w:t>
            </w:r>
            <w:r>
              <w:rPr>
                <w:rFonts w:ascii="Times New Roman" w:hAnsi="Times New Roman" w:eastAsia="Times New Roman" w:cs="Times New Roman"/>
                <w:spacing w:val="2"/>
                <w:position w:val="-1"/>
                <w:sz w:val="13"/>
                <w:szCs w:val="13"/>
              </w:rPr>
              <w:t>3</w:t>
            </w:r>
            <w:r>
              <w:rPr>
                <w:rFonts w:ascii="Times New Roman" w:hAnsi="Times New Roman" w:eastAsia="Times New Roman" w:cs="Times New Roman"/>
                <w:spacing w:val="2"/>
                <w:sz w:val="20"/>
                <w:szCs w:val="20"/>
              </w:rPr>
              <w:t>-N</w:t>
            </w:r>
            <w:r>
              <w:rPr>
                <w:spacing w:val="2"/>
                <w:sz w:val="20"/>
                <w:szCs w:val="20"/>
              </w:rPr>
              <w:t>、</w:t>
            </w:r>
          </w:p>
          <w:p w14:paraId="4CD1B253">
            <w:pPr>
              <w:pStyle w:val="6"/>
              <w:spacing w:before="27" w:line="228" w:lineRule="auto"/>
              <w:ind w:left="117"/>
              <w:rPr>
                <w:sz w:val="20"/>
                <w:szCs w:val="20"/>
              </w:rPr>
            </w:pPr>
            <w:r>
              <w:rPr>
                <w:spacing w:val="7"/>
                <w:sz w:val="20"/>
                <w:szCs w:val="20"/>
              </w:rPr>
              <w:t>溶解性总固</w:t>
            </w:r>
          </w:p>
          <w:p w14:paraId="578F7571">
            <w:pPr>
              <w:pStyle w:val="6"/>
              <w:spacing w:before="26" w:line="229" w:lineRule="auto"/>
              <w:ind w:left="534"/>
              <w:rPr>
                <w:sz w:val="20"/>
                <w:szCs w:val="20"/>
              </w:rPr>
            </w:pPr>
            <w:r>
              <w:rPr>
                <w:sz w:val="20"/>
                <w:szCs w:val="20"/>
              </w:rPr>
              <w:t>体</w:t>
            </w:r>
          </w:p>
        </w:tc>
        <w:tc>
          <w:tcPr>
            <w:tcW w:w="1416" w:type="dxa"/>
            <w:vAlign w:val="top"/>
          </w:tcPr>
          <w:p w14:paraId="17B636B6">
            <w:pPr>
              <w:pStyle w:val="6"/>
              <w:spacing w:before="36" w:line="251" w:lineRule="auto"/>
              <w:ind w:left="117" w:right="104" w:firstLine="74"/>
              <w:jc w:val="both"/>
              <w:rPr>
                <w:sz w:val="20"/>
                <w:szCs w:val="20"/>
              </w:rPr>
            </w:pPr>
            <w:r>
              <w:rPr>
                <w:spacing w:val="8"/>
                <w:sz w:val="20"/>
                <w:szCs w:val="20"/>
              </w:rPr>
              <w:t>排入市政污</w:t>
            </w:r>
            <w:r>
              <w:rPr>
                <w:spacing w:val="-2"/>
                <w:sz w:val="20"/>
                <w:szCs w:val="20"/>
              </w:rPr>
              <w:t>水管网，最终</w:t>
            </w:r>
            <w:r>
              <w:rPr>
                <w:spacing w:val="23"/>
                <w:sz w:val="20"/>
                <w:szCs w:val="20"/>
              </w:rPr>
              <w:t>进入托克逊</w:t>
            </w:r>
          </w:p>
          <w:p w14:paraId="6869A43E">
            <w:pPr>
              <w:pStyle w:val="6"/>
              <w:spacing w:before="2" w:line="231" w:lineRule="auto"/>
              <w:ind w:left="613" w:right="178" w:hanging="421"/>
              <w:rPr>
                <w:sz w:val="20"/>
                <w:szCs w:val="20"/>
              </w:rPr>
            </w:pPr>
            <w:r>
              <w:rPr>
                <w:spacing w:val="7"/>
                <w:sz w:val="20"/>
                <w:szCs w:val="20"/>
              </w:rPr>
              <w:t>县污水处理</w:t>
            </w:r>
            <w:r>
              <w:rPr>
                <w:sz w:val="20"/>
                <w:szCs w:val="20"/>
              </w:rPr>
              <w:t>厂</w:t>
            </w:r>
          </w:p>
        </w:tc>
        <w:tc>
          <w:tcPr>
            <w:tcW w:w="2731" w:type="dxa"/>
            <w:tcBorders>
              <w:right w:val="single" w:color="000000" w:sz="6" w:space="0"/>
            </w:tcBorders>
            <w:vAlign w:val="top"/>
          </w:tcPr>
          <w:p w14:paraId="7F23CDCA">
            <w:pPr>
              <w:pStyle w:val="6"/>
              <w:spacing w:before="304" w:line="228" w:lineRule="auto"/>
              <w:ind w:left="326"/>
              <w:rPr>
                <w:sz w:val="20"/>
                <w:szCs w:val="20"/>
              </w:rPr>
            </w:pPr>
            <w:r>
              <w:rPr>
                <w:spacing w:val="7"/>
                <w:sz w:val="20"/>
                <w:szCs w:val="20"/>
              </w:rPr>
              <w:t>《污水综合排放标准》</w:t>
            </w:r>
          </w:p>
          <w:p w14:paraId="2F0A8855">
            <w:pPr>
              <w:pStyle w:val="6"/>
              <w:spacing w:before="27" w:line="228" w:lineRule="auto"/>
              <w:ind w:left="127"/>
              <w:rPr>
                <w:sz w:val="20"/>
                <w:szCs w:val="20"/>
              </w:rPr>
            </w:pPr>
            <w:r>
              <w:rPr>
                <w:spacing w:val="1"/>
                <w:sz w:val="20"/>
                <w:szCs w:val="20"/>
              </w:rPr>
              <w:t>（</w:t>
            </w:r>
            <w:r>
              <w:rPr>
                <w:rFonts w:ascii="Times New Roman" w:hAnsi="Times New Roman" w:eastAsia="Times New Roman" w:cs="Times New Roman"/>
                <w:sz w:val="20"/>
                <w:szCs w:val="20"/>
              </w:rPr>
              <w:t>GB</w:t>
            </w:r>
            <w:r>
              <w:rPr>
                <w:rFonts w:ascii="Times New Roman" w:hAnsi="Times New Roman" w:eastAsia="Times New Roman" w:cs="Times New Roman"/>
                <w:spacing w:val="1"/>
                <w:sz w:val="20"/>
                <w:szCs w:val="20"/>
              </w:rPr>
              <w:t>8978-</w:t>
            </w:r>
            <w:r>
              <w:rPr>
                <w:rFonts w:ascii="Times New Roman" w:hAnsi="Times New Roman" w:eastAsia="Times New Roman" w:cs="Times New Roman"/>
                <w:spacing w:val="-22"/>
                <w:sz w:val="20"/>
                <w:szCs w:val="20"/>
              </w:rPr>
              <w:t xml:space="preserve"> </w:t>
            </w:r>
            <w:r>
              <w:rPr>
                <w:rFonts w:ascii="Times New Roman" w:hAnsi="Times New Roman" w:eastAsia="Times New Roman" w:cs="Times New Roman"/>
                <w:spacing w:val="1"/>
                <w:sz w:val="20"/>
                <w:szCs w:val="20"/>
              </w:rPr>
              <w:t>1996</w:t>
            </w:r>
            <w:r>
              <w:rPr>
                <w:spacing w:val="1"/>
                <w:sz w:val="20"/>
                <w:szCs w:val="20"/>
              </w:rPr>
              <w:t>）表</w:t>
            </w:r>
            <w:r>
              <w:rPr>
                <w:rFonts w:ascii="Times New Roman" w:hAnsi="Times New Roman" w:eastAsia="Times New Roman" w:cs="Times New Roman"/>
                <w:spacing w:val="1"/>
                <w:sz w:val="20"/>
                <w:szCs w:val="20"/>
              </w:rPr>
              <w:t>4</w:t>
            </w:r>
            <w:r>
              <w:rPr>
                <w:spacing w:val="1"/>
                <w:sz w:val="20"/>
                <w:szCs w:val="20"/>
              </w:rPr>
              <w:t>中三级</w:t>
            </w:r>
          </w:p>
          <w:p w14:paraId="3F371CF7">
            <w:pPr>
              <w:pStyle w:val="6"/>
              <w:spacing w:before="24" w:line="228" w:lineRule="auto"/>
              <w:ind w:left="1161"/>
              <w:rPr>
                <w:sz w:val="20"/>
                <w:szCs w:val="20"/>
              </w:rPr>
            </w:pPr>
            <w:r>
              <w:rPr>
                <w:spacing w:val="4"/>
                <w:sz w:val="20"/>
                <w:szCs w:val="20"/>
              </w:rPr>
              <w:t>标准</w:t>
            </w:r>
          </w:p>
        </w:tc>
      </w:tr>
      <w:tr w14:paraId="57E6AE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1" w:hRule="atLeast"/>
        </w:trPr>
        <w:tc>
          <w:tcPr>
            <w:tcW w:w="1784" w:type="dxa"/>
            <w:tcBorders>
              <w:left w:val="single" w:color="000000" w:sz="6" w:space="0"/>
            </w:tcBorders>
            <w:vAlign w:val="top"/>
          </w:tcPr>
          <w:p w14:paraId="004ADB18">
            <w:pPr>
              <w:spacing w:line="244" w:lineRule="auto"/>
              <w:rPr>
                <w:rFonts w:ascii="Arial"/>
                <w:sz w:val="21"/>
              </w:rPr>
            </w:pPr>
          </w:p>
          <w:p w14:paraId="79365160">
            <w:pPr>
              <w:pStyle w:val="6"/>
              <w:spacing w:before="65" w:line="228" w:lineRule="auto"/>
              <w:ind w:left="580"/>
              <w:rPr>
                <w:sz w:val="20"/>
                <w:szCs w:val="20"/>
              </w:rPr>
            </w:pPr>
            <w:r>
              <w:rPr>
                <w:spacing w:val="5"/>
                <w:sz w:val="20"/>
                <w:szCs w:val="20"/>
              </w:rPr>
              <w:t>声环境</w:t>
            </w:r>
          </w:p>
        </w:tc>
        <w:tc>
          <w:tcPr>
            <w:tcW w:w="1603" w:type="dxa"/>
            <w:vAlign w:val="top"/>
          </w:tcPr>
          <w:p w14:paraId="5D389805">
            <w:pPr>
              <w:spacing w:line="243" w:lineRule="auto"/>
              <w:rPr>
                <w:rFonts w:ascii="Arial"/>
                <w:sz w:val="21"/>
              </w:rPr>
            </w:pPr>
          </w:p>
          <w:p w14:paraId="2F3CADFB">
            <w:pPr>
              <w:pStyle w:val="6"/>
              <w:spacing w:before="65" w:line="228" w:lineRule="auto"/>
              <w:ind w:left="385"/>
              <w:rPr>
                <w:sz w:val="20"/>
                <w:szCs w:val="20"/>
              </w:rPr>
            </w:pPr>
            <w:r>
              <w:rPr>
                <w:spacing w:val="6"/>
                <w:sz w:val="20"/>
                <w:szCs w:val="20"/>
              </w:rPr>
              <w:t>生产设备</w:t>
            </w:r>
          </w:p>
        </w:tc>
        <w:tc>
          <w:tcPr>
            <w:tcW w:w="1270" w:type="dxa"/>
            <w:vAlign w:val="top"/>
          </w:tcPr>
          <w:p w14:paraId="4608DFE0">
            <w:pPr>
              <w:pStyle w:val="6"/>
              <w:spacing w:before="51" w:line="254" w:lineRule="auto"/>
              <w:ind w:left="116" w:right="116" w:hanging="2"/>
              <w:rPr>
                <w:sz w:val="20"/>
                <w:szCs w:val="20"/>
              </w:rPr>
            </w:pPr>
            <w:r>
              <w:rPr>
                <w:spacing w:val="6"/>
                <w:sz w:val="20"/>
                <w:szCs w:val="20"/>
              </w:rPr>
              <w:t>等效连续</w:t>
            </w:r>
            <w:r>
              <w:rPr>
                <w:spacing w:val="-42"/>
                <w:sz w:val="20"/>
                <w:szCs w:val="20"/>
              </w:rPr>
              <w:t xml:space="preserve"> </w:t>
            </w:r>
            <w:r>
              <w:rPr>
                <w:rFonts w:ascii="Times New Roman" w:hAnsi="Times New Roman" w:eastAsia="Times New Roman" w:cs="Times New Roman"/>
                <w:spacing w:val="6"/>
                <w:sz w:val="20"/>
                <w:szCs w:val="20"/>
              </w:rPr>
              <w:t>A</w:t>
            </w:r>
            <w:r>
              <w:rPr>
                <w:spacing w:val="2"/>
                <w:sz w:val="20"/>
                <w:szCs w:val="20"/>
              </w:rPr>
              <w:t>声级</w:t>
            </w:r>
          </w:p>
        </w:tc>
        <w:tc>
          <w:tcPr>
            <w:tcW w:w="1416" w:type="dxa"/>
            <w:vAlign w:val="top"/>
          </w:tcPr>
          <w:p w14:paraId="348D27AC">
            <w:pPr>
              <w:pStyle w:val="6"/>
              <w:spacing w:before="173" w:line="252" w:lineRule="auto"/>
              <w:ind w:left="401" w:right="104" w:hanging="287"/>
              <w:rPr>
                <w:sz w:val="20"/>
                <w:szCs w:val="20"/>
              </w:rPr>
            </w:pPr>
            <w:r>
              <w:rPr>
                <w:spacing w:val="-2"/>
                <w:sz w:val="20"/>
                <w:szCs w:val="20"/>
              </w:rPr>
              <w:t>基础减振，房</w:t>
            </w:r>
            <w:r>
              <w:rPr>
                <w:spacing w:val="6"/>
                <w:sz w:val="20"/>
                <w:szCs w:val="20"/>
              </w:rPr>
              <w:t>屋隔声</w:t>
            </w:r>
          </w:p>
        </w:tc>
        <w:tc>
          <w:tcPr>
            <w:tcW w:w="2731" w:type="dxa"/>
            <w:tcBorders>
              <w:right w:val="single" w:color="000000" w:sz="6" w:space="0"/>
            </w:tcBorders>
            <w:vAlign w:val="top"/>
          </w:tcPr>
          <w:p w14:paraId="4ED4C711">
            <w:pPr>
              <w:pStyle w:val="6"/>
              <w:spacing w:before="37" w:line="251" w:lineRule="auto"/>
              <w:ind w:left="116" w:right="16" w:firstLine="106"/>
              <w:rPr>
                <w:sz w:val="20"/>
                <w:szCs w:val="20"/>
              </w:rPr>
            </w:pPr>
            <w:r>
              <w:rPr>
                <w:spacing w:val="8"/>
                <w:sz w:val="20"/>
                <w:szCs w:val="20"/>
              </w:rPr>
              <w:t>《工业企业厂界环境噪声</w:t>
            </w:r>
            <w:r>
              <w:rPr>
                <w:spacing w:val="-4"/>
                <w:sz w:val="20"/>
                <w:szCs w:val="20"/>
              </w:rPr>
              <w:t>排放标准》（</w:t>
            </w:r>
            <w:r>
              <w:rPr>
                <w:rFonts w:ascii="Times New Roman" w:hAnsi="Times New Roman" w:eastAsia="Times New Roman" w:cs="Times New Roman"/>
                <w:spacing w:val="-4"/>
                <w:sz w:val="20"/>
                <w:szCs w:val="20"/>
              </w:rPr>
              <w:t>GB12348-2008</w:t>
            </w:r>
            <w:r>
              <w:rPr>
                <w:spacing w:val="-4"/>
                <w:sz w:val="20"/>
                <w:szCs w:val="20"/>
              </w:rPr>
              <w:t>）</w:t>
            </w:r>
          </w:p>
          <w:p w14:paraId="296A7CEA">
            <w:pPr>
              <w:pStyle w:val="6"/>
              <w:spacing w:line="211" w:lineRule="auto"/>
              <w:ind w:left="866"/>
              <w:rPr>
                <w:sz w:val="20"/>
                <w:szCs w:val="20"/>
              </w:rPr>
            </w:pPr>
            <w:r>
              <w:rPr>
                <w:sz w:val="20"/>
                <w:szCs w:val="20"/>
              </w:rPr>
              <w:t>中</w:t>
            </w:r>
            <w:r>
              <w:rPr>
                <w:spacing w:val="-42"/>
                <w:sz w:val="20"/>
                <w:szCs w:val="20"/>
              </w:rPr>
              <w:t xml:space="preserve"> </w:t>
            </w:r>
            <w:r>
              <w:rPr>
                <w:rFonts w:ascii="Times New Roman" w:hAnsi="Times New Roman" w:eastAsia="Times New Roman" w:cs="Times New Roman"/>
                <w:sz w:val="20"/>
                <w:szCs w:val="20"/>
              </w:rPr>
              <w:t>2</w:t>
            </w:r>
            <w:r>
              <w:rPr>
                <w:rFonts w:ascii="Times New Roman" w:hAnsi="Times New Roman" w:eastAsia="Times New Roman" w:cs="Times New Roman"/>
                <w:spacing w:val="12"/>
                <w:sz w:val="20"/>
                <w:szCs w:val="20"/>
              </w:rPr>
              <w:t xml:space="preserve"> </w:t>
            </w:r>
            <w:r>
              <w:rPr>
                <w:sz w:val="20"/>
                <w:szCs w:val="20"/>
              </w:rPr>
              <w:t>类标准</w:t>
            </w:r>
          </w:p>
        </w:tc>
      </w:tr>
      <w:tr w14:paraId="08914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1784" w:type="dxa"/>
            <w:tcBorders>
              <w:left w:val="single" w:color="000000" w:sz="6" w:space="0"/>
            </w:tcBorders>
            <w:vAlign w:val="top"/>
          </w:tcPr>
          <w:p w14:paraId="50895768">
            <w:pPr>
              <w:pStyle w:val="6"/>
              <w:spacing w:before="153" w:line="228" w:lineRule="auto"/>
              <w:ind w:left="495"/>
              <w:rPr>
                <w:sz w:val="20"/>
                <w:szCs w:val="20"/>
              </w:rPr>
            </w:pPr>
            <w:r>
              <w:rPr>
                <w:spacing w:val="1"/>
                <w:sz w:val="20"/>
                <w:szCs w:val="20"/>
              </w:rPr>
              <w:t>电磁辐射</w:t>
            </w:r>
          </w:p>
        </w:tc>
        <w:tc>
          <w:tcPr>
            <w:tcW w:w="1603" w:type="dxa"/>
            <w:vAlign w:val="top"/>
          </w:tcPr>
          <w:p w14:paraId="612DCAF1">
            <w:pPr>
              <w:spacing w:before="186" w:line="199" w:lineRule="auto"/>
              <w:ind w:left="76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270" w:type="dxa"/>
            <w:vAlign w:val="top"/>
          </w:tcPr>
          <w:p w14:paraId="2ABA4AAC">
            <w:pPr>
              <w:spacing w:before="186" w:line="199" w:lineRule="auto"/>
              <w:ind w:left="60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1416" w:type="dxa"/>
            <w:vAlign w:val="top"/>
          </w:tcPr>
          <w:p w14:paraId="0F4B022F">
            <w:pPr>
              <w:spacing w:before="186" w:line="199" w:lineRule="auto"/>
              <w:ind w:left="677"/>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2731" w:type="dxa"/>
            <w:tcBorders>
              <w:right w:val="single" w:color="000000" w:sz="6" w:space="0"/>
            </w:tcBorders>
            <w:vAlign w:val="top"/>
          </w:tcPr>
          <w:p w14:paraId="5D9C8974">
            <w:pPr>
              <w:spacing w:before="186" w:line="199" w:lineRule="auto"/>
              <w:ind w:left="1335"/>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691675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1784" w:type="dxa"/>
            <w:tcBorders>
              <w:left w:val="single" w:color="000000" w:sz="6" w:space="0"/>
            </w:tcBorders>
            <w:vAlign w:val="top"/>
          </w:tcPr>
          <w:p w14:paraId="03F6E325">
            <w:pPr>
              <w:pStyle w:val="6"/>
              <w:spacing w:before="159" w:line="228" w:lineRule="auto"/>
              <w:ind w:left="488"/>
              <w:rPr>
                <w:sz w:val="20"/>
                <w:szCs w:val="20"/>
              </w:rPr>
            </w:pPr>
            <w:r>
              <w:rPr>
                <w:spacing w:val="2"/>
                <w:sz w:val="20"/>
                <w:szCs w:val="20"/>
              </w:rPr>
              <w:t>固体废物</w:t>
            </w:r>
          </w:p>
        </w:tc>
        <w:tc>
          <w:tcPr>
            <w:tcW w:w="7020" w:type="dxa"/>
            <w:gridSpan w:val="4"/>
            <w:tcBorders>
              <w:right w:val="single" w:color="000000" w:sz="6" w:space="0"/>
            </w:tcBorders>
            <w:vAlign w:val="top"/>
          </w:tcPr>
          <w:p w14:paraId="56B1962D">
            <w:pPr>
              <w:pStyle w:val="6"/>
              <w:spacing w:before="159" w:line="227" w:lineRule="auto"/>
              <w:ind w:left="1622"/>
              <w:rPr>
                <w:sz w:val="20"/>
                <w:szCs w:val="20"/>
              </w:rPr>
            </w:pPr>
            <w:r>
              <w:rPr>
                <w:spacing w:val="8"/>
                <w:sz w:val="20"/>
                <w:szCs w:val="20"/>
              </w:rPr>
              <w:t>本项目废离子交换树脂由厂家更换回收。</w:t>
            </w:r>
          </w:p>
        </w:tc>
      </w:tr>
      <w:tr w14:paraId="699800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8" w:hRule="atLeast"/>
        </w:trPr>
        <w:tc>
          <w:tcPr>
            <w:tcW w:w="1784" w:type="dxa"/>
            <w:tcBorders>
              <w:left w:val="single" w:color="000000" w:sz="6" w:space="0"/>
            </w:tcBorders>
            <w:vAlign w:val="top"/>
          </w:tcPr>
          <w:p w14:paraId="789B30A3">
            <w:pPr>
              <w:pStyle w:val="6"/>
              <w:spacing w:before="39" w:line="230" w:lineRule="auto"/>
              <w:ind w:left="262" w:right="262"/>
              <w:rPr>
                <w:sz w:val="20"/>
                <w:szCs w:val="20"/>
              </w:rPr>
            </w:pPr>
            <w:r>
              <w:rPr>
                <w:spacing w:val="8"/>
                <w:sz w:val="20"/>
                <w:szCs w:val="20"/>
              </w:rPr>
              <w:t>土壤及地下水</w:t>
            </w:r>
            <w:r>
              <w:rPr>
                <w:spacing w:val="7"/>
                <w:sz w:val="20"/>
                <w:szCs w:val="20"/>
              </w:rPr>
              <w:t>污染防治措施</w:t>
            </w:r>
          </w:p>
        </w:tc>
        <w:tc>
          <w:tcPr>
            <w:tcW w:w="7020" w:type="dxa"/>
            <w:gridSpan w:val="4"/>
            <w:tcBorders>
              <w:right w:val="single" w:color="000000" w:sz="6" w:space="0"/>
            </w:tcBorders>
            <w:vAlign w:val="top"/>
          </w:tcPr>
          <w:p w14:paraId="5B02D4BF">
            <w:pPr>
              <w:spacing w:before="207" w:line="199" w:lineRule="auto"/>
              <w:ind w:left="347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3C9ABB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9" w:hRule="atLeast"/>
        </w:trPr>
        <w:tc>
          <w:tcPr>
            <w:tcW w:w="1784" w:type="dxa"/>
            <w:tcBorders>
              <w:left w:val="single" w:color="000000" w:sz="6" w:space="0"/>
            </w:tcBorders>
            <w:vAlign w:val="top"/>
          </w:tcPr>
          <w:p w14:paraId="11FE63EC">
            <w:pPr>
              <w:pStyle w:val="6"/>
              <w:spacing w:before="251" w:line="228" w:lineRule="auto"/>
              <w:ind w:left="263"/>
              <w:rPr>
                <w:sz w:val="20"/>
                <w:szCs w:val="20"/>
              </w:rPr>
            </w:pPr>
            <w:r>
              <w:rPr>
                <w:spacing w:val="7"/>
                <w:sz w:val="20"/>
                <w:szCs w:val="20"/>
              </w:rPr>
              <w:t>生态保护措施</w:t>
            </w:r>
          </w:p>
        </w:tc>
        <w:tc>
          <w:tcPr>
            <w:tcW w:w="7020" w:type="dxa"/>
            <w:gridSpan w:val="4"/>
            <w:tcBorders>
              <w:right w:val="single" w:color="000000" w:sz="6" w:space="0"/>
            </w:tcBorders>
            <w:vAlign w:val="top"/>
          </w:tcPr>
          <w:p w14:paraId="40B29D20">
            <w:pPr>
              <w:spacing w:before="283" w:line="199" w:lineRule="auto"/>
              <w:ind w:left="347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r w14:paraId="74ED8C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04" w:hRule="atLeast"/>
        </w:trPr>
        <w:tc>
          <w:tcPr>
            <w:tcW w:w="1784" w:type="dxa"/>
            <w:tcBorders>
              <w:left w:val="single" w:color="000000" w:sz="6" w:space="0"/>
            </w:tcBorders>
            <w:vAlign w:val="top"/>
          </w:tcPr>
          <w:p w14:paraId="6908F17B">
            <w:pPr>
              <w:spacing w:line="299" w:lineRule="auto"/>
              <w:rPr>
                <w:rFonts w:ascii="Arial"/>
                <w:sz w:val="21"/>
              </w:rPr>
            </w:pPr>
          </w:p>
          <w:p w14:paraId="18D1CAA0">
            <w:pPr>
              <w:spacing w:line="299" w:lineRule="auto"/>
              <w:rPr>
                <w:rFonts w:ascii="Arial"/>
                <w:sz w:val="21"/>
              </w:rPr>
            </w:pPr>
          </w:p>
          <w:p w14:paraId="66745E08">
            <w:pPr>
              <w:spacing w:line="300" w:lineRule="auto"/>
              <w:rPr>
                <w:rFonts w:ascii="Arial"/>
                <w:sz w:val="21"/>
              </w:rPr>
            </w:pPr>
          </w:p>
          <w:p w14:paraId="445672AD">
            <w:pPr>
              <w:spacing w:line="300" w:lineRule="auto"/>
              <w:rPr>
                <w:rFonts w:ascii="Arial"/>
                <w:sz w:val="21"/>
              </w:rPr>
            </w:pPr>
          </w:p>
          <w:p w14:paraId="2E1F1B02">
            <w:pPr>
              <w:pStyle w:val="6"/>
              <w:spacing w:before="65" w:line="252" w:lineRule="auto"/>
              <w:ind w:left="517" w:right="488" w:hanging="13"/>
              <w:rPr>
                <w:sz w:val="20"/>
                <w:szCs w:val="20"/>
              </w:rPr>
            </w:pPr>
            <w:r>
              <w:rPr>
                <w:spacing w:val="-5"/>
                <w:sz w:val="20"/>
                <w:szCs w:val="20"/>
              </w:rPr>
              <w:t>环境风险</w:t>
            </w:r>
            <w:r>
              <w:rPr>
                <w:spacing w:val="-8"/>
                <w:sz w:val="20"/>
                <w:szCs w:val="20"/>
              </w:rPr>
              <w:t>防范措施</w:t>
            </w:r>
          </w:p>
        </w:tc>
        <w:tc>
          <w:tcPr>
            <w:tcW w:w="7020" w:type="dxa"/>
            <w:gridSpan w:val="4"/>
            <w:tcBorders>
              <w:right w:val="single" w:color="000000" w:sz="6" w:space="0"/>
            </w:tcBorders>
            <w:vAlign w:val="top"/>
          </w:tcPr>
          <w:p w14:paraId="7920A507">
            <w:pPr>
              <w:spacing w:line="266" w:lineRule="auto"/>
              <w:rPr>
                <w:rFonts w:ascii="Arial"/>
                <w:sz w:val="21"/>
              </w:rPr>
            </w:pPr>
          </w:p>
          <w:p w14:paraId="480CA3DA">
            <w:pPr>
              <w:spacing w:line="266" w:lineRule="auto"/>
              <w:rPr>
                <w:rFonts w:ascii="Arial"/>
                <w:sz w:val="21"/>
              </w:rPr>
            </w:pPr>
          </w:p>
          <w:p w14:paraId="443EA2AF">
            <w:pPr>
              <w:spacing w:line="267" w:lineRule="auto"/>
              <w:rPr>
                <w:rFonts w:ascii="Arial"/>
                <w:sz w:val="21"/>
              </w:rPr>
            </w:pPr>
          </w:p>
          <w:p w14:paraId="2ADB2F69">
            <w:pPr>
              <w:spacing w:line="267" w:lineRule="auto"/>
              <w:rPr>
                <w:rFonts w:ascii="Arial"/>
                <w:sz w:val="21"/>
              </w:rPr>
            </w:pPr>
          </w:p>
          <w:p w14:paraId="60F5C37E">
            <w:pPr>
              <w:spacing w:line="267" w:lineRule="auto"/>
              <w:rPr>
                <w:rFonts w:ascii="Arial"/>
                <w:sz w:val="21"/>
              </w:rPr>
            </w:pPr>
          </w:p>
          <w:p w14:paraId="2A768251">
            <w:pPr>
              <w:pStyle w:val="6"/>
              <w:spacing w:before="65" w:line="233" w:lineRule="auto"/>
              <w:ind w:left="3459"/>
              <w:rPr>
                <w:sz w:val="20"/>
                <w:szCs w:val="20"/>
              </w:rPr>
            </w:pPr>
            <w:r>
              <w:rPr>
                <w:sz w:val="20"/>
                <w:szCs w:val="20"/>
              </w:rPr>
              <w:t>/</w:t>
            </w:r>
          </w:p>
        </w:tc>
      </w:tr>
      <w:tr w14:paraId="738DD3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6" w:hRule="atLeast"/>
        </w:trPr>
        <w:tc>
          <w:tcPr>
            <w:tcW w:w="1784" w:type="dxa"/>
            <w:tcBorders>
              <w:left w:val="single" w:color="000000" w:sz="6" w:space="0"/>
              <w:bottom w:val="single" w:color="000000" w:sz="6" w:space="0"/>
            </w:tcBorders>
            <w:vAlign w:val="top"/>
          </w:tcPr>
          <w:p w14:paraId="755DDADA">
            <w:pPr>
              <w:pStyle w:val="6"/>
              <w:spacing w:before="227" w:line="228" w:lineRule="auto"/>
              <w:ind w:left="504"/>
              <w:rPr>
                <w:sz w:val="20"/>
                <w:szCs w:val="20"/>
              </w:rPr>
            </w:pPr>
            <w:r>
              <w:rPr>
                <w:spacing w:val="-3"/>
                <w:sz w:val="20"/>
                <w:szCs w:val="20"/>
              </w:rPr>
              <w:t>其他环境</w:t>
            </w:r>
          </w:p>
          <w:p w14:paraId="3A68C96D">
            <w:pPr>
              <w:pStyle w:val="6"/>
              <w:spacing w:before="23" w:line="228" w:lineRule="auto"/>
              <w:ind w:left="509"/>
              <w:outlineLvl w:val="0"/>
              <w:rPr>
                <w:sz w:val="20"/>
                <w:szCs w:val="20"/>
              </w:rPr>
            </w:pPr>
            <w:r>
              <w:rPr>
                <w:spacing w:val="-4"/>
                <w:sz w:val="20"/>
                <w:szCs w:val="20"/>
              </w:rPr>
              <w:t>管理要求</w:t>
            </w:r>
          </w:p>
        </w:tc>
        <w:tc>
          <w:tcPr>
            <w:tcW w:w="7020" w:type="dxa"/>
            <w:gridSpan w:val="4"/>
            <w:tcBorders>
              <w:bottom w:val="single" w:color="000000" w:sz="6" w:space="0"/>
              <w:right w:val="single" w:color="000000" w:sz="6" w:space="0"/>
            </w:tcBorders>
            <w:vAlign w:val="top"/>
          </w:tcPr>
          <w:p w14:paraId="443659CA">
            <w:pPr>
              <w:spacing w:line="336" w:lineRule="auto"/>
              <w:rPr>
                <w:rFonts w:ascii="Arial"/>
                <w:sz w:val="21"/>
              </w:rPr>
            </w:pPr>
          </w:p>
          <w:p w14:paraId="7ADCF62A">
            <w:pPr>
              <w:spacing w:before="57" w:line="199" w:lineRule="auto"/>
              <w:ind w:left="3476"/>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r>
    </w:tbl>
    <w:p w14:paraId="642C7CFD">
      <w:pPr>
        <w:pStyle w:val="2"/>
      </w:pPr>
    </w:p>
    <w:p w14:paraId="1D080F4E">
      <w:pPr>
        <w:sectPr>
          <w:footerReference r:id="rId12" w:type="default"/>
          <w:pgSz w:w="11906" w:h="16839"/>
          <w:pgMar w:top="1431" w:right="1543" w:bottom="1005" w:left="1543" w:header="0" w:footer="843" w:gutter="0"/>
          <w:cols w:space="720" w:num="1"/>
        </w:sectPr>
      </w:pPr>
    </w:p>
    <w:p w14:paraId="0BC46393">
      <w:pPr>
        <w:pStyle w:val="2"/>
        <w:spacing w:line="246" w:lineRule="auto"/>
      </w:pPr>
    </w:p>
    <w:p w14:paraId="04FEE3E9">
      <w:pPr>
        <w:pStyle w:val="2"/>
        <w:spacing w:line="247" w:lineRule="auto"/>
      </w:pPr>
    </w:p>
    <w:p w14:paraId="3D31BC1F">
      <w:pPr>
        <w:spacing w:before="98" w:line="226" w:lineRule="auto"/>
        <w:ind w:left="3862"/>
        <w:rPr>
          <w:rFonts w:ascii="黑体" w:hAnsi="黑体" w:eastAsia="黑体" w:cs="黑体"/>
          <w:sz w:val="30"/>
          <w:szCs w:val="30"/>
        </w:rPr>
      </w:pPr>
      <w:r>
        <w:rPr>
          <w:rFonts w:ascii="黑体" w:hAnsi="黑体" w:eastAsia="黑体" w:cs="黑体"/>
          <w:spacing w:val="-6"/>
          <w:sz w:val="30"/>
          <w:szCs w:val="30"/>
        </w:rPr>
        <w:t>六、结论</w:t>
      </w:r>
    </w:p>
    <w:p w14:paraId="3620E501">
      <w:pPr>
        <w:spacing w:before="15"/>
      </w:pPr>
    </w:p>
    <w:tbl>
      <w:tblPr>
        <w:tblStyle w:val="5"/>
        <w:tblW w:w="8869" w:type="dxa"/>
        <w:tblInd w:w="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869"/>
      </w:tblGrid>
      <w:tr w14:paraId="63DC5221">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2148" w:hRule="atLeast"/>
        </w:trPr>
        <w:tc>
          <w:tcPr>
            <w:tcW w:w="8869" w:type="dxa"/>
            <w:vAlign w:val="top"/>
          </w:tcPr>
          <w:p w14:paraId="459CB661">
            <w:pPr>
              <w:pStyle w:val="6"/>
              <w:spacing w:before="41" w:line="360" w:lineRule="auto"/>
              <w:ind w:left="110" w:right="41" w:firstLine="481"/>
              <w:jc w:val="both"/>
            </w:pPr>
            <w:r>
              <w:rPr>
                <w:spacing w:val="-5"/>
              </w:rPr>
              <w:t>本项目符合国家产业政策；项目选址符合相关要求；采用的工艺技</w:t>
            </w:r>
            <w:r>
              <w:rPr>
                <w:spacing w:val="-6"/>
              </w:rPr>
              <w:t>术成熟可行，</w:t>
            </w:r>
            <w:r>
              <w:t>通过采取有效的环保措施可实现达标排放，对周边环境的影响也能控制在可接受程</w:t>
            </w:r>
            <w:r>
              <w:rPr>
                <w:spacing w:val="-1"/>
              </w:rPr>
              <w:t>度。因此，建设单位在严格执行环保“三同时</w:t>
            </w:r>
            <w:r>
              <w:rPr>
                <w:spacing w:val="-87"/>
              </w:rPr>
              <w:t xml:space="preserve"> </w:t>
            </w:r>
            <w:r>
              <w:rPr>
                <w:spacing w:val="-1"/>
              </w:rPr>
              <w:t>”制度，严格落实本报告提出的各项</w:t>
            </w:r>
            <w:r>
              <w:t>环保措施后，项目建设对环境的影响是可接受的。因此，从环保的角度分析，本项</w:t>
            </w:r>
            <w:r>
              <w:rPr>
                <w:spacing w:val="-1"/>
              </w:rPr>
              <w:t>目的建设是可行的。</w:t>
            </w:r>
          </w:p>
        </w:tc>
      </w:tr>
    </w:tbl>
    <w:p w14:paraId="6983172E">
      <w:pPr>
        <w:pStyle w:val="2"/>
      </w:pPr>
    </w:p>
    <w:sectPr>
      <w:footerReference r:id="rId13" w:type="default"/>
      <w:pgSz w:w="11906" w:h="16839"/>
      <w:pgMar w:top="1431" w:right="1511" w:bottom="1005" w:left="1510" w:header="0" w:footer="84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6"/>
    <w:family w:val="auto"/>
    <w:pitch w:val="default"/>
    <w:sig w:usb0="E00002FF" w:usb1="6AC7FDFB" w:usb2="08000012" w:usb3="00000000" w:csb0="4002009F" w:csb1="DFD70000"/>
  </w:font>
  <w:font w:name="MS UI Gothic">
    <w:panose1 w:val="020B0600070205080204"/>
    <w:charset w:val="86"/>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8A184">
    <w:pPr>
      <w:spacing w:line="176" w:lineRule="auto"/>
      <w:ind w:left="4416"/>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D27C1">
    <w:pPr>
      <w:spacing w:line="176" w:lineRule="auto"/>
      <w:ind w:left="4497"/>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71F5D">
    <w:pPr>
      <w:spacing w:line="176" w:lineRule="auto"/>
      <w:ind w:left="4493"/>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434F4E">
    <w:pPr>
      <w:spacing w:line="173" w:lineRule="auto"/>
      <w:ind w:left="4464"/>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CD7C0">
    <w:pPr>
      <w:spacing w:line="176" w:lineRule="auto"/>
      <w:ind w:left="4423"/>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C3293">
    <w:pPr>
      <w:spacing w:line="173" w:lineRule="auto"/>
      <w:ind w:left="4422"/>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97F4B">
    <w:pPr>
      <w:spacing w:line="176" w:lineRule="auto"/>
      <w:ind w:left="4426"/>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58749">
    <w:pPr>
      <w:spacing w:line="176" w:lineRule="auto"/>
      <w:ind w:left="4367"/>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D3B915">
    <w:pPr>
      <w:spacing w:line="176" w:lineRule="auto"/>
      <w:ind w:left="4414"/>
      <w:rPr>
        <w:rFonts w:ascii="Times New Roman" w:hAnsi="Times New Roman" w:eastAsia="Times New Roman" w:cs="Times New Roman"/>
        <w:sz w:val="18"/>
        <w:szCs w:val="18"/>
      </w:rPr>
    </w:pPr>
    <w:r>
      <w:rPr>
        <w:rFonts w:ascii="Times New Roman" w:hAnsi="Times New Roman" w:eastAsia="Times New Roman" w:cs="Times New Roman"/>
        <w:spacing w:val="10"/>
        <w:sz w:val="18"/>
        <w:szCs w:val="18"/>
      </w:rPr>
      <w:t>l0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84F1BA9"/>
    <w:rsid w:val="3FEE10F2"/>
    <w:rsid w:val="559C5A1D"/>
    <w:rsid w:val="7C9C534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Arial" w:hAnsi="Arial" w:eastAsia="Arial" w:cs="Arial"/>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30"/>
  </customShpExts>
</s:customData>
</file>

<file path=customXml/item2.xml><?xml version="1.0" encoding="utf-8"?>
<contractReview xmlns="http://schemas.wps.cn/vas-ai-hub/contract-review">
  <reviewItems>
    <reviewItem>
      <errorID>5ec5e129-8db8-44bf-a220-201c6e430860</errorID>
      <errorWord>措</errorWord>
      <group>L1_Word</group>
      <groupName>字词问题</groupName>
      <ability>L2_Typo</ability>
      <abilityName>字词错误</abilityName>
      <candidateList>
        <item>措施</item>
      </candidateList>
      <explain/>
      <paraID> F0E0AB3</paraID>
      <start>10</start>
      <end>11</end>
      <status>unmodified</status>
      <modifiedWord/>
      <trackRevisions>false</trackRevisions>
    </reviewItem>
    <reviewItem>
      <errorID>e5c425a3-bd3f-41e7-a48b-bdd9db08b92a</errorID>
      <errorWord>，</errorWord>
      <group>L1_Word</group>
      <groupName>字词问题</groupName>
      <ability>L2_Typo</ability>
      <abilityName>字词错误</abilityName>
      <candidateList>
        <item>，在</item>
      </candidateList>
      <explain/>
      <paraID>5671F8A6</paraID>
      <start>58</start>
      <end>60</end>
      <status>modified</status>
      <modifiedWord>，在</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469ccc-16b3-435f-bac0-f02d204943c0}">
  <ds:schemaRefs/>
</ds:datastoreItem>
</file>

<file path=docProps/app.xml><?xml version="1.0" encoding="utf-8"?>
<Properties xmlns="http://schemas.openxmlformats.org/officeDocument/2006/extended-properties" xmlns:vt="http://schemas.openxmlformats.org/officeDocument/2006/docPropsVTypes">
  <Pages>9</Pages>
  <Words>4170</Words>
  <Characters>4436</Characters>
  <TotalTime>4</TotalTime>
  <ScaleCrop>false</ScaleCrop>
  <LinksUpToDate>false</LinksUpToDate>
  <CharactersWithSpaces>4645</CharactersWithSpaces>
  <Application>WPS Office_12.1.0.28488_F1E327BC-269C-435d-A152-05C5408002CA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2026-09-24T10:33:00Z</dcterms:created>
  <dc:creator>admin</dc:creator>
  <cp:lastModifiedBy>王学珍</cp:lastModifiedBy>
  <dcterms:modified xsi:type="dcterms:W3CDTF">2026-09-24T03:59:32Z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2026-09-24T10:34:34Z</vt:filetime>
  </property>
  <property fmtid="{D5CDD505-2E9C-101B-9397-08002B2CF9AE}" pid="4" name="KSOTemplateDocerSaveRecord">
    <vt:lpwstr>eyJoZGlkIjoiMDE5MzY4NTVmNWNkM2FiOTE3MzcxMWViN2E1MTkyMzYiLCJ1c2VySWQiOiI1MDc3ODA1MzIifQ==</vt:lpwstr>
  </property>
  <property fmtid="{D5CDD505-2E9C-101B-9397-08002B2CF9AE}" pid="5" name="KSOProductBuildVer">
    <vt:lpwstr>2052-12.1.0.28488</vt:lpwstr>
  </property>
  <property fmtid="{D5CDD505-2E9C-101B-9397-08002B2CF9AE}" pid="6" name="ICV">
    <vt:lpwstr>9740341CFF2049869567C9845238CE7A_12</vt:lpwstr>
  </property>
</Properties>
</file>