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37FCB">
      <w:pPr>
        <w:pStyle w:val="2"/>
        <w:snapToGrid w:val="0"/>
        <w:spacing w:before="0" w:after="0" w:line="360" w:lineRule="auto"/>
        <w:jc w:val="center"/>
        <w:rPr>
          <w:rFonts w:eastAsia="黑体" w:cs="黑体"/>
          <w:b w:val="0"/>
          <w:bCs/>
          <w:sz w:val="30"/>
          <w:szCs w:val="30"/>
        </w:rPr>
      </w:pPr>
      <w:bookmarkStart w:id="0" w:name="_Toc239674211"/>
      <w:r>
        <w:rPr>
          <w:rFonts w:hint="eastAsia" w:eastAsia="黑体" w:cs="黑体"/>
          <w:b w:val="0"/>
          <w:bCs/>
          <w:sz w:val="30"/>
          <w:szCs w:val="30"/>
        </w:rPr>
        <w:t>一、建设项目基本情况</w:t>
      </w:r>
      <w:bookmarkEnd w:id="0"/>
    </w:p>
    <w:tbl>
      <w:tblPr>
        <w:tblStyle w:val="28"/>
        <w:tblW w:w="462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0"/>
        <w:gridCol w:w="2185"/>
        <w:gridCol w:w="1556"/>
        <w:gridCol w:w="2658"/>
      </w:tblGrid>
      <w:tr w14:paraId="1AA2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034" w:type="pct"/>
            <w:vAlign w:val="center"/>
          </w:tcPr>
          <w:p w14:paraId="037A80B7">
            <w:pPr>
              <w:snapToGrid w:val="0"/>
              <w:ind w:left="-105" w:leftChars="-50" w:right="-105" w:rightChars="-50"/>
              <w:jc w:val="center"/>
              <w:rPr>
                <w:rFonts w:cs="宋体"/>
                <w:sz w:val="24"/>
              </w:rPr>
            </w:pPr>
            <w:r>
              <w:rPr>
                <w:rFonts w:hint="eastAsia" w:cs="宋体"/>
                <w:sz w:val="24"/>
              </w:rPr>
              <w:t>建设项目名称</w:t>
            </w:r>
          </w:p>
        </w:tc>
        <w:tc>
          <w:tcPr>
            <w:tcW w:w="3965" w:type="pct"/>
            <w:gridSpan w:val="3"/>
            <w:vAlign w:val="center"/>
          </w:tcPr>
          <w:p w14:paraId="0DA8AA86">
            <w:pPr>
              <w:snapToGrid w:val="0"/>
              <w:ind w:left="-105" w:leftChars="-50" w:right="-105" w:rightChars="-50"/>
              <w:jc w:val="center"/>
              <w:rPr>
                <w:rFonts w:cs="宋体"/>
                <w:sz w:val="24"/>
              </w:rPr>
            </w:pPr>
            <w:r>
              <w:rPr>
                <w:rFonts w:hint="eastAsia" w:cs="宋体"/>
                <w:sz w:val="24"/>
              </w:rPr>
              <w:t>鄯善县坎尔其小流域水库下游段水土保持综合治理工程项目</w:t>
            </w:r>
          </w:p>
        </w:tc>
      </w:tr>
      <w:tr w14:paraId="31A6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pct"/>
            <w:vAlign w:val="center"/>
          </w:tcPr>
          <w:p w14:paraId="7479E040">
            <w:pPr>
              <w:snapToGrid w:val="0"/>
              <w:ind w:left="-105" w:leftChars="-50" w:right="-105" w:rightChars="-50"/>
              <w:jc w:val="center"/>
              <w:rPr>
                <w:rFonts w:cs="宋体"/>
                <w:sz w:val="24"/>
              </w:rPr>
            </w:pPr>
            <w:r>
              <w:rPr>
                <w:rFonts w:hint="eastAsia" w:cs="宋体"/>
                <w:sz w:val="24"/>
              </w:rPr>
              <w:t>建设项目</w:t>
            </w:r>
          </w:p>
          <w:p w14:paraId="029CE9D2">
            <w:pPr>
              <w:snapToGrid w:val="0"/>
              <w:ind w:left="-105" w:leftChars="-50" w:right="-105" w:rightChars="-50"/>
              <w:jc w:val="center"/>
              <w:rPr>
                <w:rFonts w:cs="宋体"/>
                <w:sz w:val="24"/>
              </w:rPr>
            </w:pPr>
            <w:r>
              <w:rPr>
                <w:rFonts w:hint="eastAsia" w:cs="宋体"/>
                <w:sz w:val="24"/>
              </w:rPr>
              <w:t>行业类别</w:t>
            </w:r>
          </w:p>
        </w:tc>
        <w:tc>
          <w:tcPr>
            <w:tcW w:w="1354" w:type="pct"/>
            <w:vAlign w:val="center"/>
          </w:tcPr>
          <w:p w14:paraId="58C2C66C">
            <w:pPr>
              <w:snapToGrid w:val="0"/>
              <w:jc w:val="center"/>
              <w:rPr>
                <w:rFonts w:cs="宋体"/>
                <w:sz w:val="24"/>
              </w:rPr>
            </w:pPr>
            <w:r>
              <w:rPr>
                <w:rFonts w:hint="eastAsia" w:cs="宋体"/>
                <w:sz w:val="24"/>
              </w:rPr>
              <w:t>五十一、水利—127、防洪除涝工程—其他（小型沟渠的护坡除外；城镇排涝河流水闸、排涝泵站除外）</w:t>
            </w:r>
          </w:p>
        </w:tc>
        <w:tc>
          <w:tcPr>
            <w:tcW w:w="964" w:type="pct"/>
            <w:vAlign w:val="center"/>
          </w:tcPr>
          <w:p w14:paraId="434312B9">
            <w:pPr>
              <w:snapToGrid w:val="0"/>
              <w:jc w:val="center"/>
              <w:rPr>
                <w:rFonts w:cs="宋体"/>
                <w:sz w:val="24"/>
              </w:rPr>
            </w:pPr>
            <w:r>
              <w:rPr>
                <w:rFonts w:hint="eastAsia" w:cs="宋体"/>
                <w:sz w:val="24"/>
              </w:rPr>
              <w:t>用地面积（m</w:t>
            </w:r>
            <w:r>
              <w:rPr>
                <w:rFonts w:hint="eastAsia" w:cs="宋体"/>
                <w:sz w:val="24"/>
                <w:vertAlign w:val="superscript"/>
              </w:rPr>
              <w:t>2</w:t>
            </w:r>
            <w:r>
              <w:rPr>
                <w:rFonts w:hint="eastAsia" w:cs="宋体"/>
                <w:sz w:val="24"/>
              </w:rPr>
              <w:t>）/长度（km）</w:t>
            </w:r>
          </w:p>
        </w:tc>
        <w:tc>
          <w:tcPr>
            <w:tcW w:w="1647" w:type="pct"/>
            <w:vAlign w:val="center"/>
          </w:tcPr>
          <w:p w14:paraId="7F322CDA">
            <w:pPr>
              <w:snapToGrid w:val="0"/>
              <w:jc w:val="center"/>
              <w:rPr>
                <w:rFonts w:cs="宋体"/>
                <w:sz w:val="24"/>
              </w:rPr>
            </w:pPr>
            <w:r>
              <w:rPr>
                <w:rFonts w:hint="eastAsia" w:cs="宋体"/>
                <w:sz w:val="24"/>
              </w:rPr>
              <w:t>永久用地：129.03万m</w:t>
            </w:r>
            <w:r>
              <w:rPr>
                <w:rFonts w:hint="eastAsia" w:cs="宋体"/>
                <w:sz w:val="24"/>
                <w:vertAlign w:val="superscript"/>
              </w:rPr>
              <w:t>2</w:t>
            </w:r>
          </w:p>
          <w:p w14:paraId="42EFABBE">
            <w:pPr>
              <w:snapToGrid w:val="0"/>
              <w:jc w:val="center"/>
              <w:rPr>
                <w:rFonts w:cs="宋体"/>
                <w:sz w:val="24"/>
              </w:rPr>
            </w:pPr>
            <w:r>
              <w:rPr>
                <w:rFonts w:hint="eastAsia" w:cs="宋体"/>
                <w:sz w:val="24"/>
              </w:rPr>
              <w:t>临时用地：0.2万m</w:t>
            </w:r>
            <w:r>
              <w:rPr>
                <w:rFonts w:hint="eastAsia" w:cs="宋体"/>
                <w:sz w:val="24"/>
                <w:vertAlign w:val="superscript"/>
              </w:rPr>
              <w:t>2</w:t>
            </w:r>
          </w:p>
          <w:p w14:paraId="7F9C7E4C">
            <w:pPr>
              <w:snapToGrid w:val="0"/>
              <w:jc w:val="center"/>
              <w:rPr>
                <w:rFonts w:cs="宋体"/>
                <w:sz w:val="24"/>
              </w:rPr>
            </w:pPr>
            <w:r>
              <w:rPr>
                <w:rFonts w:cs="宋体"/>
                <w:sz w:val="24"/>
              </w:rPr>
              <w:t>护岸工程</w:t>
            </w:r>
            <w:r>
              <w:rPr>
                <w:rFonts w:hint="eastAsia" w:cs="宋体"/>
                <w:sz w:val="24"/>
              </w:rPr>
              <w:t>长度：0.57km</w:t>
            </w:r>
          </w:p>
        </w:tc>
      </w:tr>
      <w:tr w14:paraId="528DC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pct"/>
            <w:vAlign w:val="center"/>
          </w:tcPr>
          <w:p w14:paraId="4E45C63E">
            <w:pPr>
              <w:snapToGrid w:val="0"/>
              <w:ind w:left="-105" w:leftChars="-50" w:right="-105" w:rightChars="-50"/>
              <w:jc w:val="center"/>
              <w:rPr>
                <w:rFonts w:cs="宋体"/>
                <w:sz w:val="24"/>
              </w:rPr>
            </w:pPr>
            <w:r>
              <w:rPr>
                <w:rFonts w:hint="eastAsia" w:cs="宋体"/>
                <w:sz w:val="24"/>
              </w:rPr>
              <w:t>建设性质</w:t>
            </w:r>
          </w:p>
        </w:tc>
        <w:tc>
          <w:tcPr>
            <w:tcW w:w="1354" w:type="pct"/>
            <w:vAlign w:val="center"/>
          </w:tcPr>
          <w:p w14:paraId="65D31E93">
            <w:pPr>
              <w:snapToGrid w:val="0"/>
              <w:rPr>
                <w:rFonts w:cs="宋体"/>
                <w:sz w:val="24"/>
              </w:rPr>
            </w:pPr>
            <w:r>
              <w:rPr>
                <w:rFonts w:hint="eastAsia" w:cs="宋体"/>
                <w:sz w:val="24"/>
              </w:rPr>
              <w:sym w:font="Wingdings 2" w:char="00A3"/>
            </w:r>
            <w:r>
              <w:rPr>
                <w:rFonts w:hint="eastAsia" w:cs="宋体"/>
                <w:sz w:val="24"/>
              </w:rPr>
              <w:t>新建（迁建）</w:t>
            </w:r>
          </w:p>
          <w:p w14:paraId="6F48D660">
            <w:pPr>
              <w:snapToGrid w:val="0"/>
              <w:rPr>
                <w:rFonts w:cs="宋体"/>
                <w:sz w:val="24"/>
              </w:rPr>
            </w:pPr>
            <w:r>
              <w:rPr>
                <w:rFonts w:hint="eastAsia" w:cs="宋体"/>
                <w:sz w:val="24"/>
              </w:rPr>
              <w:sym w:font="Wingdings 2" w:char="00A3"/>
            </w:r>
            <w:r>
              <w:rPr>
                <w:rFonts w:hint="eastAsia" w:cs="宋体"/>
                <w:sz w:val="24"/>
              </w:rPr>
              <w:t>改建</w:t>
            </w:r>
          </w:p>
          <w:p w14:paraId="58550D12">
            <w:pPr>
              <w:snapToGrid w:val="0"/>
              <w:rPr>
                <w:rFonts w:cs="宋体"/>
                <w:sz w:val="24"/>
              </w:rPr>
            </w:pPr>
            <w:r>
              <w:rPr>
                <w:rFonts w:hint="eastAsia" w:cs="宋体"/>
                <w:sz w:val="24"/>
              </w:rPr>
              <w:sym w:font="Wingdings 2" w:char="0052"/>
            </w:r>
            <w:r>
              <w:rPr>
                <w:rFonts w:hint="eastAsia" w:cs="宋体"/>
                <w:sz w:val="24"/>
              </w:rPr>
              <w:t>扩建</w:t>
            </w:r>
          </w:p>
          <w:p w14:paraId="51E35077">
            <w:pPr>
              <w:snapToGrid w:val="0"/>
              <w:rPr>
                <w:rFonts w:cs="宋体"/>
                <w:sz w:val="24"/>
              </w:rPr>
            </w:pPr>
            <w:r>
              <w:rPr>
                <w:rFonts w:hint="eastAsia" w:cs="宋体"/>
                <w:sz w:val="24"/>
              </w:rPr>
              <w:sym w:font="Wingdings 2" w:char="00A3"/>
            </w:r>
            <w:r>
              <w:rPr>
                <w:rFonts w:hint="eastAsia" w:cs="宋体"/>
                <w:sz w:val="24"/>
              </w:rPr>
              <w:t>技术改造</w:t>
            </w:r>
          </w:p>
        </w:tc>
        <w:tc>
          <w:tcPr>
            <w:tcW w:w="964" w:type="pct"/>
            <w:vAlign w:val="center"/>
          </w:tcPr>
          <w:p w14:paraId="1892D8C6">
            <w:pPr>
              <w:snapToGrid w:val="0"/>
              <w:jc w:val="center"/>
              <w:rPr>
                <w:rFonts w:cs="宋体"/>
                <w:sz w:val="24"/>
              </w:rPr>
            </w:pPr>
            <w:r>
              <w:rPr>
                <w:rFonts w:hint="eastAsia" w:cs="宋体"/>
                <w:sz w:val="24"/>
              </w:rPr>
              <w:t>建设项目</w:t>
            </w:r>
          </w:p>
          <w:p w14:paraId="5492DADA">
            <w:pPr>
              <w:snapToGrid w:val="0"/>
              <w:jc w:val="center"/>
              <w:rPr>
                <w:rFonts w:cs="宋体"/>
                <w:sz w:val="24"/>
              </w:rPr>
            </w:pPr>
            <w:r>
              <w:rPr>
                <w:rFonts w:hint="eastAsia" w:cs="宋体"/>
                <w:sz w:val="24"/>
              </w:rPr>
              <w:t>申报情形</w:t>
            </w:r>
          </w:p>
        </w:tc>
        <w:tc>
          <w:tcPr>
            <w:tcW w:w="1647" w:type="pct"/>
            <w:vAlign w:val="center"/>
          </w:tcPr>
          <w:p w14:paraId="20E2BC82">
            <w:pPr>
              <w:snapToGrid w:val="0"/>
              <w:rPr>
                <w:rFonts w:cs="宋体"/>
                <w:sz w:val="24"/>
              </w:rPr>
            </w:pPr>
            <w:r>
              <w:rPr>
                <w:rFonts w:hint="eastAsia" w:cs="宋体"/>
                <w:sz w:val="24"/>
              </w:rPr>
              <w:sym w:font="Wingdings 2" w:char="0052"/>
            </w:r>
            <w:r>
              <w:rPr>
                <w:rFonts w:hint="eastAsia" w:cs="宋体"/>
                <w:sz w:val="24"/>
              </w:rPr>
              <w:t>首次申报项目</w:t>
            </w:r>
          </w:p>
          <w:p w14:paraId="35667C80">
            <w:pPr>
              <w:snapToGrid w:val="0"/>
              <w:rPr>
                <w:rFonts w:cs="宋体"/>
                <w:spacing w:val="-6"/>
                <w:sz w:val="24"/>
              </w:rPr>
            </w:pPr>
            <w:r>
              <w:rPr>
                <w:rFonts w:hint="eastAsia" w:cs="宋体"/>
                <w:sz w:val="24"/>
              </w:rPr>
              <w:sym w:font="Wingdings 2" w:char="00A3"/>
            </w:r>
            <w:r>
              <w:rPr>
                <w:rFonts w:hint="eastAsia" w:cs="宋体"/>
                <w:spacing w:val="-6"/>
                <w:sz w:val="24"/>
              </w:rPr>
              <w:t>不予批准后再次申报项目</w:t>
            </w:r>
          </w:p>
          <w:p w14:paraId="37C319F6">
            <w:pPr>
              <w:snapToGrid w:val="0"/>
              <w:rPr>
                <w:rFonts w:cs="宋体"/>
                <w:sz w:val="24"/>
              </w:rPr>
            </w:pPr>
            <w:r>
              <w:rPr>
                <w:rFonts w:hint="eastAsia" w:cs="宋体"/>
                <w:sz w:val="24"/>
              </w:rPr>
              <w:sym w:font="Wingdings 2" w:char="00A3"/>
            </w:r>
            <w:r>
              <w:rPr>
                <w:rFonts w:hint="eastAsia" w:cs="宋体"/>
                <w:sz w:val="24"/>
              </w:rPr>
              <w:t>超五年重新审核项目</w:t>
            </w:r>
          </w:p>
          <w:p w14:paraId="52C7B594">
            <w:pPr>
              <w:snapToGrid w:val="0"/>
              <w:rPr>
                <w:rFonts w:cs="宋体"/>
                <w:sz w:val="24"/>
              </w:rPr>
            </w:pPr>
            <w:r>
              <w:rPr>
                <w:rFonts w:hint="eastAsia" w:cs="宋体"/>
                <w:sz w:val="24"/>
              </w:rPr>
              <w:sym w:font="Wingdings 2" w:char="00A3"/>
            </w:r>
            <w:r>
              <w:rPr>
                <w:rFonts w:hint="eastAsia" w:cs="宋体"/>
                <w:sz w:val="24"/>
              </w:rPr>
              <w:t>重大变动重新报批项目</w:t>
            </w:r>
          </w:p>
        </w:tc>
      </w:tr>
      <w:tr w14:paraId="30D3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pct"/>
            <w:vAlign w:val="center"/>
          </w:tcPr>
          <w:p w14:paraId="4D0D57B6">
            <w:pPr>
              <w:snapToGrid w:val="0"/>
              <w:ind w:left="-105" w:leftChars="-50" w:right="-105" w:rightChars="-50"/>
              <w:jc w:val="center"/>
              <w:rPr>
                <w:rFonts w:cs="宋体"/>
                <w:sz w:val="24"/>
              </w:rPr>
            </w:pPr>
            <w:r>
              <w:rPr>
                <w:rFonts w:hint="eastAsia" w:cs="宋体"/>
                <w:sz w:val="24"/>
              </w:rPr>
              <w:t>专项评价设置情况</w:t>
            </w:r>
          </w:p>
        </w:tc>
        <w:tc>
          <w:tcPr>
            <w:tcW w:w="3965" w:type="pct"/>
            <w:gridSpan w:val="3"/>
            <w:vAlign w:val="center"/>
          </w:tcPr>
          <w:p w14:paraId="13EAC6A6">
            <w:pPr>
              <w:snapToGrid w:val="0"/>
              <w:jc w:val="center"/>
              <w:rPr>
                <w:rFonts w:cs="宋体"/>
                <w:sz w:val="24"/>
              </w:rPr>
            </w:pPr>
            <w:r>
              <w:rPr>
                <w:rFonts w:hint="eastAsia" w:cs="宋体"/>
                <w:sz w:val="24"/>
              </w:rPr>
              <w:t>无</w:t>
            </w:r>
          </w:p>
        </w:tc>
      </w:tr>
      <w:tr w14:paraId="2F52C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pct"/>
            <w:vAlign w:val="center"/>
          </w:tcPr>
          <w:p w14:paraId="3DDBBF2E">
            <w:pPr>
              <w:snapToGrid w:val="0"/>
              <w:ind w:left="-105" w:leftChars="-50" w:right="-105" w:rightChars="-50"/>
              <w:jc w:val="center"/>
              <w:rPr>
                <w:rFonts w:cs="宋体"/>
                <w:sz w:val="24"/>
              </w:rPr>
            </w:pPr>
            <w:r>
              <w:rPr>
                <w:rFonts w:hint="eastAsia" w:cs="宋体"/>
                <w:sz w:val="24"/>
              </w:rPr>
              <w:t>规划情况</w:t>
            </w:r>
          </w:p>
        </w:tc>
        <w:tc>
          <w:tcPr>
            <w:tcW w:w="3965" w:type="pct"/>
            <w:gridSpan w:val="3"/>
            <w:vAlign w:val="center"/>
          </w:tcPr>
          <w:p w14:paraId="32422A05">
            <w:pPr>
              <w:snapToGrid w:val="0"/>
              <w:jc w:val="center"/>
              <w:rPr>
                <w:rFonts w:cs="宋体"/>
                <w:sz w:val="24"/>
              </w:rPr>
            </w:pPr>
            <w:r>
              <w:rPr>
                <w:rFonts w:hint="eastAsia" w:cs="宋体"/>
                <w:sz w:val="24"/>
              </w:rPr>
              <w:t>无</w:t>
            </w:r>
          </w:p>
        </w:tc>
      </w:tr>
      <w:tr w14:paraId="60F07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pct"/>
            <w:vAlign w:val="center"/>
          </w:tcPr>
          <w:p w14:paraId="14CDBB3B">
            <w:pPr>
              <w:snapToGrid w:val="0"/>
              <w:ind w:left="-105" w:leftChars="-50" w:right="-105" w:rightChars="-50"/>
              <w:jc w:val="center"/>
              <w:rPr>
                <w:rFonts w:cs="宋体"/>
                <w:sz w:val="24"/>
              </w:rPr>
            </w:pPr>
            <w:r>
              <w:rPr>
                <w:rFonts w:hint="eastAsia" w:cs="宋体"/>
                <w:sz w:val="24"/>
              </w:rPr>
              <w:t>规划环境影响评价情况</w:t>
            </w:r>
          </w:p>
        </w:tc>
        <w:tc>
          <w:tcPr>
            <w:tcW w:w="3965" w:type="pct"/>
            <w:gridSpan w:val="3"/>
            <w:vAlign w:val="center"/>
          </w:tcPr>
          <w:p w14:paraId="33947245">
            <w:pPr>
              <w:snapToGrid w:val="0"/>
              <w:jc w:val="center"/>
              <w:rPr>
                <w:rFonts w:cs="宋体"/>
                <w:sz w:val="24"/>
              </w:rPr>
            </w:pPr>
            <w:r>
              <w:rPr>
                <w:rFonts w:hint="eastAsia" w:cs="宋体"/>
                <w:sz w:val="24"/>
              </w:rPr>
              <w:t>无</w:t>
            </w:r>
          </w:p>
        </w:tc>
      </w:tr>
      <w:tr w14:paraId="5F22C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pct"/>
            <w:vAlign w:val="center"/>
          </w:tcPr>
          <w:p w14:paraId="053218F9">
            <w:pPr>
              <w:snapToGrid w:val="0"/>
              <w:ind w:left="-105" w:leftChars="-50" w:right="-105" w:rightChars="-50"/>
              <w:jc w:val="center"/>
              <w:rPr>
                <w:rFonts w:cs="宋体"/>
                <w:sz w:val="24"/>
              </w:rPr>
            </w:pPr>
            <w:r>
              <w:rPr>
                <w:rFonts w:hint="eastAsia" w:cs="宋体"/>
                <w:sz w:val="24"/>
              </w:rPr>
              <w:t>规划及规划环境影响评价符合性分析</w:t>
            </w:r>
          </w:p>
        </w:tc>
        <w:tc>
          <w:tcPr>
            <w:tcW w:w="3965" w:type="pct"/>
            <w:gridSpan w:val="3"/>
            <w:vAlign w:val="center"/>
          </w:tcPr>
          <w:p w14:paraId="6DF4B077">
            <w:pPr>
              <w:snapToGrid w:val="0"/>
              <w:jc w:val="center"/>
              <w:rPr>
                <w:rFonts w:cs="宋体"/>
                <w:sz w:val="24"/>
              </w:rPr>
            </w:pPr>
            <w:r>
              <w:rPr>
                <w:rFonts w:hint="eastAsia" w:cs="宋体"/>
                <w:sz w:val="24"/>
              </w:rPr>
              <w:t>无</w:t>
            </w:r>
          </w:p>
        </w:tc>
      </w:tr>
    </w:tbl>
    <w:p w14:paraId="66AA19CC">
      <w:pPr>
        <w:pStyle w:val="21"/>
        <w:ind w:left="0"/>
        <w:rPr>
          <w:rFonts w:ascii="Times New Roman" w:hAnsi="Times New Roman"/>
        </w:rPr>
        <w:sectPr>
          <w:footerReference r:id="rId3" w:type="default"/>
          <w:pgSz w:w="11906" w:h="16838"/>
          <w:pgMar w:top="1417" w:right="1587" w:bottom="1417" w:left="1587" w:header="851" w:footer="992" w:gutter="0"/>
          <w:pgNumType w:start="1"/>
          <w:cols w:space="425" w:num="1"/>
          <w:docGrid w:type="lines" w:linePitch="312" w:charSpace="0"/>
        </w:sectPr>
      </w:pPr>
    </w:p>
    <w:p w14:paraId="26ACA537">
      <w:pPr>
        <w:pStyle w:val="2"/>
        <w:snapToGrid w:val="0"/>
        <w:spacing w:before="0" w:after="0" w:line="360" w:lineRule="auto"/>
        <w:jc w:val="center"/>
        <w:rPr>
          <w:rFonts w:eastAsia="黑体" w:cs="黑体"/>
          <w:b w:val="0"/>
          <w:bCs/>
          <w:sz w:val="30"/>
          <w:szCs w:val="30"/>
        </w:rPr>
      </w:pPr>
      <w:bookmarkStart w:id="1" w:name="_Toc239674212"/>
      <w:r>
        <w:rPr>
          <w:rFonts w:hint="eastAsia" w:eastAsia="黑体" w:cs="黑体"/>
          <w:b w:val="0"/>
          <w:bCs/>
          <w:sz w:val="30"/>
          <w:szCs w:val="30"/>
        </w:rPr>
        <w:t>二、建设内容</w:t>
      </w:r>
      <w:bookmarkEnd w:id="1"/>
    </w:p>
    <w:tbl>
      <w:tblPr>
        <w:tblStyle w:val="28"/>
        <w:tblW w:w="47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7638"/>
      </w:tblGrid>
      <w:tr w14:paraId="03028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vAlign w:val="center"/>
          </w:tcPr>
          <w:p w14:paraId="484AFD5B">
            <w:pPr>
              <w:snapToGrid w:val="0"/>
              <w:jc w:val="center"/>
              <w:rPr>
                <w:rFonts w:cs="宋体"/>
                <w:sz w:val="24"/>
              </w:rPr>
            </w:pPr>
            <w:r>
              <w:rPr>
                <w:rFonts w:hint="eastAsia" w:cs="宋体"/>
                <w:sz w:val="24"/>
              </w:rPr>
              <w:t>地理位置</w:t>
            </w:r>
          </w:p>
        </w:tc>
        <w:tc>
          <w:tcPr>
            <w:tcW w:w="4610" w:type="pct"/>
            <w:vAlign w:val="center"/>
          </w:tcPr>
          <w:p w14:paraId="44DA3A7C">
            <w:pPr>
              <w:snapToGrid w:val="0"/>
              <w:spacing w:line="500" w:lineRule="exact"/>
              <w:ind w:firstLine="480" w:firstLineChars="200"/>
              <w:rPr>
                <w:rFonts w:cs="宋体"/>
                <w:sz w:val="24"/>
              </w:rPr>
            </w:pPr>
            <w:r>
              <w:rPr>
                <w:rFonts w:hint="eastAsia" w:cs="宋体"/>
                <w:sz w:val="24"/>
              </w:rPr>
              <w:t>本项目位于吐鲁番市鄯善县</w:t>
            </w:r>
            <w:r>
              <w:rPr>
                <w:rFonts w:cs="宋体"/>
                <w:sz w:val="24"/>
              </w:rPr>
              <w:t>坎尔其水库</w:t>
            </w:r>
            <w:r>
              <w:rPr>
                <w:rFonts w:hint="eastAsia" w:cs="宋体"/>
                <w:sz w:val="24"/>
              </w:rPr>
              <w:t>下游区域。</w:t>
            </w:r>
          </w:p>
        </w:tc>
      </w:tr>
      <w:tr w14:paraId="344C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vAlign w:val="center"/>
          </w:tcPr>
          <w:p w14:paraId="134248B1">
            <w:pPr>
              <w:snapToGrid w:val="0"/>
              <w:jc w:val="center"/>
              <w:rPr>
                <w:rFonts w:cs="宋体"/>
                <w:sz w:val="24"/>
              </w:rPr>
            </w:pPr>
            <w:r>
              <w:rPr>
                <w:rFonts w:hint="eastAsia" w:cs="宋体"/>
                <w:sz w:val="24"/>
              </w:rPr>
              <w:t>项目组成及规模</w:t>
            </w:r>
          </w:p>
        </w:tc>
        <w:tc>
          <w:tcPr>
            <w:tcW w:w="4610" w:type="pct"/>
            <w:vAlign w:val="center"/>
          </w:tcPr>
          <w:p w14:paraId="1FF7A384">
            <w:pPr>
              <w:snapToGrid w:val="0"/>
              <w:spacing w:line="500" w:lineRule="exact"/>
              <w:ind w:firstLine="482" w:firstLineChars="200"/>
              <w:rPr>
                <w:rFonts w:cs="宋体"/>
                <w:b/>
                <w:bCs/>
                <w:sz w:val="24"/>
              </w:rPr>
            </w:pPr>
            <w:r>
              <w:rPr>
                <w:rFonts w:hint="eastAsia" w:cs="宋体"/>
                <w:b/>
                <w:bCs/>
                <w:sz w:val="24"/>
                <w:lang w:eastAsia="zh-CN"/>
              </w:rPr>
              <w:t>1.</w:t>
            </w:r>
            <w:r>
              <w:rPr>
                <w:rFonts w:hint="eastAsia" w:cs="宋体"/>
                <w:b/>
                <w:bCs/>
                <w:sz w:val="24"/>
              </w:rPr>
              <w:t>工程任务及规模</w:t>
            </w:r>
          </w:p>
          <w:p w14:paraId="0AF06765">
            <w:pPr>
              <w:snapToGrid w:val="0"/>
              <w:spacing w:line="500" w:lineRule="exact"/>
              <w:ind w:firstLine="480" w:firstLineChars="200"/>
              <w:rPr>
                <w:sz w:val="24"/>
              </w:rPr>
            </w:pPr>
            <w:r>
              <w:rPr>
                <w:sz w:val="24"/>
              </w:rPr>
              <w:t>项目建设内容为：修建护岸工程570m及河道底部衬砌，进行林带补植1000棵，修建引水灌溉渠道1100m，新建围栏1.96km，警示牌15个，警示碑1座，保护区界标2个，道路警示牌2个，球机监控3个，光纤1.2km，实现水土流失治理面积为15km²。</w:t>
            </w:r>
          </w:p>
          <w:p w14:paraId="549EB952">
            <w:pPr>
              <w:snapToGrid w:val="0"/>
              <w:spacing w:line="500" w:lineRule="exact"/>
              <w:ind w:firstLine="480" w:firstLineChars="200"/>
              <w:rPr>
                <w:sz w:val="24"/>
              </w:rPr>
            </w:pPr>
            <w:r>
              <w:rPr>
                <w:sz w:val="24"/>
              </w:rPr>
              <w:t>依据《水土保持工程设计规范》（GB51018-2014）规定确定，主要建筑物级别为5级，次要建筑物级别为5级。设计洪水标准为50年一遇（P=2%）。</w:t>
            </w:r>
          </w:p>
          <w:p w14:paraId="42B026C1">
            <w:pPr>
              <w:snapToGrid w:val="0"/>
              <w:spacing w:line="500" w:lineRule="exact"/>
              <w:ind w:firstLine="480" w:firstLineChars="200"/>
              <w:rPr>
                <w:rFonts w:cs="宋体"/>
                <w:sz w:val="24"/>
              </w:rPr>
            </w:pPr>
            <w:r>
              <w:rPr>
                <w:rFonts w:hint="eastAsia" w:cs="宋体"/>
                <w:sz w:val="24"/>
              </w:rPr>
              <w:t>具体工程组成见表2-1。</w:t>
            </w:r>
          </w:p>
          <w:p w14:paraId="7ACB8B68">
            <w:pPr>
              <w:adjustRightInd w:val="0"/>
              <w:snapToGrid w:val="0"/>
              <w:spacing w:line="500" w:lineRule="exact"/>
              <w:jc w:val="center"/>
              <w:rPr>
                <w:rFonts w:eastAsia="黑体" w:cs="宋体"/>
                <w:kern w:val="0"/>
                <w:sz w:val="24"/>
              </w:rPr>
            </w:pPr>
            <w:r>
              <w:rPr>
                <w:rFonts w:hint="eastAsia" w:eastAsia="黑体" w:cs="宋体"/>
                <w:kern w:val="0"/>
                <w:sz w:val="24"/>
              </w:rPr>
              <w:t xml:space="preserve">表2-1  </w:t>
            </w:r>
            <w:r>
              <w:rPr>
                <w:rFonts w:eastAsia="黑体" w:cs="宋体"/>
                <w:kern w:val="0"/>
                <w:sz w:val="24"/>
              </w:rPr>
              <w:t xml:space="preserve">  </w:t>
            </w:r>
            <w:r>
              <w:rPr>
                <w:rFonts w:hint="eastAsia" w:eastAsia="黑体" w:cs="宋体"/>
                <w:kern w:val="0"/>
                <w:sz w:val="24"/>
              </w:rPr>
              <w:t>工程组成一览表</w:t>
            </w:r>
          </w:p>
          <w:tbl>
            <w:tblPr>
              <w:tblStyle w:val="2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557"/>
              <w:gridCol w:w="417"/>
              <w:gridCol w:w="1090"/>
              <w:gridCol w:w="5358"/>
            </w:tblGrid>
            <w:tr w14:paraId="31DE08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1390" w:type="pct"/>
                  <w:gridSpan w:val="3"/>
                  <w:vAlign w:val="center"/>
                </w:tcPr>
                <w:p w14:paraId="6DB0180E">
                  <w:pPr>
                    <w:widowControl/>
                    <w:overflowPunct w:val="0"/>
                    <w:adjustRightInd w:val="0"/>
                    <w:snapToGrid w:val="0"/>
                    <w:spacing w:line="300" w:lineRule="exact"/>
                    <w:jc w:val="center"/>
                    <w:rPr>
                      <w:rFonts w:cs="宋体"/>
                      <w:kern w:val="0"/>
                      <w:szCs w:val="21"/>
                    </w:rPr>
                  </w:pPr>
                  <w:r>
                    <w:rPr>
                      <w:rFonts w:hint="eastAsia" w:cs="宋体"/>
                      <w:kern w:val="0"/>
                      <w:szCs w:val="21"/>
                    </w:rPr>
                    <w:t>工程类别</w:t>
                  </w:r>
                </w:p>
              </w:tc>
              <w:tc>
                <w:tcPr>
                  <w:tcW w:w="3610" w:type="pct"/>
                  <w:vAlign w:val="center"/>
                </w:tcPr>
                <w:p w14:paraId="1797B3EB">
                  <w:pPr>
                    <w:widowControl/>
                    <w:overflowPunct w:val="0"/>
                    <w:adjustRightInd w:val="0"/>
                    <w:snapToGrid w:val="0"/>
                    <w:spacing w:line="300" w:lineRule="exact"/>
                    <w:jc w:val="center"/>
                    <w:rPr>
                      <w:rFonts w:cs="宋体"/>
                      <w:kern w:val="0"/>
                      <w:szCs w:val="21"/>
                    </w:rPr>
                  </w:pPr>
                  <w:r>
                    <w:rPr>
                      <w:rFonts w:hint="eastAsia" w:cs="宋体"/>
                      <w:kern w:val="0"/>
                      <w:szCs w:val="21"/>
                    </w:rPr>
                    <w:t>建设内容</w:t>
                  </w:r>
                </w:p>
              </w:tc>
            </w:tr>
            <w:tr w14:paraId="66F1728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375" w:type="pct"/>
                  <w:vMerge w:val="restart"/>
                  <w:tcBorders>
                    <w:right w:val="single" w:color="auto" w:sz="4" w:space="0"/>
                  </w:tcBorders>
                  <w:vAlign w:val="center"/>
                </w:tcPr>
                <w:p w14:paraId="2DF23CB5">
                  <w:pPr>
                    <w:widowControl/>
                    <w:overflowPunct w:val="0"/>
                    <w:adjustRightInd w:val="0"/>
                    <w:snapToGrid w:val="0"/>
                    <w:spacing w:line="300" w:lineRule="exact"/>
                    <w:jc w:val="center"/>
                    <w:rPr>
                      <w:rFonts w:cs="宋体"/>
                      <w:kern w:val="0"/>
                      <w:szCs w:val="21"/>
                    </w:rPr>
                  </w:pPr>
                  <w:r>
                    <w:rPr>
                      <w:rFonts w:hint="eastAsia" w:cs="宋体"/>
                      <w:kern w:val="0"/>
                      <w:szCs w:val="21"/>
                    </w:rPr>
                    <w:t>主体工程</w:t>
                  </w:r>
                </w:p>
              </w:tc>
              <w:tc>
                <w:tcPr>
                  <w:tcW w:w="1015" w:type="pct"/>
                  <w:gridSpan w:val="2"/>
                  <w:tcBorders>
                    <w:left w:val="single" w:color="auto" w:sz="4" w:space="0"/>
                  </w:tcBorders>
                  <w:vAlign w:val="center"/>
                </w:tcPr>
                <w:p w14:paraId="410FBC74">
                  <w:pPr>
                    <w:widowControl/>
                    <w:overflowPunct w:val="0"/>
                    <w:adjustRightInd w:val="0"/>
                    <w:snapToGrid w:val="0"/>
                    <w:spacing w:line="300" w:lineRule="exact"/>
                    <w:jc w:val="center"/>
                    <w:rPr>
                      <w:rFonts w:cs="宋体"/>
                      <w:kern w:val="0"/>
                      <w:szCs w:val="21"/>
                    </w:rPr>
                  </w:pPr>
                  <w:r>
                    <w:rPr>
                      <w:rFonts w:cs="宋体"/>
                      <w:kern w:val="0"/>
                      <w:szCs w:val="21"/>
                    </w:rPr>
                    <w:t>护岸工程</w:t>
                  </w:r>
                </w:p>
              </w:tc>
              <w:tc>
                <w:tcPr>
                  <w:tcW w:w="3610" w:type="pct"/>
                  <w:vAlign w:val="center"/>
                </w:tcPr>
                <w:p w14:paraId="13BD79AC">
                  <w:pPr>
                    <w:widowControl/>
                    <w:overflowPunct w:val="0"/>
                    <w:adjustRightInd w:val="0"/>
                    <w:snapToGrid w:val="0"/>
                    <w:spacing w:line="300" w:lineRule="exact"/>
                    <w:rPr>
                      <w:rFonts w:cs="宋体"/>
                      <w:kern w:val="0"/>
                      <w:szCs w:val="21"/>
                    </w:rPr>
                  </w:pPr>
                  <w:r>
                    <w:rPr>
                      <w:rFonts w:cs="宋体"/>
                      <w:kern w:val="0"/>
                      <w:szCs w:val="21"/>
                    </w:rPr>
                    <w:t>修建护岸工程570m及河道底部衬砌</w:t>
                  </w:r>
                  <w:r>
                    <w:rPr>
                      <w:rFonts w:hint="eastAsia" w:cs="宋体"/>
                      <w:kern w:val="0"/>
                      <w:szCs w:val="21"/>
                    </w:rPr>
                    <w:t>，</w:t>
                  </w:r>
                </w:p>
              </w:tc>
            </w:tr>
            <w:tr w14:paraId="5BFA7F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375" w:type="pct"/>
                  <w:vMerge w:val="continue"/>
                  <w:tcBorders>
                    <w:right w:val="single" w:color="auto" w:sz="4" w:space="0"/>
                  </w:tcBorders>
                  <w:vAlign w:val="center"/>
                </w:tcPr>
                <w:p w14:paraId="7E4BF1C9">
                  <w:pPr>
                    <w:widowControl/>
                    <w:overflowPunct w:val="0"/>
                    <w:adjustRightInd w:val="0"/>
                    <w:snapToGrid w:val="0"/>
                    <w:spacing w:line="300" w:lineRule="exact"/>
                    <w:jc w:val="center"/>
                    <w:rPr>
                      <w:rFonts w:cs="宋体"/>
                      <w:kern w:val="0"/>
                      <w:szCs w:val="21"/>
                    </w:rPr>
                  </w:pPr>
                </w:p>
              </w:tc>
              <w:tc>
                <w:tcPr>
                  <w:tcW w:w="1015" w:type="pct"/>
                  <w:gridSpan w:val="2"/>
                  <w:tcBorders>
                    <w:left w:val="single" w:color="auto" w:sz="4" w:space="0"/>
                  </w:tcBorders>
                  <w:vAlign w:val="center"/>
                </w:tcPr>
                <w:p w14:paraId="4287ACBF">
                  <w:pPr>
                    <w:widowControl/>
                    <w:overflowPunct w:val="0"/>
                    <w:adjustRightInd w:val="0"/>
                    <w:snapToGrid w:val="0"/>
                    <w:spacing w:line="300" w:lineRule="exact"/>
                    <w:jc w:val="center"/>
                    <w:rPr>
                      <w:rFonts w:cs="宋体"/>
                      <w:kern w:val="0"/>
                      <w:szCs w:val="21"/>
                    </w:rPr>
                  </w:pPr>
                  <w:r>
                    <w:rPr>
                      <w:rFonts w:cs="宋体"/>
                      <w:kern w:val="0"/>
                      <w:szCs w:val="21"/>
                    </w:rPr>
                    <w:t>引水灌溉渠道</w:t>
                  </w:r>
                </w:p>
              </w:tc>
              <w:tc>
                <w:tcPr>
                  <w:tcW w:w="3610" w:type="pct"/>
                  <w:vAlign w:val="center"/>
                </w:tcPr>
                <w:p w14:paraId="69FAF79F">
                  <w:pPr>
                    <w:widowControl/>
                    <w:overflowPunct w:val="0"/>
                    <w:adjustRightInd w:val="0"/>
                    <w:snapToGrid w:val="0"/>
                    <w:spacing w:line="300" w:lineRule="exact"/>
                    <w:rPr>
                      <w:rFonts w:cs="宋体"/>
                      <w:kern w:val="0"/>
                      <w:szCs w:val="21"/>
                    </w:rPr>
                  </w:pPr>
                  <w:r>
                    <w:rPr>
                      <w:rFonts w:cs="宋体"/>
                      <w:kern w:val="0"/>
                      <w:szCs w:val="21"/>
                    </w:rPr>
                    <w:t>修建引水灌溉渠道1100m</w:t>
                  </w:r>
                  <w:r>
                    <w:rPr>
                      <w:rFonts w:hint="eastAsia" w:cs="宋体"/>
                      <w:kern w:val="0"/>
                      <w:szCs w:val="21"/>
                    </w:rPr>
                    <w:t>。</w:t>
                  </w:r>
                </w:p>
              </w:tc>
            </w:tr>
            <w:tr w14:paraId="75C09F6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375" w:type="pct"/>
                  <w:vMerge w:val="restart"/>
                  <w:tcBorders>
                    <w:right w:val="single" w:color="auto" w:sz="4" w:space="0"/>
                  </w:tcBorders>
                  <w:vAlign w:val="center"/>
                </w:tcPr>
                <w:p w14:paraId="5353950D">
                  <w:pPr>
                    <w:widowControl/>
                    <w:overflowPunct w:val="0"/>
                    <w:adjustRightInd w:val="0"/>
                    <w:snapToGrid w:val="0"/>
                    <w:spacing w:line="300" w:lineRule="exact"/>
                    <w:jc w:val="center"/>
                    <w:rPr>
                      <w:rFonts w:cs="宋体"/>
                      <w:kern w:val="0"/>
                      <w:szCs w:val="21"/>
                    </w:rPr>
                  </w:pPr>
                  <w:r>
                    <w:rPr>
                      <w:rFonts w:hint="eastAsia" w:cs="宋体"/>
                      <w:kern w:val="0"/>
                      <w:szCs w:val="21"/>
                    </w:rPr>
                    <w:t>辅助工程</w:t>
                  </w:r>
                </w:p>
              </w:tc>
              <w:tc>
                <w:tcPr>
                  <w:tcW w:w="1015" w:type="pct"/>
                  <w:gridSpan w:val="2"/>
                  <w:tcBorders>
                    <w:left w:val="single" w:color="auto" w:sz="4" w:space="0"/>
                  </w:tcBorders>
                  <w:vAlign w:val="center"/>
                </w:tcPr>
                <w:p w14:paraId="4889EFF6">
                  <w:pPr>
                    <w:widowControl/>
                    <w:overflowPunct w:val="0"/>
                    <w:adjustRightInd w:val="0"/>
                    <w:snapToGrid w:val="0"/>
                    <w:spacing w:line="300" w:lineRule="exact"/>
                    <w:jc w:val="center"/>
                    <w:rPr>
                      <w:rFonts w:cs="宋体"/>
                      <w:kern w:val="0"/>
                      <w:sz w:val="22"/>
                      <w:szCs w:val="22"/>
                    </w:rPr>
                  </w:pPr>
                  <w:r>
                    <w:rPr>
                      <w:rFonts w:cs="宋体"/>
                      <w:kern w:val="0"/>
                      <w:sz w:val="22"/>
                      <w:szCs w:val="22"/>
                    </w:rPr>
                    <w:t>水土保持造林</w:t>
                  </w:r>
                </w:p>
              </w:tc>
              <w:tc>
                <w:tcPr>
                  <w:tcW w:w="3610" w:type="pct"/>
                  <w:vAlign w:val="center"/>
                </w:tcPr>
                <w:p w14:paraId="6EC77AD8">
                  <w:pPr>
                    <w:widowControl/>
                    <w:overflowPunct w:val="0"/>
                    <w:adjustRightInd w:val="0"/>
                    <w:snapToGrid w:val="0"/>
                    <w:spacing w:line="300" w:lineRule="exact"/>
                    <w:rPr>
                      <w:rFonts w:cs="宋体"/>
                      <w:kern w:val="0"/>
                      <w:sz w:val="22"/>
                      <w:szCs w:val="22"/>
                    </w:rPr>
                  </w:pPr>
                  <w:r>
                    <w:rPr>
                      <w:rFonts w:cs="宋体"/>
                      <w:kern w:val="0"/>
                      <w:sz w:val="22"/>
                      <w:szCs w:val="22"/>
                    </w:rPr>
                    <w:t>进行林带补植1000棵</w:t>
                  </w:r>
                  <w:r>
                    <w:rPr>
                      <w:rFonts w:hint="eastAsia" w:cs="宋体"/>
                      <w:kern w:val="0"/>
                      <w:sz w:val="22"/>
                      <w:szCs w:val="22"/>
                    </w:rPr>
                    <w:t>。</w:t>
                  </w:r>
                </w:p>
              </w:tc>
            </w:tr>
            <w:tr w14:paraId="3E172F0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375" w:type="pct"/>
                  <w:vMerge w:val="continue"/>
                  <w:tcBorders>
                    <w:right w:val="single" w:color="auto" w:sz="4" w:space="0"/>
                  </w:tcBorders>
                  <w:vAlign w:val="center"/>
                </w:tcPr>
                <w:p w14:paraId="6E88EC4B">
                  <w:pPr>
                    <w:widowControl/>
                    <w:overflowPunct w:val="0"/>
                    <w:adjustRightInd w:val="0"/>
                    <w:snapToGrid w:val="0"/>
                    <w:spacing w:line="300" w:lineRule="exact"/>
                    <w:jc w:val="center"/>
                    <w:rPr>
                      <w:rFonts w:cs="宋体"/>
                      <w:kern w:val="0"/>
                      <w:szCs w:val="21"/>
                    </w:rPr>
                  </w:pPr>
                </w:p>
              </w:tc>
              <w:tc>
                <w:tcPr>
                  <w:tcW w:w="1015" w:type="pct"/>
                  <w:gridSpan w:val="2"/>
                  <w:tcBorders>
                    <w:left w:val="single" w:color="auto" w:sz="4" w:space="0"/>
                  </w:tcBorders>
                  <w:vAlign w:val="center"/>
                </w:tcPr>
                <w:p w14:paraId="15DDF974">
                  <w:pPr>
                    <w:widowControl/>
                    <w:overflowPunct w:val="0"/>
                    <w:adjustRightInd w:val="0"/>
                    <w:snapToGrid w:val="0"/>
                    <w:spacing w:line="300" w:lineRule="exact"/>
                    <w:jc w:val="center"/>
                    <w:rPr>
                      <w:rFonts w:cs="宋体"/>
                      <w:kern w:val="0"/>
                      <w:sz w:val="22"/>
                      <w:szCs w:val="22"/>
                    </w:rPr>
                  </w:pPr>
                  <w:r>
                    <w:rPr>
                      <w:rFonts w:hint="eastAsia" w:cs="宋体"/>
                      <w:kern w:val="0"/>
                      <w:sz w:val="22"/>
                      <w:szCs w:val="22"/>
                      <w:lang w:eastAsia="zh-CN"/>
                    </w:rPr>
                    <w:t>其他</w:t>
                  </w:r>
                  <w:r>
                    <w:rPr>
                      <w:rFonts w:hint="eastAsia" w:cs="宋体"/>
                      <w:kern w:val="0"/>
                      <w:sz w:val="22"/>
                      <w:szCs w:val="22"/>
                    </w:rPr>
                    <w:t>辅助工程</w:t>
                  </w:r>
                </w:p>
              </w:tc>
              <w:tc>
                <w:tcPr>
                  <w:tcW w:w="3610" w:type="pct"/>
                  <w:vAlign w:val="center"/>
                </w:tcPr>
                <w:p w14:paraId="7FB78285">
                  <w:pPr>
                    <w:widowControl/>
                    <w:overflowPunct w:val="0"/>
                    <w:adjustRightInd w:val="0"/>
                    <w:snapToGrid w:val="0"/>
                    <w:spacing w:line="300" w:lineRule="exact"/>
                    <w:jc w:val="center"/>
                    <w:rPr>
                      <w:rFonts w:cs="宋体"/>
                      <w:kern w:val="0"/>
                      <w:szCs w:val="21"/>
                    </w:rPr>
                  </w:pPr>
                  <w:r>
                    <w:rPr>
                      <w:rFonts w:cs="宋体"/>
                      <w:kern w:val="0"/>
                      <w:szCs w:val="21"/>
                    </w:rPr>
                    <w:t>新建围栏1.96km，警示牌15个，警示碑1座，保护区界标2个，道路警示牌2个，球机监控3个，光纤1.2km。</w:t>
                  </w:r>
                </w:p>
              </w:tc>
            </w:tr>
            <w:tr w14:paraId="76FD413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375" w:type="pct"/>
                  <w:vMerge w:val="restart"/>
                  <w:tcBorders>
                    <w:right w:val="single" w:color="auto" w:sz="4" w:space="0"/>
                  </w:tcBorders>
                  <w:vAlign w:val="center"/>
                </w:tcPr>
                <w:p w14:paraId="57C49ED5">
                  <w:pPr>
                    <w:widowControl/>
                    <w:overflowPunct w:val="0"/>
                    <w:adjustRightInd w:val="0"/>
                    <w:snapToGrid w:val="0"/>
                    <w:spacing w:line="300" w:lineRule="exact"/>
                    <w:jc w:val="center"/>
                    <w:rPr>
                      <w:rFonts w:cs="宋体"/>
                      <w:kern w:val="0"/>
                      <w:szCs w:val="21"/>
                    </w:rPr>
                  </w:pPr>
                  <w:r>
                    <w:rPr>
                      <w:rFonts w:hint="eastAsia" w:cs="宋体"/>
                      <w:kern w:val="0"/>
                      <w:szCs w:val="21"/>
                    </w:rPr>
                    <w:t>临时工程</w:t>
                  </w:r>
                </w:p>
              </w:tc>
              <w:tc>
                <w:tcPr>
                  <w:tcW w:w="1015" w:type="pct"/>
                  <w:gridSpan w:val="2"/>
                  <w:tcBorders>
                    <w:left w:val="single" w:color="auto" w:sz="4" w:space="0"/>
                  </w:tcBorders>
                  <w:vAlign w:val="center"/>
                </w:tcPr>
                <w:p w14:paraId="2D0E24C7">
                  <w:pPr>
                    <w:widowControl/>
                    <w:overflowPunct w:val="0"/>
                    <w:adjustRightInd w:val="0"/>
                    <w:snapToGrid w:val="0"/>
                    <w:spacing w:line="300" w:lineRule="exact"/>
                    <w:jc w:val="center"/>
                    <w:rPr>
                      <w:rFonts w:cs="宋体"/>
                      <w:kern w:val="0"/>
                      <w:szCs w:val="21"/>
                    </w:rPr>
                  </w:pPr>
                  <w:r>
                    <w:rPr>
                      <w:rFonts w:hint="eastAsia" w:cs="宋体"/>
                      <w:kern w:val="0"/>
                      <w:szCs w:val="21"/>
                    </w:rPr>
                    <w:t>施工生活营地</w:t>
                  </w:r>
                </w:p>
              </w:tc>
              <w:tc>
                <w:tcPr>
                  <w:tcW w:w="3610" w:type="pct"/>
                  <w:vAlign w:val="center"/>
                </w:tcPr>
                <w:p w14:paraId="12A5A024">
                  <w:pPr>
                    <w:widowControl/>
                    <w:overflowPunct w:val="0"/>
                    <w:adjustRightInd w:val="0"/>
                    <w:snapToGrid w:val="0"/>
                    <w:spacing w:line="300" w:lineRule="exact"/>
                    <w:rPr>
                      <w:rFonts w:cs="宋体"/>
                      <w:kern w:val="0"/>
                      <w:szCs w:val="21"/>
                    </w:rPr>
                  </w:pPr>
                  <w:r>
                    <w:rPr>
                      <w:rFonts w:hint="eastAsia" w:cs="宋体"/>
                      <w:kern w:val="0"/>
                      <w:szCs w:val="21"/>
                    </w:rPr>
                    <w:t>租用火车站镇空置房屋，主要为施工人员生活提供用地。</w:t>
                  </w:r>
                </w:p>
              </w:tc>
            </w:tr>
            <w:tr w14:paraId="2D01E7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375" w:type="pct"/>
                  <w:vMerge w:val="continue"/>
                  <w:tcBorders>
                    <w:right w:val="single" w:color="auto" w:sz="4" w:space="0"/>
                  </w:tcBorders>
                  <w:vAlign w:val="center"/>
                </w:tcPr>
                <w:p w14:paraId="6CBCE241">
                  <w:pPr>
                    <w:widowControl/>
                    <w:overflowPunct w:val="0"/>
                    <w:adjustRightInd w:val="0"/>
                    <w:snapToGrid w:val="0"/>
                    <w:spacing w:line="300" w:lineRule="exact"/>
                    <w:jc w:val="center"/>
                    <w:rPr>
                      <w:rFonts w:cs="宋体"/>
                      <w:kern w:val="0"/>
                      <w:szCs w:val="21"/>
                    </w:rPr>
                  </w:pPr>
                </w:p>
              </w:tc>
              <w:tc>
                <w:tcPr>
                  <w:tcW w:w="1015" w:type="pct"/>
                  <w:gridSpan w:val="2"/>
                  <w:tcBorders>
                    <w:left w:val="single" w:color="auto" w:sz="4" w:space="0"/>
                  </w:tcBorders>
                  <w:vAlign w:val="center"/>
                </w:tcPr>
                <w:p w14:paraId="2540C5D6">
                  <w:pPr>
                    <w:widowControl/>
                    <w:overflowPunct w:val="0"/>
                    <w:adjustRightInd w:val="0"/>
                    <w:snapToGrid w:val="0"/>
                    <w:spacing w:line="300" w:lineRule="exact"/>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施工场地</w:t>
                  </w:r>
                </w:p>
              </w:tc>
              <w:tc>
                <w:tcPr>
                  <w:tcW w:w="3610" w:type="pct"/>
                  <w:vAlign w:val="center"/>
                </w:tcPr>
                <w:p w14:paraId="40F25DB6">
                  <w:pPr>
                    <w:widowControl/>
                    <w:overflowPunct w:val="0"/>
                    <w:adjustRightInd w:val="0"/>
                    <w:snapToGrid w:val="0"/>
                    <w:spacing w:line="300" w:lineRule="exact"/>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设1处施工场地，位于</w:t>
                  </w:r>
                  <w:r>
                    <w:rPr>
                      <w:rFonts w:hint="eastAsia" w:cs="宋体"/>
                      <w:kern w:val="0"/>
                      <w:szCs w:val="21"/>
                    </w:rPr>
                    <w:t>坎尔其水库管理站南侧约1km处</w:t>
                  </w:r>
                  <w:r>
                    <w:rPr>
                      <w:rFonts w:cs="宋体"/>
                      <w:kern w:val="0"/>
                      <w:szCs w:val="21"/>
                    </w:rPr>
                    <w:t>鄯善县坎尔其水库二级水源保护区</w:t>
                  </w:r>
                  <w:r>
                    <w:rPr>
                      <w:rFonts w:hint="eastAsia" w:cs="宋体"/>
                      <w:kern w:val="0"/>
                      <w:szCs w:val="21"/>
                    </w:rPr>
                    <w:t>外</w:t>
                  </w:r>
                  <w:r>
                    <w:rPr>
                      <w:rFonts w:hint="eastAsia" w:cs="宋体"/>
                      <w:color w:val="000000" w:themeColor="text1"/>
                      <w:kern w:val="0"/>
                      <w:szCs w:val="21"/>
                      <w14:textFill>
                        <w14:solidFill>
                          <w14:schemeClr w14:val="tx1"/>
                        </w14:solidFill>
                      </w14:textFill>
                    </w:rPr>
                    <w:t>，</w:t>
                  </w:r>
                  <w:r>
                    <w:rPr>
                      <w:rFonts w:cs="宋体"/>
                      <w:color w:val="000000" w:themeColor="text1"/>
                      <w:kern w:val="0"/>
                      <w:szCs w:val="21"/>
                      <w14:textFill>
                        <w14:solidFill>
                          <w14:schemeClr w14:val="tx1"/>
                        </w14:solidFill>
                      </w14:textFill>
                    </w:rPr>
                    <w:t>占地</w:t>
                  </w:r>
                  <w:r>
                    <w:rPr>
                      <w:rFonts w:hint="eastAsia" w:cs="宋体"/>
                      <w:color w:val="000000" w:themeColor="text1"/>
                      <w:kern w:val="0"/>
                      <w:szCs w:val="21"/>
                      <w14:textFill>
                        <w14:solidFill>
                          <w14:schemeClr w14:val="tx1"/>
                        </w14:solidFill>
                      </w14:textFill>
                    </w:rPr>
                    <w:t>面积约0.05</w:t>
                  </w:r>
                  <w:r>
                    <w:rPr>
                      <w:rFonts w:cs="宋体"/>
                      <w:color w:val="000000" w:themeColor="text1"/>
                      <w:kern w:val="0"/>
                      <w:szCs w:val="21"/>
                      <w14:textFill>
                        <w14:solidFill>
                          <w14:schemeClr w14:val="tx1"/>
                        </w14:solidFill>
                      </w14:textFill>
                    </w:rPr>
                    <w:t>hm</w:t>
                  </w:r>
                  <w:r>
                    <w:rPr>
                      <w:rFonts w:cs="宋体"/>
                      <w:color w:val="000000" w:themeColor="text1"/>
                      <w:kern w:val="0"/>
                      <w:szCs w:val="21"/>
                      <w:vertAlign w:val="superscript"/>
                      <w14:textFill>
                        <w14:solidFill>
                          <w14:schemeClr w14:val="tx1"/>
                        </w14:solidFill>
                      </w14:textFill>
                    </w:rPr>
                    <w:t>2</w:t>
                  </w:r>
                  <w:r>
                    <w:rPr>
                      <w:rFonts w:cs="宋体"/>
                      <w:color w:val="000000" w:themeColor="text1"/>
                      <w:kern w:val="0"/>
                      <w:szCs w:val="21"/>
                      <w14:textFill>
                        <w14:solidFill>
                          <w14:schemeClr w14:val="tx1"/>
                        </w14:solidFill>
                      </w14:textFill>
                    </w:rPr>
                    <w:t>，</w:t>
                  </w:r>
                  <w:r>
                    <w:rPr>
                      <w:rFonts w:hint="eastAsia"/>
                      <w:color w:val="000000" w:themeColor="text1"/>
                      <w14:textFill>
                        <w14:solidFill>
                          <w14:schemeClr w14:val="tx1"/>
                        </w14:solidFill>
                      </w14:textFill>
                    </w:rPr>
                    <w:t>主要用于施工机械临时停放和工程物资、</w:t>
                  </w:r>
                  <w:r>
                    <w:rPr>
                      <w:rFonts w:hint="eastAsia" w:cs="宋体"/>
                      <w:color w:val="000000" w:themeColor="text1"/>
                      <w:kern w:val="0"/>
                      <w:szCs w:val="21"/>
                      <w14:textFill>
                        <w14:solidFill>
                          <w14:schemeClr w14:val="tx1"/>
                        </w14:solidFill>
                      </w14:textFill>
                    </w:rPr>
                    <w:t>建筑材料的</w:t>
                  </w:r>
                  <w:r>
                    <w:rPr>
                      <w:rFonts w:hint="eastAsia"/>
                      <w:color w:val="000000" w:themeColor="text1"/>
                      <w14:textFill>
                        <w14:solidFill>
                          <w14:schemeClr w14:val="tx1"/>
                        </w14:solidFill>
                      </w14:textFill>
                    </w:rPr>
                    <w:t>临时堆放。</w:t>
                  </w:r>
                </w:p>
              </w:tc>
            </w:tr>
            <w:tr w14:paraId="0F0909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375" w:type="pct"/>
                  <w:vMerge w:val="continue"/>
                  <w:tcBorders>
                    <w:right w:val="single" w:color="auto" w:sz="4" w:space="0"/>
                  </w:tcBorders>
                  <w:vAlign w:val="center"/>
                </w:tcPr>
                <w:p w14:paraId="3D0AF3E9">
                  <w:pPr>
                    <w:widowControl/>
                    <w:overflowPunct w:val="0"/>
                    <w:adjustRightInd w:val="0"/>
                    <w:snapToGrid w:val="0"/>
                    <w:spacing w:line="300" w:lineRule="exact"/>
                    <w:jc w:val="center"/>
                    <w:rPr>
                      <w:rFonts w:cs="宋体"/>
                      <w:kern w:val="0"/>
                      <w:szCs w:val="21"/>
                    </w:rPr>
                  </w:pPr>
                </w:p>
              </w:tc>
              <w:tc>
                <w:tcPr>
                  <w:tcW w:w="1015" w:type="pct"/>
                  <w:gridSpan w:val="2"/>
                  <w:tcBorders>
                    <w:left w:val="single" w:color="auto" w:sz="4" w:space="0"/>
                  </w:tcBorders>
                  <w:vAlign w:val="center"/>
                </w:tcPr>
                <w:p w14:paraId="683BFEF8">
                  <w:pPr>
                    <w:widowControl/>
                    <w:overflowPunct w:val="0"/>
                    <w:adjustRightInd w:val="0"/>
                    <w:snapToGrid w:val="0"/>
                    <w:spacing w:line="300" w:lineRule="exact"/>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临时堆土场</w:t>
                  </w:r>
                </w:p>
              </w:tc>
              <w:tc>
                <w:tcPr>
                  <w:tcW w:w="3610" w:type="pct"/>
                  <w:vAlign w:val="center"/>
                </w:tcPr>
                <w:p w14:paraId="60B15B51">
                  <w:pPr>
                    <w:widowControl/>
                    <w:overflowPunct w:val="0"/>
                    <w:adjustRightInd w:val="0"/>
                    <w:snapToGrid w:val="0"/>
                    <w:spacing w:line="300" w:lineRule="exact"/>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设置在工程施工场地旁边空地</w:t>
                  </w:r>
                  <w:r>
                    <w:rPr>
                      <w:rFonts w:cs="宋体"/>
                      <w:kern w:val="0"/>
                      <w:szCs w:val="21"/>
                    </w:rPr>
                    <w:t>鄯善县坎尔其水库二级水源保护区</w:t>
                  </w:r>
                  <w:r>
                    <w:rPr>
                      <w:rFonts w:hint="eastAsia" w:cs="宋体"/>
                      <w:kern w:val="0"/>
                      <w:szCs w:val="21"/>
                    </w:rPr>
                    <w:t>外</w:t>
                  </w:r>
                  <w:r>
                    <w:rPr>
                      <w:rFonts w:hint="eastAsia" w:cs="宋体"/>
                      <w:color w:val="000000" w:themeColor="text1"/>
                      <w:kern w:val="0"/>
                      <w:szCs w:val="21"/>
                      <w14:textFill>
                        <w14:solidFill>
                          <w14:schemeClr w14:val="tx1"/>
                        </w14:solidFill>
                      </w14:textFill>
                    </w:rPr>
                    <w:t>，</w:t>
                  </w:r>
                  <w:r>
                    <w:rPr>
                      <w:rFonts w:cs="宋体"/>
                      <w:color w:val="000000" w:themeColor="text1"/>
                      <w:kern w:val="0"/>
                      <w:szCs w:val="21"/>
                      <w14:textFill>
                        <w14:solidFill>
                          <w14:schemeClr w14:val="tx1"/>
                        </w14:solidFill>
                      </w14:textFill>
                    </w:rPr>
                    <w:t>占地</w:t>
                  </w:r>
                  <w:r>
                    <w:rPr>
                      <w:rFonts w:hint="eastAsia" w:cs="宋体"/>
                      <w:color w:val="000000" w:themeColor="text1"/>
                      <w:kern w:val="0"/>
                      <w:szCs w:val="21"/>
                      <w14:textFill>
                        <w14:solidFill>
                          <w14:schemeClr w14:val="tx1"/>
                        </w14:solidFill>
                      </w14:textFill>
                    </w:rPr>
                    <w:t>面积约0.15</w:t>
                  </w:r>
                  <w:r>
                    <w:rPr>
                      <w:rFonts w:cs="宋体"/>
                      <w:color w:val="000000" w:themeColor="text1"/>
                      <w:kern w:val="0"/>
                      <w:szCs w:val="21"/>
                      <w14:textFill>
                        <w14:solidFill>
                          <w14:schemeClr w14:val="tx1"/>
                        </w14:solidFill>
                      </w14:textFill>
                    </w:rPr>
                    <w:t>hm</w:t>
                  </w:r>
                  <w:r>
                    <w:rPr>
                      <w:rFonts w:cs="宋体"/>
                      <w:color w:val="000000" w:themeColor="text1"/>
                      <w:kern w:val="0"/>
                      <w:szCs w:val="21"/>
                      <w:vertAlign w:val="superscript"/>
                      <w14:textFill>
                        <w14:solidFill>
                          <w14:schemeClr w14:val="tx1"/>
                        </w14:solidFill>
                      </w14:textFill>
                    </w:rPr>
                    <w:t>2</w:t>
                  </w:r>
                  <w:r>
                    <w:rPr>
                      <w:rFonts w:cs="宋体"/>
                      <w:color w:val="000000" w:themeColor="text1"/>
                      <w:kern w:val="0"/>
                      <w:szCs w:val="21"/>
                      <w14:textFill>
                        <w14:solidFill>
                          <w14:schemeClr w14:val="tx1"/>
                        </w14:solidFill>
                      </w14:textFill>
                    </w:rPr>
                    <w:t>，</w:t>
                  </w:r>
                  <w:r>
                    <w:rPr>
                      <w:rFonts w:hint="eastAsia" w:cs="宋体"/>
                      <w:color w:val="000000" w:themeColor="text1"/>
                      <w:kern w:val="0"/>
                      <w:szCs w:val="21"/>
                      <w14:textFill>
                        <w14:solidFill>
                          <w14:schemeClr w14:val="tx1"/>
                        </w14:solidFill>
                      </w14:textFill>
                    </w:rPr>
                    <w:t>主要用于堆放回填土方。</w:t>
                  </w:r>
                </w:p>
              </w:tc>
            </w:tr>
            <w:tr w14:paraId="1FE78D9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375" w:type="pct"/>
                  <w:vMerge w:val="continue"/>
                  <w:tcBorders>
                    <w:right w:val="single" w:color="auto" w:sz="4" w:space="0"/>
                  </w:tcBorders>
                  <w:vAlign w:val="center"/>
                </w:tcPr>
                <w:p w14:paraId="68BE0328">
                  <w:pPr>
                    <w:widowControl/>
                    <w:overflowPunct w:val="0"/>
                    <w:adjustRightInd w:val="0"/>
                    <w:snapToGrid w:val="0"/>
                    <w:spacing w:line="300" w:lineRule="exact"/>
                    <w:jc w:val="center"/>
                    <w:rPr>
                      <w:rFonts w:cs="宋体"/>
                      <w:kern w:val="0"/>
                      <w:szCs w:val="21"/>
                    </w:rPr>
                  </w:pPr>
                </w:p>
              </w:tc>
              <w:tc>
                <w:tcPr>
                  <w:tcW w:w="1015" w:type="pct"/>
                  <w:gridSpan w:val="2"/>
                  <w:tcBorders>
                    <w:left w:val="single" w:color="auto" w:sz="4" w:space="0"/>
                  </w:tcBorders>
                  <w:vAlign w:val="center"/>
                </w:tcPr>
                <w:p w14:paraId="5C8C144F">
                  <w:pPr>
                    <w:widowControl/>
                    <w:overflowPunct w:val="0"/>
                    <w:adjustRightInd w:val="0"/>
                    <w:snapToGrid w:val="0"/>
                    <w:spacing w:line="300" w:lineRule="exact"/>
                    <w:jc w:val="center"/>
                    <w:rPr>
                      <w:rFonts w:cs="宋体"/>
                      <w:kern w:val="0"/>
                      <w:szCs w:val="21"/>
                    </w:rPr>
                  </w:pPr>
                  <w:r>
                    <w:rPr>
                      <w:rFonts w:hint="eastAsia" w:cs="宋体"/>
                      <w:kern w:val="0"/>
                      <w:szCs w:val="21"/>
                    </w:rPr>
                    <w:t>施工便道</w:t>
                  </w:r>
                </w:p>
              </w:tc>
              <w:tc>
                <w:tcPr>
                  <w:tcW w:w="3610" w:type="pct"/>
                  <w:vAlign w:val="center"/>
                </w:tcPr>
                <w:p w14:paraId="04F4016E">
                  <w:pPr>
                    <w:widowControl/>
                    <w:overflowPunct w:val="0"/>
                    <w:adjustRightInd w:val="0"/>
                    <w:snapToGrid w:val="0"/>
                    <w:spacing w:line="300" w:lineRule="exact"/>
                    <w:rPr>
                      <w:rFonts w:cs="宋体"/>
                      <w:kern w:val="0"/>
                      <w:szCs w:val="21"/>
                    </w:rPr>
                  </w:pPr>
                  <w:r>
                    <w:rPr>
                      <w:rFonts w:hint="eastAsia" w:cs="宋体"/>
                      <w:kern w:val="0"/>
                      <w:szCs w:val="21"/>
                    </w:rPr>
                    <w:t>坎尔其水库管理站有便道直通工程区，总长度约2km，双车道，路宽4m。</w:t>
                  </w:r>
                </w:p>
              </w:tc>
            </w:tr>
            <w:tr w14:paraId="13F924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375" w:type="pct"/>
                  <w:vMerge w:val="restart"/>
                  <w:tcBorders>
                    <w:right w:val="single" w:color="auto" w:sz="4" w:space="0"/>
                  </w:tcBorders>
                  <w:vAlign w:val="center"/>
                </w:tcPr>
                <w:p w14:paraId="112E946C">
                  <w:pPr>
                    <w:widowControl/>
                    <w:overflowPunct w:val="0"/>
                    <w:adjustRightInd w:val="0"/>
                    <w:snapToGrid w:val="0"/>
                    <w:spacing w:line="300" w:lineRule="exact"/>
                    <w:jc w:val="center"/>
                    <w:rPr>
                      <w:rFonts w:cs="宋体"/>
                      <w:kern w:val="0"/>
                      <w:szCs w:val="21"/>
                    </w:rPr>
                  </w:pPr>
                  <w:r>
                    <w:rPr>
                      <w:rFonts w:hint="eastAsia" w:cs="宋体"/>
                      <w:kern w:val="0"/>
                      <w:szCs w:val="21"/>
                    </w:rPr>
                    <w:t>公用工程</w:t>
                  </w:r>
                </w:p>
              </w:tc>
              <w:tc>
                <w:tcPr>
                  <w:tcW w:w="1015" w:type="pct"/>
                  <w:gridSpan w:val="2"/>
                  <w:tcBorders>
                    <w:left w:val="single" w:color="auto" w:sz="4" w:space="0"/>
                  </w:tcBorders>
                  <w:vAlign w:val="center"/>
                </w:tcPr>
                <w:p w14:paraId="4300B52C">
                  <w:pPr>
                    <w:widowControl/>
                    <w:overflowPunct w:val="0"/>
                    <w:adjustRightInd w:val="0"/>
                    <w:snapToGrid w:val="0"/>
                    <w:spacing w:line="300" w:lineRule="exact"/>
                    <w:jc w:val="center"/>
                    <w:rPr>
                      <w:rFonts w:cs="宋体"/>
                      <w:kern w:val="0"/>
                      <w:szCs w:val="21"/>
                    </w:rPr>
                  </w:pPr>
                  <w:r>
                    <w:rPr>
                      <w:rFonts w:hint="eastAsia" w:cs="宋体"/>
                      <w:kern w:val="0"/>
                      <w:szCs w:val="21"/>
                    </w:rPr>
                    <w:t>供水</w:t>
                  </w:r>
                </w:p>
              </w:tc>
              <w:tc>
                <w:tcPr>
                  <w:tcW w:w="3610" w:type="pct"/>
                  <w:vAlign w:val="center"/>
                </w:tcPr>
                <w:p w14:paraId="7F4BA4AB">
                  <w:pPr>
                    <w:widowControl/>
                    <w:overflowPunct w:val="0"/>
                    <w:adjustRightInd w:val="0"/>
                    <w:snapToGrid w:val="0"/>
                    <w:spacing w:line="300" w:lineRule="exact"/>
                    <w:rPr>
                      <w:rFonts w:cs="宋体"/>
                      <w:kern w:val="0"/>
                      <w:szCs w:val="21"/>
                    </w:rPr>
                  </w:pPr>
                  <w:r>
                    <w:rPr>
                      <w:rFonts w:hint="eastAsia" w:cs="宋体"/>
                      <w:kern w:val="0"/>
                      <w:szCs w:val="21"/>
                    </w:rPr>
                    <w:t>施工用水从坎尔其水库管理站蓄水池取水。</w:t>
                  </w:r>
                </w:p>
              </w:tc>
            </w:tr>
            <w:tr w14:paraId="278DB2C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375" w:type="pct"/>
                  <w:vMerge w:val="continue"/>
                  <w:tcBorders>
                    <w:right w:val="single" w:color="auto" w:sz="4" w:space="0"/>
                  </w:tcBorders>
                  <w:vAlign w:val="center"/>
                </w:tcPr>
                <w:p w14:paraId="57F20193">
                  <w:pPr>
                    <w:widowControl/>
                    <w:overflowPunct w:val="0"/>
                    <w:adjustRightInd w:val="0"/>
                    <w:snapToGrid w:val="0"/>
                    <w:spacing w:line="300" w:lineRule="exact"/>
                    <w:jc w:val="center"/>
                    <w:rPr>
                      <w:rFonts w:cs="宋体"/>
                      <w:kern w:val="0"/>
                      <w:szCs w:val="21"/>
                    </w:rPr>
                  </w:pPr>
                </w:p>
              </w:tc>
              <w:tc>
                <w:tcPr>
                  <w:tcW w:w="1015" w:type="pct"/>
                  <w:gridSpan w:val="2"/>
                  <w:tcBorders>
                    <w:left w:val="single" w:color="auto" w:sz="4" w:space="0"/>
                  </w:tcBorders>
                  <w:vAlign w:val="center"/>
                </w:tcPr>
                <w:p w14:paraId="7A33444F">
                  <w:pPr>
                    <w:widowControl/>
                    <w:overflowPunct w:val="0"/>
                    <w:adjustRightInd w:val="0"/>
                    <w:snapToGrid w:val="0"/>
                    <w:spacing w:line="300" w:lineRule="exact"/>
                    <w:jc w:val="center"/>
                    <w:rPr>
                      <w:rFonts w:cs="宋体"/>
                      <w:kern w:val="0"/>
                      <w:szCs w:val="21"/>
                    </w:rPr>
                  </w:pPr>
                  <w:r>
                    <w:rPr>
                      <w:rFonts w:hint="eastAsia" w:cs="宋体"/>
                      <w:kern w:val="0"/>
                      <w:szCs w:val="21"/>
                    </w:rPr>
                    <w:t>排水</w:t>
                  </w:r>
                </w:p>
              </w:tc>
              <w:tc>
                <w:tcPr>
                  <w:tcW w:w="3610" w:type="pct"/>
                  <w:vAlign w:val="center"/>
                </w:tcPr>
                <w:p w14:paraId="1BD077B9">
                  <w:pPr>
                    <w:widowControl/>
                    <w:overflowPunct w:val="0"/>
                    <w:adjustRightInd w:val="0"/>
                    <w:snapToGrid w:val="0"/>
                    <w:spacing w:line="300" w:lineRule="exact"/>
                    <w:rPr>
                      <w:rFonts w:cs="宋体"/>
                      <w:kern w:val="0"/>
                      <w:szCs w:val="21"/>
                    </w:rPr>
                  </w:pPr>
                  <w:r>
                    <w:rPr>
                      <w:rFonts w:hint="eastAsia" w:cs="宋体"/>
                      <w:kern w:val="0"/>
                      <w:szCs w:val="21"/>
                    </w:rPr>
                    <w:t>施工废水经隔油沉淀池沉淀后回用于施工场地洒水降尘，混凝土养护废水自然蒸发；施工过程生活污水依托坎尔其水库管理站现有设施。</w:t>
                  </w:r>
                </w:p>
              </w:tc>
            </w:tr>
            <w:tr w14:paraId="73CE37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375" w:type="pct"/>
                  <w:vMerge w:val="continue"/>
                  <w:tcBorders>
                    <w:right w:val="single" w:color="auto" w:sz="4" w:space="0"/>
                  </w:tcBorders>
                  <w:vAlign w:val="center"/>
                </w:tcPr>
                <w:p w14:paraId="0210231C">
                  <w:pPr>
                    <w:widowControl/>
                    <w:overflowPunct w:val="0"/>
                    <w:adjustRightInd w:val="0"/>
                    <w:snapToGrid w:val="0"/>
                    <w:spacing w:line="300" w:lineRule="exact"/>
                    <w:jc w:val="center"/>
                    <w:rPr>
                      <w:rFonts w:cs="宋体"/>
                      <w:kern w:val="0"/>
                      <w:szCs w:val="21"/>
                    </w:rPr>
                  </w:pPr>
                </w:p>
              </w:tc>
              <w:tc>
                <w:tcPr>
                  <w:tcW w:w="1015" w:type="pct"/>
                  <w:gridSpan w:val="2"/>
                  <w:tcBorders>
                    <w:left w:val="single" w:color="auto" w:sz="4" w:space="0"/>
                  </w:tcBorders>
                  <w:vAlign w:val="center"/>
                </w:tcPr>
                <w:p w14:paraId="401FA018">
                  <w:pPr>
                    <w:widowControl/>
                    <w:overflowPunct w:val="0"/>
                    <w:adjustRightInd w:val="0"/>
                    <w:snapToGrid w:val="0"/>
                    <w:spacing w:line="300" w:lineRule="exact"/>
                    <w:jc w:val="center"/>
                    <w:rPr>
                      <w:rFonts w:cs="宋体"/>
                      <w:kern w:val="0"/>
                      <w:szCs w:val="21"/>
                    </w:rPr>
                  </w:pPr>
                  <w:r>
                    <w:rPr>
                      <w:rFonts w:hint="eastAsia" w:cs="宋体"/>
                      <w:kern w:val="0"/>
                      <w:szCs w:val="21"/>
                    </w:rPr>
                    <w:t>供电</w:t>
                  </w:r>
                </w:p>
              </w:tc>
              <w:tc>
                <w:tcPr>
                  <w:tcW w:w="3610" w:type="pct"/>
                  <w:vAlign w:val="center"/>
                </w:tcPr>
                <w:p w14:paraId="184D9808">
                  <w:pPr>
                    <w:widowControl/>
                    <w:overflowPunct w:val="0"/>
                    <w:adjustRightInd w:val="0"/>
                    <w:snapToGrid w:val="0"/>
                    <w:spacing w:line="300" w:lineRule="exact"/>
                    <w:rPr>
                      <w:rFonts w:cs="宋体"/>
                      <w:kern w:val="0"/>
                      <w:szCs w:val="21"/>
                    </w:rPr>
                  </w:pPr>
                  <w:r>
                    <w:rPr>
                      <w:rFonts w:hint="eastAsia" w:cs="宋体"/>
                      <w:kern w:val="0"/>
                      <w:szCs w:val="21"/>
                    </w:rPr>
                    <w:t>接入附近10kV坎尔其水库管理站电线路。</w:t>
                  </w:r>
                </w:p>
              </w:tc>
            </w:tr>
            <w:tr w14:paraId="199EDFF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375" w:type="pct"/>
                  <w:vMerge w:val="restart"/>
                  <w:tcBorders>
                    <w:right w:val="single" w:color="auto" w:sz="4" w:space="0"/>
                  </w:tcBorders>
                  <w:vAlign w:val="center"/>
                </w:tcPr>
                <w:p w14:paraId="4927DC77">
                  <w:pPr>
                    <w:widowControl/>
                    <w:overflowPunct w:val="0"/>
                    <w:adjustRightInd w:val="0"/>
                    <w:snapToGrid w:val="0"/>
                    <w:spacing w:line="300" w:lineRule="exact"/>
                    <w:jc w:val="center"/>
                    <w:rPr>
                      <w:rFonts w:cs="宋体"/>
                      <w:kern w:val="0"/>
                      <w:szCs w:val="21"/>
                    </w:rPr>
                  </w:pPr>
                  <w:r>
                    <w:rPr>
                      <w:rFonts w:hint="eastAsia" w:cs="宋体"/>
                      <w:kern w:val="0"/>
                      <w:szCs w:val="21"/>
                    </w:rPr>
                    <w:t>环保工程</w:t>
                  </w:r>
                </w:p>
              </w:tc>
              <w:tc>
                <w:tcPr>
                  <w:tcW w:w="1015" w:type="pct"/>
                  <w:gridSpan w:val="2"/>
                  <w:tcBorders>
                    <w:left w:val="single" w:color="auto" w:sz="4" w:space="0"/>
                  </w:tcBorders>
                  <w:vAlign w:val="center"/>
                </w:tcPr>
                <w:p w14:paraId="1941ABB5">
                  <w:pPr>
                    <w:widowControl/>
                    <w:overflowPunct w:val="0"/>
                    <w:adjustRightInd w:val="0"/>
                    <w:snapToGrid w:val="0"/>
                    <w:spacing w:line="300" w:lineRule="exact"/>
                    <w:jc w:val="center"/>
                    <w:rPr>
                      <w:rFonts w:cs="宋体"/>
                      <w:kern w:val="0"/>
                      <w:szCs w:val="21"/>
                    </w:rPr>
                  </w:pPr>
                  <w:r>
                    <w:rPr>
                      <w:rFonts w:hint="eastAsia" w:cs="宋体"/>
                      <w:kern w:val="0"/>
                      <w:szCs w:val="21"/>
                    </w:rPr>
                    <w:t>废气</w:t>
                  </w:r>
                </w:p>
              </w:tc>
              <w:tc>
                <w:tcPr>
                  <w:tcW w:w="3610" w:type="pct"/>
                  <w:vAlign w:val="center"/>
                </w:tcPr>
                <w:p w14:paraId="0764F681">
                  <w:pPr>
                    <w:widowControl/>
                    <w:overflowPunct w:val="0"/>
                    <w:adjustRightInd w:val="0"/>
                    <w:snapToGrid w:val="0"/>
                    <w:spacing w:line="300" w:lineRule="exact"/>
                    <w:rPr>
                      <w:rFonts w:cs="宋体"/>
                      <w:kern w:val="0"/>
                      <w:szCs w:val="21"/>
                    </w:rPr>
                  </w:pPr>
                  <w:r>
                    <w:rPr>
                      <w:rFonts w:cs="宋体"/>
                      <w:kern w:val="0"/>
                      <w:szCs w:val="21"/>
                    </w:rPr>
                    <w:t>①</w:t>
                  </w:r>
                  <w:r>
                    <w:rPr>
                      <w:rFonts w:hint="eastAsia" w:cs="宋体"/>
                      <w:kern w:val="0"/>
                      <w:szCs w:val="21"/>
                    </w:rPr>
                    <w:t>施工机械燃油废气：</w:t>
                  </w:r>
                  <w:r>
                    <w:rPr>
                      <w:rFonts w:cs="宋体"/>
                      <w:kern w:val="0"/>
                      <w:szCs w:val="21"/>
                    </w:rPr>
                    <w:t>使用符合国家标准的</w:t>
                  </w:r>
                  <w:r>
                    <w:rPr>
                      <w:rFonts w:hint="eastAsia" w:cs="宋体"/>
                      <w:kern w:val="0"/>
                      <w:szCs w:val="21"/>
                    </w:rPr>
                    <w:t>油品</w:t>
                  </w:r>
                  <w:r>
                    <w:rPr>
                      <w:rFonts w:cs="宋体"/>
                      <w:kern w:val="0"/>
                      <w:szCs w:val="21"/>
                    </w:rPr>
                    <w:t>，加强机械、车辆的维护；</w:t>
                  </w:r>
                </w:p>
                <w:p w14:paraId="47516BBC">
                  <w:pPr>
                    <w:widowControl/>
                    <w:overflowPunct w:val="0"/>
                    <w:adjustRightInd w:val="0"/>
                    <w:snapToGrid w:val="0"/>
                    <w:spacing w:line="300" w:lineRule="exact"/>
                    <w:rPr>
                      <w:rFonts w:cs="宋体"/>
                      <w:kern w:val="0"/>
                      <w:szCs w:val="21"/>
                    </w:rPr>
                  </w:pPr>
                  <w:r>
                    <w:rPr>
                      <w:rFonts w:cs="宋体"/>
                      <w:kern w:val="0"/>
                      <w:szCs w:val="21"/>
                    </w:rPr>
                    <w:t>②</w:t>
                  </w:r>
                  <w:r>
                    <w:rPr>
                      <w:rFonts w:hint="eastAsia" w:cs="宋体"/>
                      <w:kern w:val="0"/>
                      <w:szCs w:val="21"/>
                    </w:rPr>
                    <w:t>施工扬尘：定期对施工道路、施工场地裸露地表及堆场进行洒水降尘</w:t>
                  </w:r>
                  <w:r>
                    <w:rPr>
                      <w:rFonts w:hint="eastAsia" w:cs="宋体"/>
                      <w:kern w:val="0"/>
                      <w:szCs w:val="21"/>
                      <w:lang w:eastAsia="zh-CN"/>
                    </w:rPr>
                    <w:t>；对</w:t>
                  </w:r>
                  <w:r>
                    <w:rPr>
                      <w:rFonts w:hint="eastAsia" w:cs="宋体"/>
                      <w:kern w:val="0"/>
                      <w:szCs w:val="21"/>
                    </w:rPr>
                    <w:t>临时堆土场等其他易产尘物料采取遮盖措施，并避免露天堆放；在施工现场周边设置围挡，减轻土石方开挖、回填及装卸作业扬尘逸散，严禁大风天气进行土石方施工。</w:t>
                  </w:r>
                </w:p>
              </w:tc>
            </w:tr>
            <w:tr w14:paraId="2DC468D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375" w:type="pct"/>
                  <w:vMerge w:val="continue"/>
                  <w:tcBorders>
                    <w:right w:val="single" w:color="auto" w:sz="4" w:space="0"/>
                  </w:tcBorders>
                  <w:vAlign w:val="center"/>
                </w:tcPr>
                <w:p w14:paraId="7F02EA4F">
                  <w:pPr>
                    <w:widowControl/>
                    <w:overflowPunct w:val="0"/>
                    <w:adjustRightInd w:val="0"/>
                    <w:snapToGrid w:val="0"/>
                    <w:spacing w:line="300" w:lineRule="exact"/>
                    <w:jc w:val="center"/>
                    <w:rPr>
                      <w:rFonts w:cs="宋体"/>
                      <w:kern w:val="0"/>
                      <w:szCs w:val="21"/>
                    </w:rPr>
                  </w:pPr>
                </w:p>
              </w:tc>
              <w:tc>
                <w:tcPr>
                  <w:tcW w:w="1015" w:type="pct"/>
                  <w:gridSpan w:val="2"/>
                  <w:tcBorders>
                    <w:left w:val="single" w:color="auto" w:sz="4" w:space="0"/>
                  </w:tcBorders>
                  <w:vAlign w:val="center"/>
                </w:tcPr>
                <w:p w14:paraId="2DE3C1E6">
                  <w:pPr>
                    <w:widowControl/>
                    <w:overflowPunct w:val="0"/>
                    <w:adjustRightInd w:val="0"/>
                    <w:snapToGrid w:val="0"/>
                    <w:spacing w:line="300" w:lineRule="exact"/>
                    <w:jc w:val="center"/>
                    <w:rPr>
                      <w:rFonts w:cs="宋体"/>
                      <w:kern w:val="0"/>
                      <w:szCs w:val="21"/>
                    </w:rPr>
                  </w:pPr>
                  <w:r>
                    <w:rPr>
                      <w:rFonts w:hint="eastAsia" w:cs="宋体"/>
                      <w:kern w:val="0"/>
                      <w:szCs w:val="21"/>
                    </w:rPr>
                    <w:t>废水</w:t>
                  </w:r>
                </w:p>
              </w:tc>
              <w:tc>
                <w:tcPr>
                  <w:tcW w:w="3610" w:type="pct"/>
                  <w:vAlign w:val="center"/>
                </w:tcPr>
                <w:p w14:paraId="15926F4C">
                  <w:pPr>
                    <w:widowControl/>
                    <w:overflowPunct w:val="0"/>
                    <w:adjustRightInd w:val="0"/>
                    <w:snapToGrid w:val="0"/>
                    <w:spacing w:line="300" w:lineRule="exact"/>
                    <w:rPr>
                      <w:rFonts w:cs="宋体"/>
                      <w:kern w:val="0"/>
                      <w:szCs w:val="21"/>
                    </w:rPr>
                  </w:pPr>
                  <w:r>
                    <w:rPr>
                      <w:rFonts w:hint="eastAsia" w:cs="宋体"/>
                      <w:kern w:val="0"/>
                      <w:szCs w:val="21"/>
                    </w:rPr>
                    <w:t>施工废水经隔油沉淀池沉淀后回用于施工场地洒水降尘；混凝土养护废水自然蒸发。生活污水依托坎尔其水库管理站现有设施。</w:t>
                  </w:r>
                </w:p>
              </w:tc>
            </w:tr>
            <w:tr w14:paraId="5C43E21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375" w:type="pct"/>
                  <w:vMerge w:val="continue"/>
                  <w:tcBorders>
                    <w:right w:val="single" w:color="auto" w:sz="4" w:space="0"/>
                  </w:tcBorders>
                  <w:vAlign w:val="center"/>
                </w:tcPr>
                <w:p w14:paraId="62F5C1DC">
                  <w:pPr>
                    <w:widowControl/>
                    <w:overflowPunct w:val="0"/>
                    <w:adjustRightInd w:val="0"/>
                    <w:snapToGrid w:val="0"/>
                    <w:spacing w:line="300" w:lineRule="exact"/>
                    <w:jc w:val="center"/>
                    <w:rPr>
                      <w:rFonts w:cs="宋体"/>
                      <w:kern w:val="0"/>
                      <w:szCs w:val="21"/>
                    </w:rPr>
                  </w:pPr>
                </w:p>
              </w:tc>
              <w:tc>
                <w:tcPr>
                  <w:tcW w:w="1015" w:type="pct"/>
                  <w:gridSpan w:val="2"/>
                  <w:tcBorders>
                    <w:left w:val="single" w:color="auto" w:sz="4" w:space="0"/>
                  </w:tcBorders>
                  <w:vAlign w:val="center"/>
                </w:tcPr>
                <w:p w14:paraId="091B0E02">
                  <w:pPr>
                    <w:widowControl/>
                    <w:overflowPunct w:val="0"/>
                    <w:adjustRightInd w:val="0"/>
                    <w:snapToGrid w:val="0"/>
                    <w:spacing w:line="300" w:lineRule="exact"/>
                    <w:jc w:val="center"/>
                    <w:rPr>
                      <w:rFonts w:cs="宋体"/>
                      <w:kern w:val="0"/>
                      <w:szCs w:val="21"/>
                    </w:rPr>
                  </w:pPr>
                  <w:r>
                    <w:rPr>
                      <w:rFonts w:hint="eastAsia" w:cs="宋体"/>
                      <w:kern w:val="0"/>
                      <w:szCs w:val="21"/>
                    </w:rPr>
                    <w:t>噪声</w:t>
                  </w:r>
                </w:p>
              </w:tc>
              <w:tc>
                <w:tcPr>
                  <w:tcW w:w="3610" w:type="pct"/>
                  <w:vAlign w:val="center"/>
                </w:tcPr>
                <w:p w14:paraId="6DF52A95">
                  <w:pPr>
                    <w:widowControl/>
                    <w:overflowPunct w:val="0"/>
                    <w:adjustRightInd w:val="0"/>
                    <w:snapToGrid w:val="0"/>
                    <w:spacing w:line="300" w:lineRule="exact"/>
                    <w:rPr>
                      <w:rFonts w:cs="宋体"/>
                      <w:kern w:val="0"/>
                      <w:szCs w:val="21"/>
                    </w:rPr>
                  </w:pPr>
                  <w:r>
                    <w:rPr>
                      <w:rFonts w:cs="宋体"/>
                      <w:kern w:val="0"/>
                      <w:szCs w:val="21"/>
                    </w:rPr>
                    <w:t>①</w:t>
                  </w:r>
                  <w:r>
                    <w:rPr>
                      <w:rFonts w:hint="eastAsia" w:cs="宋体"/>
                      <w:kern w:val="0"/>
                      <w:szCs w:val="21"/>
                    </w:rPr>
                    <w:t>优先选用低噪声设备，加强保养维护；</w:t>
                  </w:r>
                </w:p>
                <w:p w14:paraId="716F7762">
                  <w:pPr>
                    <w:widowControl/>
                    <w:overflowPunct w:val="0"/>
                    <w:adjustRightInd w:val="0"/>
                    <w:snapToGrid w:val="0"/>
                    <w:spacing w:line="300" w:lineRule="exact"/>
                    <w:rPr>
                      <w:rFonts w:cs="宋体"/>
                      <w:kern w:val="0"/>
                      <w:szCs w:val="21"/>
                    </w:rPr>
                  </w:pPr>
                  <w:r>
                    <w:rPr>
                      <w:rFonts w:cs="宋体"/>
                      <w:kern w:val="0"/>
                      <w:szCs w:val="21"/>
                    </w:rPr>
                    <w:t>②</w:t>
                  </w:r>
                  <w:r>
                    <w:rPr>
                      <w:rFonts w:hint="eastAsia" w:cs="宋体"/>
                      <w:kern w:val="0"/>
                      <w:szCs w:val="21"/>
                    </w:rPr>
                    <w:t>加强运输车辆的管理，禁止随意鸣笛。</w:t>
                  </w:r>
                </w:p>
              </w:tc>
            </w:tr>
            <w:tr w14:paraId="46FA23F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375" w:type="pct"/>
                  <w:vMerge w:val="continue"/>
                  <w:tcBorders>
                    <w:right w:val="single" w:color="auto" w:sz="4" w:space="0"/>
                  </w:tcBorders>
                  <w:vAlign w:val="center"/>
                </w:tcPr>
                <w:p w14:paraId="33464196">
                  <w:pPr>
                    <w:widowControl/>
                    <w:overflowPunct w:val="0"/>
                    <w:adjustRightInd w:val="0"/>
                    <w:snapToGrid w:val="0"/>
                    <w:spacing w:line="300" w:lineRule="exact"/>
                    <w:jc w:val="center"/>
                    <w:rPr>
                      <w:rFonts w:cs="宋体"/>
                      <w:kern w:val="0"/>
                      <w:szCs w:val="21"/>
                    </w:rPr>
                  </w:pPr>
                </w:p>
              </w:tc>
              <w:tc>
                <w:tcPr>
                  <w:tcW w:w="281" w:type="pct"/>
                  <w:vMerge w:val="restart"/>
                  <w:tcBorders>
                    <w:left w:val="single" w:color="auto" w:sz="4" w:space="0"/>
                  </w:tcBorders>
                  <w:vAlign w:val="center"/>
                </w:tcPr>
                <w:p w14:paraId="294EE32C">
                  <w:pPr>
                    <w:widowControl/>
                    <w:overflowPunct w:val="0"/>
                    <w:adjustRightInd w:val="0"/>
                    <w:snapToGrid w:val="0"/>
                    <w:spacing w:line="300" w:lineRule="exact"/>
                    <w:jc w:val="center"/>
                    <w:rPr>
                      <w:rFonts w:cs="宋体"/>
                      <w:kern w:val="0"/>
                      <w:szCs w:val="21"/>
                    </w:rPr>
                  </w:pPr>
                  <w:r>
                    <w:rPr>
                      <w:rFonts w:hint="eastAsia" w:cs="宋体"/>
                      <w:kern w:val="0"/>
                      <w:szCs w:val="21"/>
                    </w:rPr>
                    <w:t>固废</w:t>
                  </w:r>
                </w:p>
              </w:tc>
              <w:tc>
                <w:tcPr>
                  <w:tcW w:w="734" w:type="pct"/>
                  <w:tcBorders>
                    <w:left w:val="single" w:color="auto" w:sz="4" w:space="0"/>
                  </w:tcBorders>
                  <w:vAlign w:val="center"/>
                </w:tcPr>
                <w:p w14:paraId="526DD3FE">
                  <w:pPr>
                    <w:widowControl/>
                    <w:overflowPunct w:val="0"/>
                    <w:adjustRightInd w:val="0"/>
                    <w:snapToGrid w:val="0"/>
                    <w:spacing w:line="300" w:lineRule="exact"/>
                    <w:jc w:val="center"/>
                    <w:rPr>
                      <w:rFonts w:cs="宋体"/>
                      <w:kern w:val="0"/>
                      <w:szCs w:val="21"/>
                    </w:rPr>
                  </w:pPr>
                  <w:r>
                    <w:rPr>
                      <w:rFonts w:hint="eastAsia" w:cs="宋体"/>
                      <w:kern w:val="0"/>
                      <w:szCs w:val="21"/>
                    </w:rPr>
                    <w:t>建筑垃圾</w:t>
                  </w:r>
                </w:p>
              </w:tc>
              <w:tc>
                <w:tcPr>
                  <w:tcW w:w="3610" w:type="pct"/>
                  <w:vAlign w:val="center"/>
                </w:tcPr>
                <w:p w14:paraId="5A6A9C47">
                  <w:pPr>
                    <w:widowControl/>
                    <w:overflowPunct w:val="0"/>
                    <w:adjustRightInd w:val="0"/>
                    <w:snapToGrid w:val="0"/>
                    <w:spacing w:line="300" w:lineRule="exact"/>
                    <w:rPr>
                      <w:rFonts w:cs="宋体"/>
                      <w:kern w:val="0"/>
                      <w:szCs w:val="21"/>
                    </w:rPr>
                  </w:pPr>
                  <w:r>
                    <w:rPr>
                      <w:rFonts w:hint="eastAsia" w:cs="宋体"/>
                      <w:szCs w:val="21"/>
                    </w:rPr>
                    <w:t>可以回收利用的优先回收利用，无法回收利用的集中收集后由施工单位委托拉运至当地建筑垃圾填埋场处置。</w:t>
                  </w:r>
                  <w:r>
                    <w:rPr>
                      <w:rFonts w:cs="宋体"/>
                      <w:szCs w:val="21"/>
                    </w:rPr>
                    <w:t>施工过程中剩余土方全部就近</w:t>
                  </w:r>
                  <w:r>
                    <w:rPr>
                      <w:rFonts w:hint="eastAsia" w:cs="宋体"/>
                      <w:szCs w:val="21"/>
                    </w:rPr>
                    <w:t>河道附近现有沙坑填平及</w:t>
                  </w:r>
                  <w:r>
                    <w:rPr>
                      <w:rFonts w:cs="宋体"/>
                      <w:szCs w:val="21"/>
                    </w:rPr>
                    <w:t>防洪堤背水侧用于培厚加固防洪堤</w:t>
                  </w:r>
                  <w:r>
                    <w:rPr>
                      <w:rFonts w:hint="eastAsia" w:cs="宋体"/>
                      <w:szCs w:val="21"/>
                    </w:rPr>
                    <w:t>。</w:t>
                  </w:r>
                </w:p>
              </w:tc>
            </w:tr>
            <w:tr w14:paraId="39479B1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375" w:type="pct"/>
                  <w:vMerge w:val="continue"/>
                  <w:tcBorders>
                    <w:right w:val="single" w:color="auto" w:sz="4" w:space="0"/>
                  </w:tcBorders>
                  <w:vAlign w:val="center"/>
                </w:tcPr>
                <w:p w14:paraId="0541875B">
                  <w:pPr>
                    <w:widowControl/>
                    <w:overflowPunct w:val="0"/>
                    <w:adjustRightInd w:val="0"/>
                    <w:snapToGrid w:val="0"/>
                    <w:spacing w:line="300" w:lineRule="exact"/>
                    <w:jc w:val="center"/>
                    <w:rPr>
                      <w:rFonts w:cs="宋体"/>
                      <w:kern w:val="0"/>
                      <w:szCs w:val="21"/>
                    </w:rPr>
                  </w:pPr>
                </w:p>
              </w:tc>
              <w:tc>
                <w:tcPr>
                  <w:tcW w:w="281" w:type="pct"/>
                  <w:vMerge w:val="continue"/>
                  <w:tcBorders>
                    <w:left w:val="single" w:color="auto" w:sz="4" w:space="0"/>
                  </w:tcBorders>
                  <w:vAlign w:val="center"/>
                </w:tcPr>
                <w:p w14:paraId="3DF26761">
                  <w:pPr>
                    <w:widowControl/>
                    <w:overflowPunct w:val="0"/>
                    <w:adjustRightInd w:val="0"/>
                    <w:snapToGrid w:val="0"/>
                    <w:spacing w:line="300" w:lineRule="exact"/>
                    <w:jc w:val="center"/>
                    <w:rPr>
                      <w:rFonts w:cs="宋体"/>
                      <w:kern w:val="0"/>
                      <w:szCs w:val="21"/>
                    </w:rPr>
                  </w:pPr>
                </w:p>
              </w:tc>
              <w:tc>
                <w:tcPr>
                  <w:tcW w:w="734" w:type="pct"/>
                  <w:tcBorders>
                    <w:left w:val="single" w:color="auto" w:sz="4" w:space="0"/>
                  </w:tcBorders>
                  <w:vAlign w:val="center"/>
                </w:tcPr>
                <w:p w14:paraId="1774CC5B">
                  <w:pPr>
                    <w:widowControl/>
                    <w:overflowPunct w:val="0"/>
                    <w:adjustRightInd w:val="0"/>
                    <w:snapToGrid w:val="0"/>
                    <w:spacing w:line="300" w:lineRule="exact"/>
                    <w:jc w:val="center"/>
                    <w:rPr>
                      <w:rFonts w:cs="宋体"/>
                      <w:kern w:val="0"/>
                      <w:szCs w:val="21"/>
                    </w:rPr>
                  </w:pPr>
                  <w:r>
                    <w:rPr>
                      <w:rFonts w:hint="eastAsia" w:cs="宋体"/>
                      <w:szCs w:val="21"/>
                    </w:rPr>
                    <w:t>隔油沉淀池底泥</w:t>
                  </w:r>
                </w:p>
              </w:tc>
              <w:tc>
                <w:tcPr>
                  <w:tcW w:w="3610" w:type="pct"/>
                  <w:vAlign w:val="center"/>
                </w:tcPr>
                <w:p w14:paraId="76D089E9">
                  <w:pPr>
                    <w:widowControl/>
                    <w:overflowPunct w:val="0"/>
                    <w:adjustRightInd w:val="0"/>
                    <w:snapToGrid w:val="0"/>
                    <w:spacing w:line="300" w:lineRule="exact"/>
                    <w:rPr>
                      <w:rFonts w:cs="宋体"/>
                      <w:szCs w:val="21"/>
                    </w:rPr>
                  </w:pPr>
                  <w:r>
                    <w:rPr>
                      <w:rFonts w:hint="eastAsia" w:cs="宋体"/>
                      <w:szCs w:val="21"/>
                    </w:rPr>
                    <w:t>施工结束后，对隔油沉淀池进行清掏，产生的底泥暂存于临时危废贮存点内，定期委托具有相应危险废物处置资质的单位处置。</w:t>
                  </w:r>
                </w:p>
              </w:tc>
            </w:tr>
            <w:tr w14:paraId="55CAC5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375" w:type="pct"/>
                  <w:vMerge w:val="continue"/>
                  <w:tcBorders>
                    <w:right w:val="single" w:color="auto" w:sz="4" w:space="0"/>
                  </w:tcBorders>
                  <w:vAlign w:val="center"/>
                </w:tcPr>
                <w:p w14:paraId="0B15AD7B">
                  <w:pPr>
                    <w:widowControl/>
                    <w:overflowPunct w:val="0"/>
                    <w:adjustRightInd w:val="0"/>
                    <w:snapToGrid w:val="0"/>
                    <w:spacing w:line="300" w:lineRule="exact"/>
                    <w:jc w:val="center"/>
                    <w:rPr>
                      <w:rFonts w:cs="宋体"/>
                      <w:kern w:val="0"/>
                      <w:szCs w:val="21"/>
                    </w:rPr>
                  </w:pPr>
                </w:p>
              </w:tc>
              <w:tc>
                <w:tcPr>
                  <w:tcW w:w="1015" w:type="pct"/>
                  <w:gridSpan w:val="2"/>
                  <w:tcBorders>
                    <w:left w:val="single" w:color="auto" w:sz="4" w:space="0"/>
                  </w:tcBorders>
                  <w:vAlign w:val="center"/>
                </w:tcPr>
                <w:p w14:paraId="59ACFF47">
                  <w:pPr>
                    <w:widowControl/>
                    <w:overflowPunct w:val="0"/>
                    <w:adjustRightInd w:val="0"/>
                    <w:snapToGrid w:val="0"/>
                    <w:spacing w:line="300" w:lineRule="exact"/>
                    <w:jc w:val="center"/>
                    <w:rPr>
                      <w:rFonts w:cs="宋体"/>
                      <w:kern w:val="0"/>
                      <w:szCs w:val="21"/>
                    </w:rPr>
                  </w:pPr>
                  <w:r>
                    <w:rPr>
                      <w:rFonts w:hint="eastAsia" w:cs="宋体"/>
                      <w:kern w:val="0"/>
                      <w:szCs w:val="21"/>
                    </w:rPr>
                    <w:t>生态</w:t>
                  </w:r>
                </w:p>
              </w:tc>
              <w:tc>
                <w:tcPr>
                  <w:tcW w:w="3610" w:type="pct"/>
                  <w:vAlign w:val="center"/>
                </w:tcPr>
                <w:p w14:paraId="5CCA3E74">
                  <w:pPr>
                    <w:widowControl/>
                    <w:overflowPunct w:val="0"/>
                    <w:adjustRightInd w:val="0"/>
                    <w:snapToGrid w:val="0"/>
                    <w:spacing w:line="300" w:lineRule="exact"/>
                    <w:rPr>
                      <w:rFonts w:cs="宋体"/>
                      <w:szCs w:val="21"/>
                    </w:rPr>
                  </w:pPr>
                  <w:r>
                    <w:rPr>
                      <w:rFonts w:hint="eastAsia" w:cs="宋体"/>
                      <w:kern w:val="0"/>
                      <w:szCs w:val="21"/>
                    </w:rPr>
                    <w:t>施工安排在非汛期，</w:t>
                  </w:r>
                  <w:r>
                    <w:t>优化布局，</w:t>
                  </w:r>
                  <w:r>
                    <w:rPr>
                      <w:rFonts w:hint="eastAsia" w:cs="宋体"/>
                      <w:szCs w:val="21"/>
                    </w:rPr>
                    <w:t>控制施工范围；采用分段施工、分段防护方式，</w:t>
                  </w:r>
                  <w:r>
                    <w:t>合理安排土石方开挖的时期，避开大雨天气，开挖土方及时回填</w:t>
                  </w:r>
                  <w:r>
                    <w:rPr>
                      <w:rFonts w:hint="eastAsia" w:cs="宋体"/>
                      <w:szCs w:val="21"/>
                    </w:rPr>
                    <w:t>；</w:t>
                  </w:r>
                  <w:r>
                    <w:t>临时堆料进行拦挡、覆盖；</w:t>
                  </w:r>
                  <w:r>
                    <w:rPr>
                      <w:rFonts w:hint="eastAsia" w:cs="宋体"/>
                      <w:kern w:val="0"/>
                      <w:szCs w:val="21"/>
                    </w:rPr>
                    <w:t>施工临时占地待施工结束后及时清理平整。</w:t>
                  </w:r>
                </w:p>
              </w:tc>
            </w:tr>
          </w:tbl>
          <w:p w14:paraId="25E098A7">
            <w:pPr>
              <w:pStyle w:val="35"/>
              <w:spacing w:line="500" w:lineRule="exact"/>
              <w:rPr>
                <w:rFonts w:hint="default"/>
              </w:rPr>
            </w:pPr>
          </w:p>
        </w:tc>
      </w:tr>
      <w:tr w14:paraId="304F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trPr>
        <w:tc>
          <w:tcPr>
            <w:tcW w:w="390" w:type="pct"/>
            <w:vAlign w:val="center"/>
          </w:tcPr>
          <w:p w14:paraId="1BE58B00">
            <w:pPr>
              <w:snapToGrid w:val="0"/>
              <w:jc w:val="center"/>
              <w:rPr>
                <w:rFonts w:cs="宋体"/>
                <w:sz w:val="24"/>
              </w:rPr>
            </w:pPr>
            <w:r>
              <w:rPr>
                <w:rFonts w:hint="eastAsia" w:cs="宋体"/>
                <w:sz w:val="24"/>
              </w:rPr>
              <w:t>其他</w:t>
            </w:r>
          </w:p>
        </w:tc>
        <w:tc>
          <w:tcPr>
            <w:tcW w:w="4610" w:type="pct"/>
            <w:vAlign w:val="center"/>
          </w:tcPr>
          <w:p w14:paraId="658EBF56">
            <w:pPr>
              <w:pStyle w:val="22"/>
              <w:jc w:val="center"/>
              <w:rPr>
                <w:rFonts w:cs="宋体"/>
                <w:sz w:val="24"/>
              </w:rPr>
            </w:pPr>
            <w:r>
              <w:rPr>
                <w:rFonts w:hint="eastAsia" w:cs="宋体"/>
                <w:sz w:val="24"/>
              </w:rPr>
              <w:t>/</w:t>
            </w:r>
          </w:p>
        </w:tc>
      </w:tr>
    </w:tbl>
    <w:p w14:paraId="6740CF48">
      <w:pPr>
        <w:sectPr>
          <w:pgSz w:w="11906" w:h="16838"/>
          <w:pgMar w:top="1417" w:right="1587" w:bottom="1417" w:left="1587" w:header="851" w:footer="992" w:gutter="0"/>
          <w:cols w:space="425" w:num="1"/>
          <w:docGrid w:type="lines" w:linePitch="312" w:charSpace="0"/>
        </w:sectPr>
      </w:pPr>
    </w:p>
    <w:p w14:paraId="3C5CE395">
      <w:pPr>
        <w:pStyle w:val="2"/>
        <w:snapToGrid w:val="0"/>
        <w:spacing w:before="0" w:after="0" w:line="360" w:lineRule="auto"/>
        <w:jc w:val="center"/>
        <w:rPr>
          <w:rFonts w:eastAsia="黑体" w:cs="黑体"/>
          <w:b w:val="0"/>
          <w:bCs/>
          <w:sz w:val="30"/>
          <w:szCs w:val="30"/>
        </w:rPr>
      </w:pPr>
      <w:bookmarkStart w:id="2" w:name="_Toc239674213"/>
      <w:r>
        <w:rPr>
          <w:rFonts w:hint="eastAsia" w:eastAsia="黑体" w:cs="黑体"/>
          <w:b w:val="0"/>
          <w:bCs/>
          <w:sz w:val="30"/>
          <w:szCs w:val="30"/>
        </w:rPr>
        <w:t>三、生态环境现状、保护目标及评价标准</w:t>
      </w:r>
      <w:bookmarkEnd w:id="2"/>
    </w:p>
    <w:tbl>
      <w:tblPr>
        <w:tblStyle w:val="28"/>
        <w:tblW w:w="487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054"/>
      </w:tblGrid>
      <w:tr w14:paraId="546FE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 w:type="pct"/>
            <w:vAlign w:val="center"/>
          </w:tcPr>
          <w:p w14:paraId="22FA0B46">
            <w:pPr>
              <w:snapToGrid w:val="0"/>
              <w:spacing w:line="500" w:lineRule="exact"/>
              <w:jc w:val="center"/>
              <w:rPr>
                <w:rFonts w:cs="宋体"/>
                <w:sz w:val="24"/>
              </w:rPr>
            </w:pPr>
            <w:r>
              <w:rPr>
                <w:rFonts w:hint="eastAsia" w:cs="宋体"/>
                <w:sz w:val="24"/>
              </w:rPr>
              <w:t>生态环境保护目标</w:t>
            </w:r>
          </w:p>
        </w:tc>
        <w:tc>
          <w:tcPr>
            <w:tcW w:w="4622" w:type="pct"/>
          </w:tcPr>
          <w:p w14:paraId="29F9BFC6">
            <w:pPr>
              <w:snapToGrid w:val="0"/>
              <w:spacing w:line="360" w:lineRule="auto"/>
              <w:ind w:firstLine="480" w:firstLineChars="200"/>
              <w:rPr>
                <w:sz w:val="24"/>
              </w:rPr>
            </w:pPr>
            <w:r>
              <w:rPr>
                <w:sz w:val="24"/>
              </w:rPr>
              <w:t>根据《建设项目环境影响报告表编制技术指南（生态影响类）（试行）》，按照环境影响评价相关技术导则要求确定评价范围并识别环境保护目标。根据相关导则，环境保护目标识别如下表所示。</w:t>
            </w:r>
          </w:p>
          <w:p w14:paraId="6D3ED057">
            <w:pPr>
              <w:pStyle w:val="38"/>
              <w:keepNext/>
              <w:spacing w:before="31" w:after="31"/>
              <w:jc w:val="center"/>
              <w:rPr>
                <w:rFonts w:hint="eastAsia" w:ascii="黑体" w:hAnsi="黑体" w:eastAsia="黑体" w:cs="黑体"/>
                <w:sz w:val="24"/>
                <w:szCs w:val="24"/>
              </w:rPr>
            </w:pPr>
            <w:r>
              <w:rPr>
                <w:rFonts w:ascii="黑体" w:hAnsi="黑体" w:eastAsia="黑体" w:cs="黑体"/>
                <w:sz w:val="24"/>
                <w:szCs w:val="24"/>
              </w:rPr>
              <w:t>表</w:t>
            </w:r>
            <w:r>
              <w:rPr>
                <w:rFonts w:hint="eastAsia" w:ascii="黑体" w:hAnsi="黑体" w:eastAsia="黑体" w:cs="黑体"/>
                <w:sz w:val="24"/>
                <w:szCs w:val="24"/>
              </w:rPr>
              <w:t xml:space="preserve">3-5  </w:t>
            </w:r>
            <w:r>
              <w:rPr>
                <w:rFonts w:ascii="黑体" w:hAnsi="黑体" w:eastAsia="黑体" w:cs="黑体"/>
                <w:sz w:val="24"/>
                <w:szCs w:val="24"/>
              </w:rPr>
              <w:t xml:space="preserve">  环境保护目标识别</w:t>
            </w:r>
          </w:p>
          <w:tbl>
            <w:tblPr>
              <w:tblStyle w:val="27"/>
              <w:tblW w:w="7838" w:type="dxa"/>
              <w:tblInd w:w="1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937"/>
              <w:gridCol w:w="4701"/>
              <w:gridCol w:w="1311"/>
            </w:tblGrid>
            <w:tr w14:paraId="22A558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567" w:type="pct"/>
                  <w:tcBorders>
                    <w:tl2br w:val="nil"/>
                    <w:tr2bl w:val="nil"/>
                  </w:tcBorders>
                  <w:vAlign w:val="center"/>
                </w:tcPr>
                <w:p w14:paraId="1DCB8967">
                  <w:pPr>
                    <w:pStyle w:val="80"/>
                    <w:adjustRightInd/>
                    <w:spacing w:line="240" w:lineRule="auto"/>
                    <w:rPr>
                      <w:rFonts w:ascii="Times New Roman"/>
                    </w:rPr>
                  </w:pPr>
                  <w:r>
                    <w:rPr>
                      <w:rFonts w:ascii="Times New Roman"/>
                    </w:rPr>
                    <w:t>要素</w:t>
                  </w:r>
                </w:p>
              </w:tc>
              <w:tc>
                <w:tcPr>
                  <w:tcW w:w="3597" w:type="pct"/>
                  <w:gridSpan w:val="2"/>
                  <w:tcBorders>
                    <w:tl2br w:val="nil"/>
                    <w:tr2bl w:val="nil"/>
                  </w:tcBorders>
                  <w:vAlign w:val="center"/>
                </w:tcPr>
                <w:p w14:paraId="2462E832">
                  <w:pPr>
                    <w:pStyle w:val="80"/>
                    <w:adjustRightInd/>
                    <w:spacing w:line="240" w:lineRule="auto"/>
                    <w:rPr>
                      <w:rFonts w:ascii="Times New Roman"/>
                    </w:rPr>
                  </w:pPr>
                  <w:r>
                    <w:rPr>
                      <w:rFonts w:ascii="Times New Roman"/>
                    </w:rPr>
                    <w:t>项目情况</w:t>
                  </w:r>
                </w:p>
              </w:tc>
              <w:tc>
                <w:tcPr>
                  <w:tcW w:w="836" w:type="pct"/>
                  <w:tcBorders>
                    <w:tl2br w:val="nil"/>
                    <w:tr2bl w:val="nil"/>
                  </w:tcBorders>
                  <w:vAlign w:val="center"/>
                </w:tcPr>
                <w:p w14:paraId="01728D5A">
                  <w:pPr>
                    <w:pStyle w:val="80"/>
                    <w:adjustRightInd/>
                    <w:spacing w:line="240" w:lineRule="auto"/>
                    <w:rPr>
                      <w:rFonts w:ascii="Times New Roman"/>
                    </w:rPr>
                  </w:pPr>
                  <w:r>
                    <w:rPr>
                      <w:rFonts w:ascii="Times New Roman"/>
                    </w:rPr>
                    <w:t>相关导则</w:t>
                  </w:r>
                </w:p>
              </w:tc>
            </w:tr>
            <w:tr w14:paraId="176BAC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67" w:type="pct"/>
                  <w:tcBorders>
                    <w:tl2br w:val="nil"/>
                    <w:tr2bl w:val="nil"/>
                  </w:tcBorders>
                  <w:vAlign w:val="center"/>
                </w:tcPr>
                <w:p w14:paraId="3C36EBE3">
                  <w:pPr>
                    <w:pStyle w:val="80"/>
                    <w:adjustRightInd/>
                    <w:spacing w:line="240" w:lineRule="auto"/>
                    <w:rPr>
                      <w:rFonts w:ascii="Times New Roman"/>
                    </w:rPr>
                  </w:pPr>
                  <w:r>
                    <w:rPr>
                      <w:rFonts w:ascii="Times New Roman"/>
                    </w:rPr>
                    <w:t>大气</w:t>
                  </w:r>
                </w:p>
              </w:tc>
              <w:tc>
                <w:tcPr>
                  <w:tcW w:w="3597" w:type="pct"/>
                  <w:gridSpan w:val="2"/>
                  <w:tcBorders>
                    <w:tl2br w:val="nil"/>
                    <w:tr2bl w:val="nil"/>
                  </w:tcBorders>
                  <w:vAlign w:val="center"/>
                </w:tcPr>
                <w:p w14:paraId="22042CA2">
                  <w:pPr>
                    <w:pStyle w:val="80"/>
                    <w:adjustRightInd/>
                    <w:spacing w:line="240" w:lineRule="auto"/>
                    <w:rPr>
                      <w:rFonts w:ascii="Times New Roman"/>
                    </w:rPr>
                  </w:pPr>
                  <w:r>
                    <w:rPr>
                      <w:rFonts w:ascii="Times New Roman"/>
                    </w:rPr>
                    <w:t>项目仅有施工期，评价等级三级，不设大气评价范围，项目占地范围无大气环境保护目标</w:t>
                  </w:r>
                </w:p>
              </w:tc>
              <w:tc>
                <w:tcPr>
                  <w:tcW w:w="836" w:type="pct"/>
                  <w:tcBorders>
                    <w:tl2br w:val="nil"/>
                    <w:tr2bl w:val="nil"/>
                  </w:tcBorders>
                  <w:vAlign w:val="center"/>
                </w:tcPr>
                <w:p w14:paraId="153117D3">
                  <w:pPr>
                    <w:pStyle w:val="80"/>
                    <w:adjustRightInd/>
                    <w:spacing w:line="240" w:lineRule="auto"/>
                    <w:rPr>
                      <w:rFonts w:ascii="Times New Roman"/>
                    </w:rPr>
                  </w:pPr>
                  <w:r>
                    <w:rPr>
                      <w:rFonts w:ascii="Times New Roman"/>
                    </w:rPr>
                    <w:t>HJ 2.2-2018</w:t>
                  </w:r>
                </w:p>
              </w:tc>
            </w:tr>
            <w:tr w14:paraId="1C3C83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567" w:type="pct"/>
                  <w:tcBorders>
                    <w:tl2br w:val="nil"/>
                    <w:tr2bl w:val="nil"/>
                  </w:tcBorders>
                  <w:vAlign w:val="center"/>
                </w:tcPr>
                <w:p w14:paraId="18C0DDF5">
                  <w:pPr>
                    <w:pStyle w:val="80"/>
                    <w:adjustRightInd/>
                    <w:spacing w:line="240" w:lineRule="auto"/>
                    <w:rPr>
                      <w:rFonts w:ascii="Times New Roman"/>
                    </w:rPr>
                  </w:pPr>
                  <w:r>
                    <w:rPr>
                      <w:rFonts w:ascii="Times New Roman"/>
                    </w:rPr>
                    <w:t>地表水</w:t>
                  </w:r>
                </w:p>
              </w:tc>
              <w:tc>
                <w:tcPr>
                  <w:tcW w:w="3597" w:type="pct"/>
                  <w:gridSpan w:val="2"/>
                  <w:tcBorders>
                    <w:tl2br w:val="nil"/>
                    <w:tr2bl w:val="nil"/>
                  </w:tcBorders>
                  <w:vAlign w:val="center"/>
                </w:tcPr>
                <w:p w14:paraId="3A0FB5E1">
                  <w:pPr>
                    <w:pStyle w:val="80"/>
                    <w:adjustRightInd/>
                    <w:spacing w:line="240" w:lineRule="auto"/>
                    <w:rPr>
                      <w:rFonts w:ascii="Times New Roman"/>
                    </w:rPr>
                  </w:pPr>
                  <w:r>
                    <w:rPr>
                      <w:rFonts w:ascii="Times New Roman"/>
                    </w:rPr>
                    <w:t>评价等</w:t>
                  </w:r>
                  <w:r>
                    <w:rPr>
                      <w:rFonts w:hint="eastAsia" w:ascii="Times New Roman"/>
                      <w:lang w:eastAsia="zh-CN"/>
                    </w:rPr>
                    <w:t>级为</w:t>
                  </w:r>
                  <w:r>
                    <w:rPr>
                      <w:rFonts w:ascii="Times New Roman"/>
                    </w:rPr>
                    <w:t>三级B，不设评价范围，地表水风险保护目标为：工程涉及河段</w:t>
                  </w:r>
                </w:p>
              </w:tc>
              <w:tc>
                <w:tcPr>
                  <w:tcW w:w="836" w:type="pct"/>
                  <w:tcBorders>
                    <w:tl2br w:val="nil"/>
                    <w:tr2bl w:val="nil"/>
                  </w:tcBorders>
                  <w:vAlign w:val="center"/>
                </w:tcPr>
                <w:p w14:paraId="07C14339">
                  <w:pPr>
                    <w:pStyle w:val="80"/>
                    <w:adjustRightInd/>
                    <w:spacing w:line="240" w:lineRule="auto"/>
                    <w:rPr>
                      <w:rFonts w:ascii="Times New Roman"/>
                    </w:rPr>
                  </w:pPr>
                  <w:r>
                    <w:rPr>
                      <w:rFonts w:ascii="Times New Roman"/>
                    </w:rPr>
                    <w:t>HJ 2.3-2018</w:t>
                  </w:r>
                </w:p>
              </w:tc>
            </w:tr>
            <w:tr w14:paraId="3EAE84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567" w:type="pct"/>
                  <w:tcBorders>
                    <w:tl2br w:val="nil"/>
                    <w:tr2bl w:val="nil"/>
                  </w:tcBorders>
                  <w:vAlign w:val="center"/>
                </w:tcPr>
                <w:p w14:paraId="589EDB7D">
                  <w:pPr>
                    <w:pStyle w:val="80"/>
                    <w:adjustRightInd/>
                    <w:spacing w:line="240" w:lineRule="auto"/>
                    <w:rPr>
                      <w:rFonts w:ascii="Times New Roman"/>
                    </w:rPr>
                  </w:pPr>
                  <w:r>
                    <w:rPr>
                      <w:rFonts w:ascii="Times New Roman"/>
                    </w:rPr>
                    <w:t>地下水</w:t>
                  </w:r>
                </w:p>
              </w:tc>
              <w:tc>
                <w:tcPr>
                  <w:tcW w:w="3597" w:type="pct"/>
                  <w:gridSpan w:val="2"/>
                  <w:tcBorders>
                    <w:tl2br w:val="nil"/>
                    <w:tr2bl w:val="nil"/>
                  </w:tcBorders>
                  <w:vAlign w:val="center"/>
                </w:tcPr>
                <w:p w14:paraId="61573EEC">
                  <w:pPr>
                    <w:pStyle w:val="80"/>
                    <w:adjustRightInd/>
                    <w:spacing w:line="240" w:lineRule="auto"/>
                    <w:rPr>
                      <w:rFonts w:ascii="Times New Roman"/>
                    </w:rPr>
                  </w:pPr>
                  <w:r>
                    <w:rPr>
                      <w:rFonts w:ascii="Times New Roman"/>
                    </w:rPr>
                    <w:t>Ⅳ类项目，不设评价范围，</w:t>
                  </w:r>
                  <w:r>
                    <w:rPr>
                      <w:rFonts w:hint="eastAsia" w:ascii="Times New Roman"/>
                    </w:rPr>
                    <w:t>地下水</w:t>
                  </w:r>
                  <w:r>
                    <w:rPr>
                      <w:rFonts w:ascii="Times New Roman"/>
                    </w:rPr>
                    <w:t>环境保护目标</w:t>
                  </w:r>
                  <w:r>
                    <w:rPr>
                      <w:rFonts w:hint="eastAsia" w:ascii="Times New Roman"/>
                    </w:rPr>
                    <w:t>为</w:t>
                  </w:r>
                  <w:r>
                    <w:rPr>
                      <w:rFonts w:ascii="Times New Roman"/>
                    </w:rPr>
                    <w:t>鄯善县坎尔其水库水源地一级、二级水源保护区</w:t>
                  </w:r>
                </w:p>
              </w:tc>
              <w:tc>
                <w:tcPr>
                  <w:tcW w:w="836" w:type="pct"/>
                  <w:tcBorders>
                    <w:tl2br w:val="nil"/>
                    <w:tr2bl w:val="nil"/>
                  </w:tcBorders>
                  <w:vAlign w:val="center"/>
                </w:tcPr>
                <w:p w14:paraId="6B15CEE1">
                  <w:pPr>
                    <w:pStyle w:val="80"/>
                    <w:adjustRightInd/>
                    <w:spacing w:line="240" w:lineRule="auto"/>
                    <w:rPr>
                      <w:rFonts w:ascii="Times New Roman"/>
                    </w:rPr>
                  </w:pPr>
                  <w:r>
                    <w:rPr>
                      <w:rFonts w:ascii="Times New Roman"/>
                    </w:rPr>
                    <w:t>HJ 610-2016</w:t>
                  </w:r>
                </w:p>
              </w:tc>
            </w:tr>
            <w:tr w14:paraId="7C3119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567" w:type="pct"/>
                  <w:tcBorders>
                    <w:tl2br w:val="nil"/>
                    <w:tr2bl w:val="nil"/>
                  </w:tcBorders>
                  <w:vAlign w:val="center"/>
                </w:tcPr>
                <w:p w14:paraId="4812791C">
                  <w:pPr>
                    <w:pStyle w:val="80"/>
                    <w:adjustRightInd/>
                    <w:spacing w:line="240" w:lineRule="auto"/>
                    <w:rPr>
                      <w:rFonts w:ascii="Times New Roman"/>
                    </w:rPr>
                  </w:pPr>
                  <w:r>
                    <w:rPr>
                      <w:rFonts w:ascii="Times New Roman"/>
                    </w:rPr>
                    <w:t>声环境</w:t>
                  </w:r>
                </w:p>
              </w:tc>
              <w:tc>
                <w:tcPr>
                  <w:tcW w:w="3597" w:type="pct"/>
                  <w:gridSpan w:val="2"/>
                  <w:tcBorders>
                    <w:tl2br w:val="nil"/>
                    <w:tr2bl w:val="nil"/>
                  </w:tcBorders>
                  <w:vAlign w:val="center"/>
                </w:tcPr>
                <w:p w14:paraId="07BD062F">
                  <w:pPr>
                    <w:pStyle w:val="80"/>
                    <w:adjustRightInd/>
                    <w:spacing w:line="240" w:lineRule="auto"/>
                    <w:rPr>
                      <w:rFonts w:ascii="Times New Roman"/>
                    </w:rPr>
                  </w:pPr>
                  <w:r>
                    <w:rPr>
                      <w:rFonts w:ascii="Times New Roman"/>
                    </w:rPr>
                    <w:t>项目位于2类声环境功能区，无运营期，评价等级为二级，周边200m范围内无环境保护目标</w:t>
                  </w:r>
                </w:p>
              </w:tc>
              <w:tc>
                <w:tcPr>
                  <w:tcW w:w="836" w:type="pct"/>
                  <w:tcBorders>
                    <w:tl2br w:val="nil"/>
                    <w:tr2bl w:val="nil"/>
                  </w:tcBorders>
                  <w:vAlign w:val="center"/>
                </w:tcPr>
                <w:p w14:paraId="79A2F8D6">
                  <w:pPr>
                    <w:pStyle w:val="80"/>
                    <w:adjustRightInd/>
                    <w:spacing w:line="240" w:lineRule="auto"/>
                    <w:rPr>
                      <w:rFonts w:ascii="Times New Roman"/>
                    </w:rPr>
                  </w:pPr>
                  <w:r>
                    <w:rPr>
                      <w:rFonts w:ascii="Times New Roman"/>
                    </w:rPr>
                    <w:t>HJ 2.4-2021</w:t>
                  </w:r>
                </w:p>
              </w:tc>
            </w:tr>
            <w:tr w14:paraId="0A207D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567" w:type="pct"/>
                  <w:tcBorders>
                    <w:tl2br w:val="nil"/>
                    <w:tr2bl w:val="nil"/>
                  </w:tcBorders>
                  <w:vAlign w:val="center"/>
                </w:tcPr>
                <w:p w14:paraId="02B336CE">
                  <w:pPr>
                    <w:pStyle w:val="80"/>
                    <w:adjustRightInd/>
                    <w:spacing w:line="240" w:lineRule="auto"/>
                    <w:rPr>
                      <w:rFonts w:ascii="Times New Roman"/>
                    </w:rPr>
                  </w:pPr>
                  <w:r>
                    <w:rPr>
                      <w:rFonts w:ascii="Times New Roman"/>
                    </w:rPr>
                    <w:t>土壤</w:t>
                  </w:r>
                </w:p>
              </w:tc>
              <w:tc>
                <w:tcPr>
                  <w:tcW w:w="3597" w:type="pct"/>
                  <w:gridSpan w:val="2"/>
                  <w:tcBorders>
                    <w:tl2br w:val="nil"/>
                    <w:tr2bl w:val="nil"/>
                  </w:tcBorders>
                  <w:vAlign w:val="center"/>
                </w:tcPr>
                <w:p w14:paraId="304A236D">
                  <w:pPr>
                    <w:pStyle w:val="80"/>
                    <w:adjustRightInd/>
                    <w:spacing w:line="240" w:lineRule="auto"/>
                    <w:rPr>
                      <w:rFonts w:ascii="Times New Roman"/>
                    </w:rPr>
                  </w:pPr>
                  <w:r>
                    <w:rPr>
                      <w:rFonts w:ascii="Times New Roman"/>
                    </w:rPr>
                    <w:fldChar w:fldCharType="begin"/>
                  </w:r>
                  <w:r>
                    <w:rPr>
                      <w:rFonts w:ascii="Times New Roman"/>
                    </w:rPr>
                    <w:instrText xml:space="preserve"> = 3 \* ROMAN \* MERGEFORMAT </w:instrText>
                  </w:r>
                  <w:r>
                    <w:rPr>
                      <w:rFonts w:ascii="Times New Roman"/>
                    </w:rPr>
                    <w:fldChar w:fldCharType="separate"/>
                  </w:r>
                  <w:r>
                    <w:rPr>
                      <w:rFonts w:hint="eastAsia" w:ascii="Times New Roman"/>
                    </w:rPr>
                    <w:t>Ⅲ</w:t>
                  </w:r>
                  <w:r>
                    <w:rPr>
                      <w:rFonts w:ascii="Times New Roman"/>
                    </w:rPr>
                    <w:fldChar w:fldCharType="end"/>
                  </w:r>
                  <w:r>
                    <w:rPr>
                      <w:rFonts w:ascii="Times New Roman"/>
                    </w:rPr>
                    <w:t>类项目，建设项目所在地土壤环境敏感程度为不敏感，不设评价等级和评价范围，无环境保护目标</w:t>
                  </w:r>
                </w:p>
              </w:tc>
              <w:tc>
                <w:tcPr>
                  <w:tcW w:w="836" w:type="pct"/>
                  <w:tcBorders>
                    <w:tl2br w:val="nil"/>
                    <w:tr2bl w:val="nil"/>
                  </w:tcBorders>
                  <w:vAlign w:val="center"/>
                </w:tcPr>
                <w:p w14:paraId="273DD4FC">
                  <w:pPr>
                    <w:pStyle w:val="80"/>
                    <w:adjustRightInd/>
                    <w:spacing w:line="240" w:lineRule="auto"/>
                    <w:rPr>
                      <w:rFonts w:ascii="Times New Roman"/>
                    </w:rPr>
                  </w:pPr>
                  <w:r>
                    <w:rPr>
                      <w:rFonts w:ascii="Times New Roman"/>
                    </w:rPr>
                    <w:t>HJ 964-2018</w:t>
                  </w:r>
                </w:p>
              </w:tc>
            </w:tr>
            <w:tr w14:paraId="44D3EB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67" w:type="pct"/>
                  <w:tcBorders>
                    <w:tl2br w:val="nil"/>
                    <w:tr2bl w:val="nil"/>
                  </w:tcBorders>
                  <w:vAlign w:val="center"/>
                </w:tcPr>
                <w:p w14:paraId="1B7B4296">
                  <w:pPr>
                    <w:pStyle w:val="80"/>
                    <w:adjustRightInd/>
                    <w:spacing w:line="240" w:lineRule="auto"/>
                    <w:rPr>
                      <w:rFonts w:ascii="Times New Roman"/>
                    </w:rPr>
                  </w:pPr>
                  <w:r>
                    <w:rPr>
                      <w:rFonts w:ascii="Times New Roman"/>
                    </w:rPr>
                    <w:t>生态</w:t>
                  </w:r>
                </w:p>
              </w:tc>
              <w:tc>
                <w:tcPr>
                  <w:tcW w:w="3597" w:type="pct"/>
                  <w:gridSpan w:val="2"/>
                  <w:tcBorders>
                    <w:tl2br w:val="nil"/>
                    <w:tr2bl w:val="nil"/>
                  </w:tcBorders>
                  <w:vAlign w:val="center"/>
                </w:tcPr>
                <w:p w14:paraId="62B638FA">
                  <w:pPr>
                    <w:pStyle w:val="80"/>
                    <w:adjustRightInd/>
                    <w:spacing w:line="240" w:lineRule="auto"/>
                    <w:rPr>
                      <w:rFonts w:ascii="Times New Roman"/>
                    </w:rPr>
                  </w:pPr>
                  <w:r>
                    <w:rPr>
                      <w:rFonts w:ascii="Times New Roman"/>
                    </w:rPr>
                    <w:t>生态评价等级为三级，评价范围为占地范围及外扩50m范围，生态保护目标</w:t>
                  </w:r>
                  <w:r>
                    <w:rPr>
                      <w:rFonts w:hint="eastAsia" w:ascii="Times New Roman"/>
                    </w:rPr>
                    <w:t>为</w:t>
                  </w:r>
                  <w:r>
                    <w:rPr>
                      <w:rFonts w:ascii="Times New Roman"/>
                    </w:rPr>
                    <w:t>鄯善县天山水源涵养与</w:t>
                  </w:r>
                  <w:r>
                    <w:rPr>
                      <w:rFonts w:hint="eastAsia" w:ascii="Times New Roman"/>
                      <w:lang w:eastAsia="zh-CN"/>
                    </w:rPr>
                    <w:t>生物多样性保护</w:t>
                  </w:r>
                  <w:r>
                    <w:rPr>
                      <w:rFonts w:ascii="Times New Roman"/>
                    </w:rPr>
                    <w:t>生态保护红线区</w:t>
                  </w:r>
                </w:p>
              </w:tc>
              <w:tc>
                <w:tcPr>
                  <w:tcW w:w="836" w:type="pct"/>
                  <w:tcBorders>
                    <w:tl2br w:val="nil"/>
                    <w:tr2bl w:val="nil"/>
                  </w:tcBorders>
                  <w:vAlign w:val="center"/>
                </w:tcPr>
                <w:p w14:paraId="03B4A96A">
                  <w:pPr>
                    <w:pStyle w:val="80"/>
                    <w:adjustRightInd/>
                    <w:spacing w:line="240" w:lineRule="auto"/>
                    <w:rPr>
                      <w:rFonts w:ascii="Times New Roman"/>
                    </w:rPr>
                  </w:pPr>
                  <w:r>
                    <w:rPr>
                      <w:rFonts w:ascii="Times New Roman"/>
                    </w:rPr>
                    <w:t>HJ19-2022</w:t>
                  </w:r>
                </w:p>
              </w:tc>
            </w:tr>
            <w:tr w14:paraId="3BEAEB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567" w:type="pct"/>
                  <w:vMerge w:val="restart"/>
                  <w:tcBorders>
                    <w:tl2br w:val="nil"/>
                    <w:tr2bl w:val="nil"/>
                  </w:tcBorders>
                  <w:vAlign w:val="center"/>
                </w:tcPr>
                <w:p w14:paraId="1108E17A">
                  <w:pPr>
                    <w:pStyle w:val="80"/>
                    <w:adjustRightInd/>
                    <w:spacing w:line="240" w:lineRule="auto"/>
                    <w:rPr>
                      <w:rFonts w:ascii="Times New Roman"/>
                    </w:rPr>
                  </w:pPr>
                  <w:r>
                    <w:rPr>
                      <w:rFonts w:ascii="Times New Roman"/>
                    </w:rPr>
                    <w:t>环境</w:t>
                  </w:r>
                </w:p>
                <w:p w14:paraId="1CBEB0EE">
                  <w:pPr>
                    <w:pStyle w:val="80"/>
                    <w:adjustRightInd/>
                    <w:spacing w:line="240" w:lineRule="auto"/>
                    <w:rPr>
                      <w:rFonts w:ascii="Times New Roman"/>
                    </w:rPr>
                  </w:pPr>
                  <w:r>
                    <w:rPr>
                      <w:rFonts w:ascii="Times New Roman"/>
                    </w:rPr>
                    <w:t>风险</w:t>
                  </w:r>
                </w:p>
              </w:tc>
              <w:tc>
                <w:tcPr>
                  <w:tcW w:w="598" w:type="pct"/>
                  <w:tcBorders>
                    <w:tl2br w:val="nil"/>
                    <w:tr2bl w:val="nil"/>
                  </w:tcBorders>
                  <w:vAlign w:val="center"/>
                </w:tcPr>
                <w:p w14:paraId="5A96695C">
                  <w:pPr>
                    <w:pStyle w:val="80"/>
                    <w:adjustRightInd/>
                    <w:spacing w:line="240" w:lineRule="auto"/>
                    <w:rPr>
                      <w:rFonts w:ascii="Times New Roman"/>
                      <w:szCs w:val="21"/>
                    </w:rPr>
                  </w:pPr>
                  <w:r>
                    <w:rPr>
                      <w:rFonts w:ascii="Times New Roman"/>
                      <w:szCs w:val="21"/>
                    </w:rPr>
                    <w:t>大气</w:t>
                  </w:r>
                </w:p>
              </w:tc>
              <w:tc>
                <w:tcPr>
                  <w:tcW w:w="2999" w:type="pct"/>
                  <w:tcBorders>
                    <w:tl2br w:val="nil"/>
                    <w:tr2bl w:val="nil"/>
                  </w:tcBorders>
                  <w:vAlign w:val="center"/>
                </w:tcPr>
                <w:p w14:paraId="5754D286">
                  <w:pPr>
                    <w:pStyle w:val="80"/>
                    <w:adjustRightInd/>
                    <w:spacing w:line="240" w:lineRule="auto"/>
                    <w:rPr>
                      <w:rFonts w:ascii="Times New Roman"/>
                    </w:rPr>
                  </w:pPr>
                  <w:r>
                    <w:rPr>
                      <w:rFonts w:ascii="Times New Roman"/>
                    </w:rPr>
                    <w:t>本项目不设大气评价范围，无大气风险目标</w:t>
                  </w:r>
                </w:p>
              </w:tc>
              <w:tc>
                <w:tcPr>
                  <w:tcW w:w="836" w:type="pct"/>
                  <w:vMerge w:val="restart"/>
                  <w:tcBorders>
                    <w:tl2br w:val="nil"/>
                    <w:tr2bl w:val="nil"/>
                  </w:tcBorders>
                  <w:vAlign w:val="center"/>
                </w:tcPr>
                <w:p w14:paraId="6C1D524B">
                  <w:pPr>
                    <w:pStyle w:val="80"/>
                    <w:adjustRightInd/>
                    <w:spacing w:line="240" w:lineRule="auto"/>
                    <w:rPr>
                      <w:rFonts w:ascii="Times New Roman"/>
                    </w:rPr>
                  </w:pPr>
                  <w:r>
                    <w:rPr>
                      <w:rFonts w:ascii="Times New Roman"/>
                    </w:rPr>
                    <w:t xml:space="preserve">HJ 169-2018 </w:t>
                  </w:r>
                </w:p>
              </w:tc>
            </w:tr>
            <w:tr w14:paraId="42D681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567" w:type="pct"/>
                  <w:vMerge w:val="continue"/>
                  <w:tcBorders>
                    <w:tl2br w:val="nil"/>
                    <w:tr2bl w:val="nil"/>
                  </w:tcBorders>
                  <w:vAlign w:val="center"/>
                </w:tcPr>
                <w:p w14:paraId="3E5968D7">
                  <w:pPr>
                    <w:pStyle w:val="80"/>
                    <w:adjustRightInd/>
                    <w:spacing w:line="240" w:lineRule="auto"/>
                    <w:rPr>
                      <w:rFonts w:ascii="Times New Roman"/>
                    </w:rPr>
                  </w:pPr>
                </w:p>
              </w:tc>
              <w:tc>
                <w:tcPr>
                  <w:tcW w:w="598" w:type="pct"/>
                  <w:tcBorders>
                    <w:tl2br w:val="nil"/>
                    <w:tr2bl w:val="nil"/>
                  </w:tcBorders>
                  <w:vAlign w:val="center"/>
                </w:tcPr>
                <w:p w14:paraId="0717C3B2">
                  <w:pPr>
                    <w:pStyle w:val="80"/>
                    <w:adjustRightInd/>
                    <w:spacing w:line="240" w:lineRule="auto"/>
                    <w:rPr>
                      <w:rFonts w:ascii="Times New Roman"/>
                      <w:szCs w:val="21"/>
                    </w:rPr>
                  </w:pPr>
                  <w:r>
                    <w:rPr>
                      <w:rFonts w:ascii="Times New Roman"/>
                      <w:szCs w:val="21"/>
                    </w:rPr>
                    <w:t>地表水</w:t>
                  </w:r>
                </w:p>
              </w:tc>
              <w:tc>
                <w:tcPr>
                  <w:tcW w:w="2999" w:type="pct"/>
                  <w:tcBorders>
                    <w:tl2br w:val="nil"/>
                    <w:tr2bl w:val="nil"/>
                  </w:tcBorders>
                  <w:vAlign w:val="center"/>
                </w:tcPr>
                <w:p w14:paraId="35BB30FF">
                  <w:pPr>
                    <w:pStyle w:val="80"/>
                    <w:adjustRightInd/>
                    <w:spacing w:line="240" w:lineRule="auto"/>
                    <w:rPr>
                      <w:rFonts w:ascii="Times New Roman"/>
                    </w:rPr>
                  </w:pPr>
                  <w:r>
                    <w:rPr>
                      <w:rFonts w:ascii="Times New Roman"/>
                    </w:rPr>
                    <w:t>地表水风险保护目标为：工程涉及河段</w:t>
                  </w:r>
                </w:p>
              </w:tc>
              <w:tc>
                <w:tcPr>
                  <w:tcW w:w="836" w:type="pct"/>
                  <w:vMerge w:val="continue"/>
                  <w:tcBorders>
                    <w:tl2br w:val="nil"/>
                    <w:tr2bl w:val="nil"/>
                  </w:tcBorders>
                  <w:vAlign w:val="center"/>
                </w:tcPr>
                <w:p w14:paraId="69537C5A">
                  <w:pPr>
                    <w:pStyle w:val="80"/>
                    <w:adjustRightInd/>
                    <w:spacing w:line="240" w:lineRule="auto"/>
                    <w:rPr>
                      <w:rFonts w:ascii="Times New Roman"/>
                    </w:rPr>
                  </w:pPr>
                </w:p>
              </w:tc>
            </w:tr>
            <w:tr w14:paraId="534A6B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567" w:type="pct"/>
                  <w:vMerge w:val="continue"/>
                  <w:tcBorders>
                    <w:tl2br w:val="nil"/>
                    <w:tr2bl w:val="nil"/>
                  </w:tcBorders>
                  <w:vAlign w:val="center"/>
                </w:tcPr>
                <w:p w14:paraId="3A23BEAD">
                  <w:pPr>
                    <w:pStyle w:val="80"/>
                    <w:adjustRightInd/>
                    <w:spacing w:line="240" w:lineRule="auto"/>
                    <w:rPr>
                      <w:rFonts w:ascii="Times New Roman"/>
                    </w:rPr>
                  </w:pPr>
                </w:p>
              </w:tc>
              <w:tc>
                <w:tcPr>
                  <w:tcW w:w="598" w:type="pct"/>
                  <w:tcBorders>
                    <w:tl2br w:val="nil"/>
                    <w:tr2bl w:val="nil"/>
                  </w:tcBorders>
                  <w:vAlign w:val="center"/>
                </w:tcPr>
                <w:p w14:paraId="0856D2D6">
                  <w:pPr>
                    <w:pStyle w:val="80"/>
                    <w:adjustRightInd/>
                    <w:spacing w:line="240" w:lineRule="auto"/>
                    <w:rPr>
                      <w:rFonts w:ascii="Times New Roman"/>
                    </w:rPr>
                  </w:pPr>
                  <w:r>
                    <w:rPr>
                      <w:rFonts w:ascii="Times New Roman"/>
                    </w:rPr>
                    <w:t>地下水</w:t>
                  </w:r>
                </w:p>
              </w:tc>
              <w:tc>
                <w:tcPr>
                  <w:tcW w:w="2999" w:type="pct"/>
                  <w:tcBorders>
                    <w:tl2br w:val="nil"/>
                    <w:tr2bl w:val="nil"/>
                  </w:tcBorders>
                  <w:vAlign w:val="center"/>
                </w:tcPr>
                <w:p w14:paraId="05E30302">
                  <w:pPr>
                    <w:pStyle w:val="80"/>
                    <w:adjustRightInd/>
                    <w:spacing w:line="240" w:lineRule="auto"/>
                    <w:rPr>
                      <w:rFonts w:ascii="Times New Roman"/>
                    </w:rPr>
                  </w:pPr>
                  <w:r>
                    <w:rPr>
                      <w:rFonts w:ascii="Times New Roman"/>
                    </w:rPr>
                    <w:t>不涉及地下水风险敏感区及较敏感区，</w:t>
                  </w:r>
                  <w:r>
                    <w:rPr>
                      <w:rFonts w:hint="eastAsia" w:ascii="Times New Roman"/>
                    </w:rPr>
                    <w:t>地下水</w:t>
                  </w:r>
                  <w:r>
                    <w:rPr>
                      <w:rFonts w:ascii="Times New Roman"/>
                    </w:rPr>
                    <w:t>环境保护目标</w:t>
                  </w:r>
                  <w:r>
                    <w:rPr>
                      <w:rFonts w:hint="eastAsia" w:ascii="Times New Roman"/>
                    </w:rPr>
                    <w:t>为</w:t>
                  </w:r>
                  <w:r>
                    <w:rPr>
                      <w:rFonts w:ascii="Times New Roman"/>
                    </w:rPr>
                    <w:t>鄯善县坎尔其水库水源地一级、二级水源保护区</w:t>
                  </w:r>
                </w:p>
              </w:tc>
              <w:tc>
                <w:tcPr>
                  <w:tcW w:w="836" w:type="pct"/>
                  <w:vMerge w:val="continue"/>
                  <w:tcBorders>
                    <w:tl2br w:val="nil"/>
                    <w:tr2bl w:val="nil"/>
                  </w:tcBorders>
                  <w:vAlign w:val="center"/>
                </w:tcPr>
                <w:p w14:paraId="70F71E18">
                  <w:pPr>
                    <w:pStyle w:val="80"/>
                    <w:adjustRightInd/>
                    <w:spacing w:line="240" w:lineRule="auto"/>
                    <w:rPr>
                      <w:rFonts w:ascii="Times New Roman"/>
                    </w:rPr>
                  </w:pPr>
                </w:p>
              </w:tc>
            </w:tr>
          </w:tbl>
          <w:p w14:paraId="691136CA">
            <w:pPr>
              <w:pStyle w:val="35"/>
              <w:ind w:firstLine="0" w:firstLineChars="0"/>
              <w:rPr>
                <w:rFonts w:hint="default"/>
              </w:rPr>
            </w:pPr>
          </w:p>
        </w:tc>
      </w:tr>
      <w:tr w14:paraId="5A389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 w:type="pct"/>
            <w:vAlign w:val="center"/>
          </w:tcPr>
          <w:p w14:paraId="633E65E1">
            <w:pPr>
              <w:snapToGrid w:val="0"/>
              <w:spacing w:line="500" w:lineRule="exact"/>
              <w:jc w:val="center"/>
              <w:rPr>
                <w:rFonts w:cs="宋体"/>
                <w:sz w:val="24"/>
              </w:rPr>
            </w:pPr>
            <w:r>
              <w:rPr>
                <w:rFonts w:hint="eastAsia" w:cs="宋体"/>
                <w:sz w:val="24"/>
              </w:rPr>
              <w:t>评价标准</w:t>
            </w:r>
          </w:p>
        </w:tc>
        <w:tc>
          <w:tcPr>
            <w:tcW w:w="4622" w:type="pct"/>
          </w:tcPr>
          <w:p w14:paraId="6BD74BF1">
            <w:pPr>
              <w:numPr>
                <w:ilvl w:val="0"/>
                <w:numId w:val="4"/>
              </w:numPr>
              <w:adjustRightInd w:val="0"/>
              <w:snapToGrid w:val="0"/>
              <w:spacing w:line="360" w:lineRule="auto"/>
              <w:ind w:firstLine="482" w:firstLineChars="200"/>
              <w:rPr>
                <w:b/>
                <w:bCs/>
                <w:sz w:val="24"/>
              </w:rPr>
            </w:pPr>
            <w:r>
              <w:rPr>
                <w:rFonts w:hint="eastAsia"/>
                <w:b/>
                <w:bCs/>
                <w:sz w:val="24"/>
              </w:rPr>
              <w:t>大气污染物：</w:t>
            </w:r>
          </w:p>
          <w:p w14:paraId="3D894946">
            <w:pPr>
              <w:adjustRightInd w:val="0"/>
              <w:snapToGrid w:val="0"/>
              <w:spacing w:line="360" w:lineRule="auto"/>
              <w:ind w:firstLine="480" w:firstLineChars="200"/>
              <w:rPr>
                <w:sz w:val="24"/>
              </w:rPr>
            </w:pPr>
            <w:r>
              <w:rPr>
                <w:rFonts w:hint="eastAsia"/>
                <w:kern w:val="0"/>
                <w:sz w:val="24"/>
              </w:rPr>
              <w:t>施工期厂界无组织颗粒物执行《大气污染物综合排放标准》（GB16297-1996）表2新污染源大气污染物排放限值。</w:t>
            </w:r>
          </w:p>
          <w:p w14:paraId="60F3C73E">
            <w:pPr>
              <w:spacing w:line="360" w:lineRule="auto"/>
              <w:ind w:firstLine="482" w:firstLineChars="200"/>
              <w:rPr>
                <w:b/>
                <w:bCs/>
                <w:kern w:val="0"/>
                <w:sz w:val="24"/>
              </w:rPr>
            </w:pPr>
            <w:r>
              <w:rPr>
                <w:rFonts w:hint="eastAsia"/>
                <w:b/>
                <w:bCs/>
                <w:kern w:val="0"/>
                <w:sz w:val="24"/>
                <w:lang w:eastAsia="zh-CN"/>
              </w:rPr>
              <w:t>2.</w:t>
            </w:r>
            <w:r>
              <w:rPr>
                <w:rFonts w:hint="eastAsia"/>
                <w:b/>
                <w:bCs/>
                <w:kern w:val="0"/>
                <w:sz w:val="24"/>
              </w:rPr>
              <w:t>废水</w:t>
            </w:r>
          </w:p>
          <w:p w14:paraId="032F83BF">
            <w:pPr>
              <w:spacing w:line="360" w:lineRule="auto"/>
              <w:ind w:firstLine="480" w:firstLineChars="200"/>
              <w:rPr>
                <w:sz w:val="24"/>
              </w:rPr>
            </w:pPr>
            <w:r>
              <w:rPr>
                <w:rFonts w:hint="eastAsia"/>
                <w:sz w:val="24"/>
              </w:rPr>
              <w:t>项目区生产废水排入沉淀池中循环使用，不外排；施工场地</w:t>
            </w:r>
            <w:r>
              <w:rPr>
                <w:rFonts w:hint="eastAsia"/>
                <w:bCs/>
                <w:snapToGrid w:val="0"/>
                <w:sz w:val="24"/>
              </w:rPr>
              <w:t>生活污水依托坎尔其水库管理站现有污水处理站处理</w:t>
            </w:r>
            <w:r>
              <w:rPr>
                <w:rFonts w:hint="eastAsia"/>
                <w:sz w:val="24"/>
              </w:rPr>
              <w:t>。</w:t>
            </w:r>
          </w:p>
          <w:p w14:paraId="50DDF148">
            <w:pPr>
              <w:spacing w:line="360" w:lineRule="auto"/>
              <w:ind w:firstLine="482" w:firstLineChars="200"/>
              <w:rPr>
                <w:b/>
                <w:bCs/>
                <w:kern w:val="0"/>
                <w:sz w:val="24"/>
              </w:rPr>
            </w:pPr>
            <w:r>
              <w:rPr>
                <w:rFonts w:hint="eastAsia"/>
                <w:b/>
                <w:bCs/>
                <w:kern w:val="0"/>
                <w:sz w:val="24"/>
                <w:lang w:eastAsia="zh-CN"/>
              </w:rPr>
              <w:t>2.</w:t>
            </w:r>
            <w:r>
              <w:rPr>
                <w:rFonts w:hint="eastAsia"/>
                <w:b/>
                <w:bCs/>
                <w:kern w:val="0"/>
                <w:sz w:val="24"/>
              </w:rPr>
              <w:t>噪声</w:t>
            </w:r>
          </w:p>
          <w:p w14:paraId="6D7E2827">
            <w:pPr>
              <w:spacing w:line="360" w:lineRule="auto"/>
              <w:ind w:firstLine="480" w:firstLineChars="200"/>
              <w:rPr>
                <w:sz w:val="24"/>
              </w:rPr>
            </w:pPr>
            <w:r>
              <w:rPr>
                <w:rFonts w:hint="eastAsia"/>
                <w:sz w:val="24"/>
              </w:rPr>
              <w:t>施工期噪声执行《建筑施工噪声排放标准》（GB 12523-2025）排放限值。</w:t>
            </w:r>
          </w:p>
          <w:p w14:paraId="75978573">
            <w:pPr>
              <w:spacing w:line="360" w:lineRule="auto"/>
              <w:ind w:firstLine="482" w:firstLineChars="200"/>
              <w:rPr>
                <w:b/>
                <w:bCs/>
                <w:sz w:val="24"/>
              </w:rPr>
            </w:pPr>
            <w:r>
              <w:rPr>
                <w:rFonts w:hint="eastAsia"/>
                <w:b/>
                <w:bCs/>
                <w:sz w:val="24"/>
                <w:lang w:eastAsia="zh-CN"/>
              </w:rPr>
              <w:t>3.</w:t>
            </w:r>
            <w:r>
              <w:rPr>
                <w:rFonts w:hint="eastAsia"/>
                <w:b/>
                <w:bCs/>
                <w:sz w:val="24"/>
              </w:rPr>
              <w:t>一般固体废物</w:t>
            </w:r>
          </w:p>
          <w:p w14:paraId="50E77321">
            <w:pPr>
              <w:pStyle w:val="35"/>
              <w:rPr>
                <w:rFonts w:hint="default"/>
              </w:rPr>
            </w:pPr>
            <w:r>
              <w:rPr>
                <w:bCs/>
              </w:rPr>
              <w:t>施工一般固体废物《一般工业固体废物贮存和填埋污染控制标准》（GB18599-2020）</w:t>
            </w:r>
            <w:r>
              <w:t>和《生活垃圾填埋场污染控制标准》（GB16889-2024）</w:t>
            </w:r>
            <w:r>
              <w:rPr>
                <w:bCs/>
              </w:rPr>
              <w:t>。</w:t>
            </w:r>
          </w:p>
        </w:tc>
      </w:tr>
      <w:tr w14:paraId="13CDC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377" w:type="pct"/>
            <w:vAlign w:val="center"/>
          </w:tcPr>
          <w:p w14:paraId="481D9869">
            <w:pPr>
              <w:snapToGrid w:val="0"/>
              <w:spacing w:line="500" w:lineRule="exact"/>
            </w:pPr>
            <w:r>
              <w:rPr>
                <w:rFonts w:hint="eastAsia" w:cs="宋体"/>
                <w:sz w:val="24"/>
              </w:rPr>
              <w:t>其他</w:t>
            </w:r>
          </w:p>
        </w:tc>
        <w:tc>
          <w:tcPr>
            <w:tcW w:w="4622" w:type="pct"/>
            <w:vAlign w:val="center"/>
          </w:tcPr>
          <w:p w14:paraId="326CD255">
            <w:pPr>
              <w:pStyle w:val="35"/>
              <w:rPr>
                <w:rFonts w:hint="default"/>
              </w:rPr>
            </w:pPr>
            <w:r>
              <w:rPr>
                <w:bCs/>
              </w:rPr>
              <w:t>根据国家规定的总量控制污染物种类，本项目为防洪除涝项目，属于非污染生态影响性建设项目，运营期无主要污染物排放，因此本项目不核算总量控制指标。</w:t>
            </w:r>
          </w:p>
        </w:tc>
      </w:tr>
    </w:tbl>
    <w:p w14:paraId="584D5164">
      <w:pPr>
        <w:pStyle w:val="21"/>
        <w:rPr>
          <w:rFonts w:ascii="Times New Roman" w:hAnsi="Times New Roman"/>
        </w:rPr>
        <w:sectPr>
          <w:pgSz w:w="11906" w:h="16838"/>
          <w:pgMar w:top="1417" w:right="1587" w:bottom="1417" w:left="1587" w:header="851" w:footer="992" w:gutter="0"/>
          <w:cols w:space="425" w:num="1"/>
          <w:docGrid w:type="lines" w:linePitch="312" w:charSpace="0"/>
        </w:sectPr>
      </w:pPr>
    </w:p>
    <w:p w14:paraId="29384D49">
      <w:pPr>
        <w:pStyle w:val="2"/>
        <w:snapToGrid w:val="0"/>
        <w:spacing w:before="0" w:after="0" w:line="360" w:lineRule="auto"/>
        <w:jc w:val="center"/>
        <w:rPr>
          <w:rFonts w:eastAsia="黑体" w:cs="黑体"/>
          <w:b w:val="0"/>
          <w:bCs/>
          <w:sz w:val="30"/>
          <w:szCs w:val="30"/>
        </w:rPr>
      </w:pPr>
      <w:bookmarkStart w:id="3" w:name="_Toc239674214"/>
      <w:r>
        <w:rPr>
          <w:rFonts w:hint="eastAsia" w:eastAsia="黑体" w:cs="黑体"/>
          <w:b w:val="0"/>
          <w:bCs/>
          <w:sz w:val="30"/>
          <w:szCs w:val="30"/>
        </w:rPr>
        <w:t>四、生态环境影响分析</w:t>
      </w:r>
      <w:bookmarkEnd w:id="3"/>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7984"/>
      </w:tblGrid>
      <w:tr w14:paraId="2091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vAlign w:val="center"/>
          </w:tcPr>
          <w:p w14:paraId="6FF9A8D5">
            <w:pPr>
              <w:snapToGrid w:val="0"/>
              <w:spacing w:line="500" w:lineRule="exact"/>
              <w:jc w:val="center"/>
              <w:rPr>
                <w:rFonts w:cs="宋体"/>
                <w:sz w:val="24"/>
              </w:rPr>
            </w:pPr>
            <w:r>
              <w:rPr>
                <w:rFonts w:hint="eastAsia" w:cs="宋体"/>
                <w:sz w:val="24"/>
              </w:rPr>
              <w:t>施工期生态环境影响分析</w:t>
            </w:r>
          </w:p>
        </w:tc>
        <w:tc>
          <w:tcPr>
            <w:tcW w:w="4576" w:type="pct"/>
            <w:vAlign w:val="center"/>
          </w:tcPr>
          <w:p w14:paraId="57CEDFE0">
            <w:pPr>
              <w:snapToGrid w:val="0"/>
              <w:spacing w:line="500" w:lineRule="exact"/>
              <w:ind w:firstLine="482" w:firstLineChars="200"/>
              <w:rPr>
                <w:rFonts w:cs="宋体"/>
                <w:b/>
                <w:bCs/>
                <w:sz w:val="24"/>
              </w:rPr>
            </w:pPr>
            <w:r>
              <w:rPr>
                <w:rFonts w:hint="eastAsia" w:cs="宋体"/>
                <w:b/>
                <w:bCs/>
                <w:sz w:val="24"/>
                <w:lang w:eastAsia="zh-CN"/>
              </w:rPr>
              <w:t>1.</w:t>
            </w:r>
            <w:r>
              <w:rPr>
                <w:rFonts w:hint="eastAsia" w:cs="宋体"/>
                <w:b/>
                <w:bCs/>
                <w:sz w:val="24"/>
              </w:rPr>
              <w:t>生态环境影响分析</w:t>
            </w:r>
          </w:p>
          <w:p w14:paraId="730BE059">
            <w:pPr>
              <w:snapToGrid w:val="0"/>
              <w:spacing w:line="500" w:lineRule="exact"/>
              <w:ind w:firstLine="480" w:firstLineChars="200"/>
            </w:pPr>
            <w:r>
              <w:rPr>
                <w:rFonts w:hint="eastAsia" w:cs="宋体"/>
                <w:sz w:val="24"/>
              </w:rPr>
              <w:t>本工程的建设不会对项目区植物种类的生存和繁衍造成严重影响，不会使评价区植物群落发生变化，也不会造成某一植物物种的消失。施工结束后及时进行覆土回填，并及时清理施工建筑废弃物，恢复原有地貌，对植被的影响分析较小。</w:t>
            </w:r>
          </w:p>
          <w:p w14:paraId="67856EDD">
            <w:pPr>
              <w:pStyle w:val="57"/>
              <w:ind w:firstLine="482"/>
              <w:rPr>
                <w:b/>
                <w:bCs/>
              </w:rPr>
            </w:pPr>
            <w:r>
              <w:rPr>
                <w:rFonts w:hint="eastAsia"/>
                <w:b/>
                <w:bCs/>
              </w:rPr>
              <w:t>2</w:t>
            </w:r>
            <w:r>
              <w:rPr>
                <w:b/>
                <w:bCs/>
              </w:rPr>
              <w:t>水土流失防治责任范围</w:t>
            </w:r>
          </w:p>
          <w:p w14:paraId="3328AE4D">
            <w:pPr>
              <w:snapToGrid w:val="0"/>
              <w:spacing w:line="500" w:lineRule="exact"/>
              <w:ind w:firstLine="480" w:firstLineChars="200"/>
              <w:rPr>
                <w:rFonts w:cs="宋体"/>
                <w:sz w:val="24"/>
              </w:rPr>
            </w:pPr>
            <w:r>
              <w:rPr>
                <w:rFonts w:hint="eastAsia" w:cs="宋体"/>
                <w:sz w:val="24"/>
              </w:rPr>
              <w:t>同</w:t>
            </w:r>
            <w:bookmarkStart w:id="17" w:name="_GoBack"/>
            <w:bookmarkEnd w:id="17"/>
            <w:r>
              <w:rPr>
                <w:rFonts w:hint="eastAsia" w:cs="宋体"/>
                <w:sz w:val="24"/>
              </w:rPr>
              <w:t>时本项目作为水土保持综合治理工程，</w:t>
            </w:r>
            <w:r>
              <w:rPr>
                <w:rFonts w:cs="宋体"/>
                <w:sz w:val="24"/>
              </w:rPr>
              <w:t>通过项目建设，减少水土流失，保护生态环境。工程实施后，减少水土流失，改善当地生态环境，</w:t>
            </w:r>
            <w:r>
              <w:rPr>
                <w:rFonts w:hint="eastAsia" w:cs="宋体"/>
                <w:sz w:val="24"/>
                <w:lang w:eastAsia="zh-CN"/>
              </w:rPr>
              <w:t>增强</w:t>
            </w:r>
            <w:r>
              <w:rPr>
                <w:rFonts w:cs="宋体"/>
                <w:sz w:val="24"/>
              </w:rPr>
              <w:t>周边群众水土保持意识，推动全流域水土保持工作的开展。根据工程区的自然环境状况及本工程特点将在坎尔其水库下游段进行造林种植，实现水土流失治理面积15km²。通过治理措施从而使项目区的水土流失现象得到</w:t>
            </w:r>
            <w:r>
              <w:rPr>
                <w:rFonts w:hint="eastAsia" w:cs="宋体"/>
                <w:sz w:val="24"/>
                <w:lang w:eastAsia="zh-CN"/>
              </w:rPr>
              <w:t>有效</w:t>
            </w:r>
            <w:r>
              <w:rPr>
                <w:rFonts w:cs="宋体"/>
                <w:sz w:val="24"/>
              </w:rPr>
              <w:t>控制，生态环境得到局部改善</w:t>
            </w:r>
            <w:r>
              <w:rPr>
                <w:rFonts w:hint="eastAsia" w:cs="宋体"/>
                <w:sz w:val="24"/>
              </w:rPr>
              <w:t>。</w:t>
            </w:r>
          </w:p>
          <w:p w14:paraId="18ABB560">
            <w:pPr>
              <w:snapToGrid w:val="0"/>
              <w:spacing w:line="500" w:lineRule="exact"/>
              <w:ind w:firstLine="482" w:firstLineChars="200"/>
              <w:rPr>
                <w:rFonts w:cs="宋体"/>
                <w:b/>
                <w:bCs/>
                <w:sz w:val="24"/>
              </w:rPr>
            </w:pPr>
            <w:r>
              <w:rPr>
                <w:rFonts w:hint="eastAsia" w:cs="宋体"/>
                <w:b/>
                <w:bCs/>
                <w:sz w:val="24"/>
                <w:lang w:eastAsia="zh-CN"/>
              </w:rPr>
              <w:t>3.</w:t>
            </w:r>
            <w:r>
              <w:rPr>
                <w:rFonts w:hint="eastAsia" w:cs="宋体"/>
                <w:b/>
                <w:bCs/>
                <w:sz w:val="24"/>
              </w:rPr>
              <w:t>大气环境影响分析</w:t>
            </w:r>
          </w:p>
          <w:p w14:paraId="0E59D628">
            <w:pPr>
              <w:snapToGrid w:val="0"/>
              <w:spacing w:line="500" w:lineRule="exact"/>
              <w:ind w:firstLine="480" w:firstLineChars="200"/>
              <w:rPr>
                <w:rFonts w:cs="宋体"/>
                <w:sz w:val="24"/>
              </w:rPr>
            </w:pPr>
            <w:r>
              <w:rPr>
                <w:rFonts w:cs="宋体"/>
                <w:sz w:val="24"/>
              </w:rPr>
              <w:t>施工期间，大气污染源主要是施工扬尘</w:t>
            </w:r>
            <w:r>
              <w:rPr>
                <w:rFonts w:hint="eastAsia" w:cs="宋体"/>
                <w:sz w:val="24"/>
              </w:rPr>
              <w:t>和施工机械设备、</w:t>
            </w:r>
            <w:r>
              <w:rPr>
                <w:rFonts w:cs="宋体"/>
                <w:sz w:val="24"/>
              </w:rPr>
              <w:t>运输车辆尾气。</w:t>
            </w:r>
          </w:p>
          <w:p w14:paraId="722F690D">
            <w:pPr>
              <w:snapToGrid w:val="0"/>
              <w:spacing w:line="500" w:lineRule="exact"/>
              <w:ind w:firstLine="482" w:firstLineChars="200"/>
              <w:rPr>
                <w:rFonts w:cs="宋体"/>
                <w:b/>
                <w:bCs/>
                <w:sz w:val="24"/>
              </w:rPr>
            </w:pPr>
            <w:r>
              <w:rPr>
                <w:rFonts w:hint="eastAsia" w:cs="宋体"/>
                <w:b/>
                <w:bCs/>
                <w:sz w:val="24"/>
                <w:lang w:eastAsia="zh-CN"/>
              </w:rPr>
              <w:t>4.</w:t>
            </w:r>
            <w:r>
              <w:rPr>
                <w:rFonts w:hint="eastAsia" w:cs="宋体"/>
                <w:b/>
                <w:bCs/>
                <w:sz w:val="24"/>
              </w:rPr>
              <w:t>施工期水环境影响分析</w:t>
            </w:r>
          </w:p>
          <w:p w14:paraId="1FDDFCE1">
            <w:pPr>
              <w:pStyle w:val="57"/>
              <w:ind w:firstLine="482"/>
              <w:rPr>
                <w:b/>
                <w:bCs/>
              </w:rPr>
            </w:pPr>
            <w:r>
              <w:rPr>
                <w:rFonts w:hint="eastAsia"/>
                <w:b/>
                <w:bCs/>
              </w:rPr>
              <w:t>4.1</w:t>
            </w:r>
            <w:r>
              <w:rPr>
                <w:b/>
                <w:bCs/>
              </w:rPr>
              <w:t xml:space="preserve">对水文情势的影响分析 </w:t>
            </w:r>
          </w:p>
          <w:p w14:paraId="4C6CBC2B">
            <w:pPr>
              <w:pStyle w:val="57"/>
            </w:pPr>
            <w:r>
              <w:t>根据建设单位提供项目施工方案，本项目</w:t>
            </w:r>
            <w:r>
              <w:rPr>
                <w:rFonts w:hint="eastAsia"/>
              </w:rPr>
              <w:t>在非雨季和汛期施工，</w:t>
            </w:r>
            <w:r>
              <w:t>避免影响正常行洪。</w:t>
            </w:r>
            <w:r>
              <w:rPr>
                <w:rFonts w:hint="eastAsia"/>
              </w:rPr>
              <w:t>施工期间自然冲沟内无积水，</w:t>
            </w:r>
            <w:r>
              <w:t>施工不会造成河流断流，项目实施对下游水文情势不会产生影响。同时由于本项目施工期较短，项目的建设对后期河道下游用水存在正效应。</w:t>
            </w:r>
          </w:p>
          <w:p w14:paraId="027B95D1">
            <w:pPr>
              <w:pStyle w:val="57"/>
              <w:ind w:firstLine="482"/>
              <w:rPr>
                <w:b/>
                <w:bCs/>
              </w:rPr>
            </w:pPr>
            <w:r>
              <w:rPr>
                <w:rFonts w:hint="eastAsia"/>
                <w:b/>
                <w:bCs/>
              </w:rPr>
              <w:t>4.2</w:t>
            </w:r>
            <w:r>
              <w:rPr>
                <w:b/>
                <w:bCs/>
              </w:rPr>
              <w:t>施工</w:t>
            </w:r>
            <w:r>
              <w:rPr>
                <w:rFonts w:hint="eastAsia"/>
                <w:b/>
                <w:bCs/>
              </w:rPr>
              <w:t>作业废水</w:t>
            </w:r>
          </w:p>
          <w:p w14:paraId="5A2F1E62">
            <w:pPr>
              <w:pStyle w:val="57"/>
              <w:rPr>
                <w:rFonts w:cs="Times New Roman"/>
              </w:rPr>
            </w:pPr>
            <w:r>
              <w:rPr>
                <w:rFonts w:cs="Times New Roman"/>
              </w:rPr>
              <w:t>施工期的废水主要来自建筑施工废水和部分工人的生活污水。本项目施工作业废水为机械设备冲洗废水</w:t>
            </w:r>
            <w:r>
              <w:rPr>
                <w:rFonts w:hint="eastAsia" w:cs="Times New Roman"/>
              </w:rPr>
              <w:t>和车辆冲洗废水</w:t>
            </w:r>
            <w:r>
              <w:rPr>
                <w:rFonts w:cs="Times New Roman"/>
              </w:rPr>
              <w:t>。</w:t>
            </w:r>
          </w:p>
          <w:p w14:paraId="5ADD11BD">
            <w:pPr>
              <w:pStyle w:val="57"/>
              <w:ind w:firstLine="482"/>
              <w:rPr>
                <w:b/>
                <w:bCs/>
              </w:rPr>
            </w:pPr>
            <w:r>
              <w:rPr>
                <w:rFonts w:hint="eastAsia"/>
                <w:b/>
                <w:bCs/>
              </w:rPr>
              <w:t>4.3</w:t>
            </w:r>
            <w:r>
              <w:rPr>
                <w:b/>
                <w:bCs/>
              </w:rPr>
              <w:t>地下水环境影响分析</w:t>
            </w:r>
          </w:p>
          <w:p w14:paraId="6DFE5D9E">
            <w:pPr>
              <w:pStyle w:val="57"/>
            </w:pPr>
            <w:r>
              <w:t>本项目建设规模较小，施工周期较短，</w:t>
            </w:r>
            <w:r>
              <w:rPr>
                <w:rFonts w:hint="eastAsia"/>
              </w:rPr>
              <w:t>且施工期间河道内无水，不会造成</w:t>
            </w:r>
            <w:r>
              <w:t>水位降深的影响。本项目所在地不属于岩溶地区，不会造成地下水径流方向发生重大变化。</w:t>
            </w:r>
          </w:p>
          <w:p w14:paraId="61D3808F">
            <w:pPr>
              <w:snapToGrid w:val="0"/>
              <w:spacing w:line="500" w:lineRule="exact"/>
              <w:ind w:firstLine="482" w:firstLineChars="200"/>
              <w:rPr>
                <w:rFonts w:cs="宋体"/>
                <w:b/>
                <w:bCs/>
                <w:sz w:val="24"/>
              </w:rPr>
            </w:pPr>
            <w:r>
              <w:rPr>
                <w:rFonts w:hint="eastAsia" w:cs="宋体"/>
                <w:b/>
                <w:bCs/>
                <w:sz w:val="24"/>
                <w:lang w:eastAsia="zh-CN"/>
              </w:rPr>
              <w:t>5.</w:t>
            </w:r>
            <w:r>
              <w:rPr>
                <w:rFonts w:hint="eastAsia" w:cs="宋体"/>
                <w:b/>
                <w:bCs/>
                <w:sz w:val="24"/>
              </w:rPr>
              <w:t>声环境影响分析</w:t>
            </w:r>
          </w:p>
          <w:p w14:paraId="12DA7070">
            <w:pPr>
              <w:pStyle w:val="35"/>
              <w:rPr>
                <w:rFonts w:hint="default"/>
              </w:rPr>
            </w:pPr>
            <w:r>
              <w:t>施工期主要噪声源为：场地平整和开挖阶段采用挖掘机、推土机等大型机械设备；主体浇筑阶段主要有安装和拆卸模板时的打击声，捣振棒等产生的机械噪声；另外各个阶段均有运输车辆产生的交通噪声。</w:t>
            </w:r>
          </w:p>
          <w:p w14:paraId="278F23CB">
            <w:pPr>
              <w:snapToGrid w:val="0"/>
              <w:spacing w:line="500" w:lineRule="exact"/>
              <w:ind w:firstLine="482" w:firstLineChars="200"/>
              <w:rPr>
                <w:rFonts w:cs="宋体"/>
                <w:b/>
                <w:bCs/>
                <w:sz w:val="24"/>
              </w:rPr>
            </w:pPr>
            <w:r>
              <w:rPr>
                <w:rFonts w:hint="eastAsia" w:cs="宋体"/>
                <w:b/>
                <w:bCs/>
                <w:sz w:val="24"/>
                <w:lang w:eastAsia="zh-CN"/>
              </w:rPr>
              <w:t>6.</w:t>
            </w:r>
            <w:r>
              <w:rPr>
                <w:rFonts w:hint="eastAsia" w:cs="宋体"/>
                <w:b/>
                <w:bCs/>
                <w:sz w:val="24"/>
              </w:rPr>
              <w:t>固体废物影响分析</w:t>
            </w:r>
          </w:p>
          <w:p w14:paraId="2AE7FAEA">
            <w:pPr>
              <w:snapToGrid w:val="0"/>
              <w:spacing w:line="500" w:lineRule="exact"/>
              <w:ind w:firstLine="480" w:firstLineChars="200"/>
              <w:rPr>
                <w:rFonts w:cs="宋体"/>
                <w:sz w:val="24"/>
              </w:rPr>
            </w:pPr>
            <w:r>
              <w:rPr>
                <w:rFonts w:hint="eastAsia" w:cs="宋体"/>
                <w:sz w:val="24"/>
              </w:rPr>
              <w:t>施工期间产生的固体废物主要为建筑垃圾、沉淀池底泥，多余土方均就近拉运到防洪堤背水侧用于培厚加固防洪堤。</w:t>
            </w:r>
          </w:p>
        </w:tc>
      </w:tr>
      <w:tr w14:paraId="2F40C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vAlign w:val="center"/>
          </w:tcPr>
          <w:p w14:paraId="0D3E199A">
            <w:pPr>
              <w:snapToGrid w:val="0"/>
              <w:spacing w:line="500" w:lineRule="exact"/>
              <w:jc w:val="center"/>
              <w:rPr>
                <w:rFonts w:cs="宋体"/>
                <w:sz w:val="24"/>
              </w:rPr>
            </w:pPr>
            <w:r>
              <w:rPr>
                <w:rFonts w:hint="eastAsia" w:cs="宋体"/>
                <w:sz w:val="24"/>
              </w:rPr>
              <w:t>运营期生态环境影响分析</w:t>
            </w:r>
          </w:p>
        </w:tc>
        <w:tc>
          <w:tcPr>
            <w:tcW w:w="4576" w:type="pct"/>
          </w:tcPr>
          <w:p w14:paraId="1F237B60">
            <w:pPr>
              <w:pStyle w:val="57"/>
            </w:pPr>
            <w:r>
              <w:t>本项目属于非污染性项目</w:t>
            </w:r>
            <w:r>
              <w:rPr>
                <w:rFonts w:hint="eastAsia"/>
                <w:lang w:eastAsia="zh-CN"/>
              </w:rPr>
              <w:t>，具</w:t>
            </w:r>
            <w:r>
              <w:t>有明显的环境正效益，运营期项目本身不产生“三废”及噪声，对环境无不利影响。</w:t>
            </w:r>
          </w:p>
        </w:tc>
      </w:tr>
      <w:tr w14:paraId="52FCE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vAlign w:val="center"/>
          </w:tcPr>
          <w:p w14:paraId="63FF526F">
            <w:pPr>
              <w:snapToGrid w:val="0"/>
              <w:spacing w:line="500" w:lineRule="exact"/>
              <w:rPr>
                <w:rFonts w:cs="宋体"/>
                <w:sz w:val="24"/>
              </w:rPr>
            </w:pPr>
            <w:r>
              <w:rPr>
                <w:rFonts w:hint="eastAsia" w:cs="宋体"/>
                <w:sz w:val="24"/>
              </w:rPr>
              <w:t>选址选线环境合理性分析</w:t>
            </w:r>
          </w:p>
        </w:tc>
        <w:tc>
          <w:tcPr>
            <w:tcW w:w="4576" w:type="pct"/>
            <w:vAlign w:val="center"/>
          </w:tcPr>
          <w:p w14:paraId="22B0C413">
            <w:pPr>
              <w:adjustRightInd w:val="0"/>
              <w:spacing w:line="360" w:lineRule="auto"/>
              <w:ind w:firstLine="480" w:firstLineChars="200"/>
              <w:rPr>
                <w:kern w:val="0"/>
                <w:sz w:val="24"/>
              </w:rPr>
            </w:pPr>
            <w:r>
              <w:rPr>
                <w:kern w:val="0"/>
                <w:sz w:val="24"/>
              </w:rPr>
              <w:t>根据资料分析及现场踏勘，本项目沿线200m范围内</w:t>
            </w:r>
            <w:r>
              <w:rPr>
                <w:rFonts w:hint="eastAsia"/>
                <w:kern w:val="0"/>
                <w:sz w:val="24"/>
              </w:rPr>
              <w:t>无环境</w:t>
            </w:r>
            <w:r>
              <w:rPr>
                <w:kern w:val="0"/>
                <w:sz w:val="24"/>
              </w:rPr>
              <w:t>敏感点，项目沿线不涉及自然保护区、风景名胜区、饮用水源取水口、</w:t>
            </w:r>
            <w:r>
              <w:rPr>
                <w:rFonts w:hint="eastAsia"/>
                <w:kern w:val="0"/>
                <w:sz w:val="24"/>
                <w:lang w:eastAsia="zh-CN"/>
              </w:rPr>
              <w:t>饮用水水源保护区</w:t>
            </w:r>
            <w:r>
              <w:rPr>
                <w:kern w:val="0"/>
                <w:sz w:val="24"/>
              </w:rPr>
              <w:t>等环境敏感区，无明显的环境制约因素</w:t>
            </w:r>
            <w:r>
              <w:rPr>
                <w:rFonts w:hint="eastAsia"/>
                <w:kern w:val="0"/>
                <w:sz w:val="24"/>
              </w:rPr>
              <w:t>；项目周边供水、供电设施完善，周边</w:t>
            </w:r>
            <w:r>
              <w:rPr>
                <w:kern w:val="0"/>
                <w:sz w:val="24"/>
              </w:rPr>
              <w:t>道路通畅</w:t>
            </w:r>
            <w:r>
              <w:rPr>
                <w:rFonts w:hint="eastAsia"/>
                <w:kern w:val="0"/>
                <w:sz w:val="24"/>
              </w:rPr>
              <w:t>、</w:t>
            </w:r>
            <w:r>
              <w:rPr>
                <w:kern w:val="0"/>
                <w:sz w:val="24"/>
              </w:rPr>
              <w:t>交通便利</w:t>
            </w:r>
            <w:r>
              <w:rPr>
                <w:rFonts w:hint="eastAsia"/>
                <w:kern w:val="0"/>
                <w:sz w:val="24"/>
              </w:rPr>
              <w:t>。</w:t>
            </w:r>
          </w:p>
          <w:p w14:paraId="18B781D7">
            <w:pPr>
              <w:adjustRightInd w:val="0"/>
              <w:spacing w:line="360" w:lineRule="auto"/>
              <w:ind w:firstLine="480" w:firstLineChars="200"/>
              <w:rPr>
                <w:rFonts w:cs="宋体"/>
                <w:sz w:val="24"/>
              </w:rPr>
            </w:pPr>
            <w:r>
              <w:rPr>
                <w:kern w:val="0"/>
                <w:sz w:val="24"/>
              </w:rPr>
              <w:t>因此，本项目的建设选址合理。</w:t>
            </w:r>
          </w:p>
        </w:tc>
      </w:tr>
    </w:tbl>
    <w:p w14:paraId="4B2E39AF">
      <w:pPr>
        <w:sectPr>
          <w:pgSz w:w="11906" w:h="16838"/>
          <w:pgMar w:top="1417" w:right="1587" w:bottom="1417" w:left="1587" w:header="851" w:footer="992" w:gutter="0"/>
          <w:cols w:space="425" w:num="1"/>
          <w:docGrid w:type="lines" w:linePitch="312" w:charSpace="0"/>
        </w:sectPr>
      </w:pPr>
    </w:p>
    <w:p w14:paraId="4767BCCD">
      <w:pPr>
        <w:pStyle w:val="2"/>
        <w:snapToGrid w:val="0"/>
        <w:spacing w:before="0" w:after="0" w:line="360" w:lineRule="auto"/>
        <w:jc w:val="center"/>
        <w:rPr>
          <w:rFonts w:eastAsia="黑体" w:cs="黑体"/>
          <w:b w:val="0"/>
          <w:bCs/>
          <w:sz w:val="30"/>
          <w:szCs w:val="30"/>
        </w:rPr>
      </w:pPr>
      <w:bookmarkStart w:id="4" w:name="_Toc239674215"/>
      <w:r>
        <w:rPr>
          <w:rFonts w:hint="eastAsia" w:eastAsia="黑体" w:cs="黑体"/>
          <w:b w:val="0"/>
          <w:bCs/>
          <w:sz w:val="30"/>
          <w:szCs w:val="30"/>
        </w:rPr>
        <w:t>五、主要生态环境保护措施</w:t>
      </w:r>
      <w:bookmarkEnd w:id="4"/>
    </w:p>
    <w:tbl>
      <w:tblPr>
        <w:tblStyle w:val="28"/>
        <w:tblW w:w="487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7727"/>
      </w:tblGrid>
      <w:tr w14:paraId="53EA7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 w:type="pct"/>
            <w:vAlign w:val="center"/>
          </w:tcPr>
          <w:p w14:paraId="71C2D039">
            <w:pPr>
              <w:snapToGrid w:val="0"/>
              <w:spacing w:line="500" w:lineRule="exact"/>
              <w:jc w:val="center"/>
              <w:rPr>
                <w:rFonts w:cs="宋体"/>
                <w:sz w:val="24"/>
              </w:rPr>
            </w:pPr>
            <w:r>
              <w:rPr>
                <w:rFonts w:hint="eastAsia" w:cs="宋体"/>
                <w:sz w:val="24"/>
              </w:rPr>
              <w:t>施工期生态环境保护措施</w:t>
            </w:r>
          </w:p>
        </w:tc>
        <w:tc>
          <w:tcPr>
            <w:tcW w:w="4548" w:type="pct"/>
            <w:vAlign w:val="center"/>
          </w:tcPr>
          <w:p w14:paraId="59BB0D0C">
            <w:pPr>
              <w:snapToGrid w:val="0"/>
              <w:spacing w:line="500" w:lineRule="exact"/>
              <w:ind w:firstLine="482" w:firstLineChars="200"/>
              <w:rPr>
                <w:rFonts w:cs="宋体"/>
                <w:b/>
                <w:bCs/>
                <w:sz w:val="24"/>
              </w:rPr>
            </w:pPr>
            <w:r>
              <w:rPr>
                <w:rFonts w:hint="eastAsia" w:cs="宋体"/>
                <w:b/>
                <w:bCs/>
                <w:sz w:val="24"/>
                <w:lang w:eastAsia="zh-CN"/>
              </w:rPr>
              <w:t>1.</w:t>
            </w:r>
            <w:r>
              <w:rPr>
                <w:rFonts w:hint="eastAsia" w:cs="宋体"/>
                <w:b/>
                <w:bCs/>
                <w:sz w:val="24"/>
              </w:rPr>
              <w:t>生态环境保护措施</w:t>
            </w:r>
          </w:p>
          <w:p w14:paraId="77F06663">
            <w:pPr>
              <w:snapToGrid w:val="0"/>
              <w:spacing w:line="500" w:lineRule="exact"/>
              <w:ind w:firstLine="480" w:firstLineChars="200"/>
              <w:rPr>
                <w:rFonts w:cs="宋体"/>
                <w:sz w:val="24"/>
              </w:rPr>
            </w:pPr>
            <w:r>
              <w:rPr>
                <w:rFonts w:hint="eastAsia" w:cs="宋体"/>
                <w:sz w:val="24"/>
              </w:rPr>
              <w:t>建设单位及施工单位应严格执行本次评价提出的生态环境保护措施，并确保各项保护措施与主体工程同时设计、同时施工、同时使用。</w:t>
            </w:r>
          </w:p>
          <w:p w14:paraId="7F811E3C">
            <w:pPr>
              <w:snapToGrid w:val="0"/>
              <w:spacing w:line="500" w:lineRule="exact"/>
              <w:ind w:firstLine="480" w:firstLineChars="200"/>
              <w:rPr>
                <w:rFonts w:cs="宋体"/>
                <w:sz w:val="24"/>
              </w:rPr>
            </w:pPr>
            <w:r>
              <w:rPr>
                <w:rFonts w:hint="eastAsia" w:cs="宋体"/>
                <w:sz w:val="24"/>
              </w:rPr>
              <w:t>施工期临时占地区域内生长的自然植物都是易于恢复的植物物种，项目实施不会造成评价区植物物种数量的改变，不会造成植物物种在评价区的消失。</w:t>
            </w:r>
          </w:p>
          <w:p w14:paraId="1771D012">
            <w:pPr>
              <w:pStyle w:val="35"/>
              <w:rPr>
                <w:rFonts w:hint="default"/>
              </w:rPr>
            </w:pPr>
            <w:r>
              <w:t>在施工过程中周围的野生动物会本能</w:t>
            </w:r>
            <w:r>
              <w:rPr>
                <w:rFonts w:hint="eastAsia"/>
                <w:lang w:eastAsia="zh-CN"/>
              </w:rPr>
              <w:t>地主动</w:t>
            </w:r>
            <w:r>
              <w:t>迁移，避开人类活动寻找到新的栖息、活动场所，对野生动物觅食、迁移、求偶等行为的干扰是有限的。所以总体来说，对野生动物带来的不利影响不大，不会对其种群数量和生存繁衍造成不利影响。</w:t>
            </w:r>
          </w:p>
          <w:p w14:paraId="5A9B2EB4">
            <w:pPr>
              <w:pStyle w:val="57"/>
            </w:pPr>
            <w:r>
              <w:rPr>
                <w:lang w:val="zh-CN"/>
              </w:rPr>
              <w:t>项目在施工建设过程中加强生态修复，尽量少占施工临时占地，施工期临时占地剥离表层砾幕，</w:t>
            </w:r>
            <w:r>
              <w:rPr>
                <w:bCs/>
              </w:rPr>
              <w:t>施工结束后对临时设施予以拆除，统一采取平整土地措施，</w:t>
            </w:r>
            <w:r>
              <w:rPr>
                <w:lang w:val="zh-CN"/>
              </w:rPr>
              <w:t>迹地恢复原有砾幕，将工程建设的影响降到最低，</w:t>
            </w:r>
            <w:r>
              <w:rPr>
                <w:bCs/>
              </w:rPr>
              <w:t>使其恢复生态功能。在采取工程措施的同时，优选建设工期，强化施工期的管理、监理、监督体制，有效地防治项目区的水土流失，最大限度恢复原有土地使用功能，降低工程占地对土地利用现状的影响。因此，施工占地对周围地表的扰动是短暂的，项目占地对周边生态环境影响较小。</w:t>
            </w:r>
          </w:p>
          <w:p w14:paraId="0E5B9D50">
            <w:pPr>
              <w:widowControl/>
              <w:snapToGrid w:val="0"/>
              <w:spacing w:line="500" w:lineRule="exact"/>
              <w:ind w:firstLine="482" w:firstLineChars="200"/>
              <w:rPr>
                <w:rFonts w:cs="宋体"/>
                <w:b/>
                <w:bCs/>
                <w:sz w:val="24"/>
              </w:rPr>
            </w:pPr>
            <w:r>
              <w:rPr>
                <w:rFonts w:hint="eastAsia" w:cs="宋体"/>
                <w:b/>
                <w:bCs/>
                <w:sz w:val="24"/>
                <w:lang w:eastAsia="zh-CN"/>
              </w:rPr>
              <w:t>2.</w:t>
            </w:r>
            <w:r>
              <w:rPr>
                <w:rFonts w:hint="eastAsia" w:cs="宋体"/>
                <w:b/>
                <w:bCs/>
                <w:sz w:val="24"/>
              </w:rPr>
              <w:t>废气污染防治措施</w:t>
            </w:r>
          </w:p>
          <w:p w14:paraId="04BBFDFC">
            <w:pPr>
              <w:adjustRightInd w:val="0"/>
              <w:snapToGrid w:val="0"/>
              <w:spacing w:line="520" w:lineRule="exact"/>
              <w:ind w:firstLine="480" w:firstLineChars="200"/>
              <w:textAlignment w:val="baseline"/>
              <w:rPr>
                <w:rFonts w:cs="宋体"/>
                <w:snapToGrid w:val="0"/>
                <w:sz w:val="24"/>
              </w:rPr>
            </w:pPr>
            <w:r>
              <w:rPr>
                <w:rFonts w:cs="宋体"/>
                <w:snapToGrid w:val="0"/>
                <w:sz w:val="24"/>
              </w:rPr>
              <w:t>环评要求建设方严格落实本报告表提出的各项治理措施，必须保证项目施工建设对项目区周围环境的影响降到最低，将施工期粉尘污染降低到最低，施工期粉尘污染随施工期结束而消失，对环境空气影响不大。</w:t>
            </w:r>
            <w:bookmarkStart w:id="5" w:name="_Hlk169870165"/>
            <w:r>
              <w:rPr>
                <w:rFonts w:cs="宋体"/>
                <w:snapToGrid w:val="0"/>
                <w:sz w:val="24"/>
              </w:rPr>
              <w:t>在采取大气影响防治措施后，</w:t>
            </w:r>
            <w:r>
              <w:rPr>
                <w:rFonts w:hint="eastAsia" w:cs="宋体"/>
                <w:snapToGrid w:val="0"/>
                <w:sz w:val="24"/>
              </w:rPr>
              <w:t>厂界</w:t>
            </w:r>
            <w:r>
              <w:rPr>
                <w:rFonts w:cs="宋体"/>
                <w:snapToGrid w:val="0"/>
                <w:sz w:val="24"/>
              </w:rPr>
              <w:t>无组织</w:t>
            </w:r>
            <w:r>
              <w:rPr>
                <w:rFonts w:hint="eastAsia" w:cs="宋体"/>
                <w:snapToGrid w:val="0"/>
                <w:sz w:val="24"/>
              </w:rPr>
              <w:t>颗粒物</w:t>
            </w:r>
            <w:r>
              <w:rPr>
                <w:rFonts w:cs="宋体"/>
                <w:snapToGrid w:val="0"/>
                <w:sz w:val="24"/>
              </w:rPr>
              <w:t>排放浓度达到</w:t>
            </w:r>
            <w:r>
              <w:rPr>
                <w:rFonts w:hint="eastAsia" w:cs="宋体"/>
                <w:snapToGrid w:val="0"/>
                <w:sz w:val="24"/>
              </w:rPr>
              <w:t>《大气污染物综合排放标准》（GB16297-1996）无组织监控浓度限值要求</w:t>
            </w:r>
            <w:r>
              <w:rPr>
                <w:rFonts w:cs="宋体"/>
                <w:snapToGrid w:val="0"/>
                <w:sz w:val="24"/>
              </w:rPr>
              <w:t>。</w:t>
            </w:r>
            <w:bookmarkEnd w:id="5"/>
          </w:p>
          <w:p w14:paraId="7AFAC173">
            <w:pPr>
              <w:widowControl/>
              <w:spacing w:line="520" w:lineRule="exact"/>
              <w:ind w:firstLine="482" w:firstLineChars="200"/>
              <w:rPr>
                <w:b/>
                <w:bCs/>
                <w:sz w:val="24"/>
              </w:rPr>
            </w:pPr>
            <w:r>
              <w:rPr>
                <w:rFonts w:hint="eastAsia"/>
                <w:b/>
                <w:bCs/>
                <w:sz w:val="24"/>
                <w:lang w:eastAsia="zh-CN"/>
              </w:rPr>
              <w:t>3.</w:t>
            </w:r>
            <w:r>
              <w:rPr>
                <w:b/>
                <w:bCs/>
                <w:sz w:val="24"/>
              </w:rPr>
              <w:t>地表水环境影响减缓措施</w:t>
            </w:r>
          </w:p>
          <w:p w14:paraId="4F8C46A2">
            <w:pPr>
              <w:adjustRightInd w:val="0"/>
              <w:snapToGrid w:val="0"/>
              <w:spacing w:line="520" w:lineRule="exact"/>
              <w:ind w:firstLine="480" w:firstLineChars="200"/>
              <w:textAlignment w:val="baseline"/>
              <w:rPr>
                <w:rFonts w:cs="宋体"/>
                <w:snapToGrid w:val="0"/>
                <w:sz w:val="24"/>
              </w:rPr>
            </w:pPr>
            <w:r>
              <w:rPr>
                <w:rFonts w:cs="宋体"/>
                <w:snapToGrid w:val="0"/>
                <w:sz w:val="24"/>
              </w:rPr>
              <w:t>施工人员租用</w:t>
            </w:r>
            <w:r>
              <w:rPr>
                <w:rFonts w:hint="eastAsia" w:cs="宋体"/>
                <w:snapToGrid w:val="0"/>
                <w:sz w:val="24"/>
              </w:rPr>
              <w:t>火车站镇</w:t>
            </w:r>
            <w:r>
              <w:rPr>
                <w:rFonts w:cs="宋体"/>
                <w:snapToGrid w:val="0"/>
                <w:sz w:val="24"/>
              </w:rPr>
              <w:t>空置房屋，</w:t>
            </w:r>
            <w:r>
              <w:rPr>
                <w:rFonts w:hint="eastAsia" w:cs="宋体"/>
                <w:snapToGrid w:val="0"/>
                <w:sz w:val="24"/>
              </w:rPr>
              <w:t>施工过</w:t>
            </w:r>
            <w:r>
              <w:rPr>
                <w:rFonts w:hint="eastAsia" w:cs="宋体"/>
                <w:snapToGrid w:val="0"/>
                <w:sz w:val="24"/>
                <w:lang w:eastAsia="zh-CN"/>
              </w:rPr>
              <w:t>程中</w:t>
            </w:r>
            <w:r>
              <w:rPr>
                <w:rFonts w:cs="宋体"/>
                <w:snapToGrid w:val="0"/>
                <w:sz w:val="24"/>
              </w:rPr>
              <w:t>生活污水依托坎尔其水库管理站现有污水处理站处理</w:t>
            </w:r>
            <w:r>
              <w:rPr>
                <w:rFonts w:hint="eastAsia" w:cs="宋体"/>
                <w:snapToGrid w:val="0"/>
                <w:sz w:val="24"/>
              </w:rPr>
              <w:t>，</w:t>
            </w:r>
            <w:r>
              <w:rPr>
                <w:rFonts w:cs="宋体"/>
                <w:snapToGrid w:val="0"/>
                <w:sz w:val="24"/>
              </w:rPr>
              <w:t>生活污水不得随地倾倒，以防污染当地水质。车辆冲洗中只冲洗车身及车轮，冲洗废水排入沉淀池中沉淀，处理达标后用于路面泼洒和抑制扬尘。与此同时，本项目施工废水严禁排入河道内，生产废水经过沉淀后回用于生产，不外排。采取以上措施后，施工废水对周围环境影响较小。</w:t>
            </w:r>
          </w:p>
          <w:p w14:paraId="450EF763">
            <w:pPr>
              <w:adjustRightInd w:val="0"/>
              <w:snapToGrid w:val="0"/>
              <w:spacing w:line="520" w:lineRule="exact"/>
              <w:ind w:firstLine="480" w:firstLineChars="200"/>
              <w:textAlignment w:val="baseline"/>
              <w:rPr>
                <w:rFonts w:cs="宋体"/>
                <w:snapToGrid w:val="0"/>
                <w:sz w:val="24"/>
              </w:rPr>
            </w:pPr>
            <w:r>
              <w:rPr>
                <w:rFonts w:cs="宋体"/>
                <w:snapToGrid w:val="0"/>
                <w:sz w:val="24"/>
              </w:rPr>
              <w:t>做好鄯善县坎尔其水库水源地一级、二级水源保护区保护工作，严禁饮用水水源保护区内新建、改建、扩建与供水设施和保护水源无关的建设项目；严禁在保护区内设置产污设施。</w:t>
            </w:r>
          </w:p>
          <w:p w14:paraId="173B7853">
            <w:pPr>
              <w:widowControl/>
              <w:snapToGrid w:val="0"/>
              <w:spacing w:line="490" w:lineRule="exact"/>
              <w:ind w:firstLine="482" w:firstLineChars="200"/>
              <w:rPr>
                <w:rFonts w:cs="宋体"/>
                <w:b/>
                <w:bCs/>
                <w:sz w:val="24"/>
              </w:rPr>
            </w:pPr>
            <w:r>
              <w:rPr>
                <w:rFonts w:hint="eastAsia" w:cs="宋体"/>
                <w:b/>
                <w:bCs/>
                <w:sz w:val="24"/>
                <w:lang w:eastAsia="zh-CN"/>
              </w:rPr>
              <w:t>4.</w:t>
            </w:r>
            <w:r>
              <w:rPr>
                <w:rFonts w:hint="eastAsia" w:cs="宋体"/>
                <w:b/>
                <w:bCs/>
                <w:sz w:val="24"/>
              </w:rPr>
              <w:t>噪声污染防治措施</w:t>
            </w:r>
          </w:p>
          <w:p w14:paraId="5F83C4EB">
            <w:pPr>
              <w:adjustRightInd w:val="0"/>
              <w:snapToGrid w:val="0"/>
              <w:spacing w:line="520" w:lineRule="exact"/>
              <w:ind w:firstLine="480" w:firstLineChars="200"/>
              <w:textAlignment w:val="baseline"/>
              <w:rPr>
                <w:rFonts w:cs="宋体"/>
                <w:snapToGrid w:val="0"/>
                <w:sz w:val="24"/>
              </w:rPr>
            </w:pPr>
            <w:r>
              <w:rPr>
                <w:rFonts w:cs="宋体"/>
                <w:snapToGrid w:val="0"/>
                <w:sz w:val="24"/>
              </w:rPr>
              <w:t>施工期间的噪声问题是</w:t>
            </w:r>
            <w:r>
              <w:rPr>
                <w:rFonts w:hint="eastAsia" w:cs="宋体"/>
                <w:snapToGrid w:val="0"/>
                <w:sz w:val="24"/>
              </w:rPr>
              <w:t>线性项目</w:t>
            </w:r>
            <w:r>
              <w:rPr>
                <w:rFonts w:cs="宋体"/>
                <w:snapToGrid w:val="0"/>
                <w:sz w:val="24"/>
              </w:rPr>
              <w:t>建设期最主要的环境影响问题，建设</w:t>
            </w:r>
            <w:r>
              <w:rPr>
                <w:rFonts w:hint="eastAsia" w:cs="宋体"/>
                <w:snapToGrid w:val="0"/>
                <w:sz w:val="24"/>
              </w:rPr>
              <w:t>单位须</w:t>
            </w:r>
            <w:r>
              <w:rPr>
                <w:rFonts w:cs="宋体"/>
                <w:snapToGrid w:val="0"/>
                <w:sz w:val="24"/>
              </w:rPr>
              <w:t>严格</w:t>
            </w:r>
            <w:r>
              <w:rPr>
                <w:rFonts w:hint="eastAsia" w:cs="宋体"/>
                <w:snapToGrid w:val="0"/>
                <w:sz w:val="24"/>
              </w:rPr>
              <w:t>落实</w:t>
            </w:r>
            <w:r>
              <w:rPr>
                <w:rFonts w:cs="宋体"/>
                <w:snapToGrid w:val="0"/>
                <w:sz w:val="24"/>
              </w:rPr>
              <w:t>本环评提出的</w:t>
            </w:r>
            <w:r>
              <w:rPr>
                <w:rFonts w:hint="eastAsia" w:cs="宋体"/>
                <w:snapToGrid w:val="0"/>
                <w:sz w:val="24"/>
              </w:rPr>
              <w:t>各项</w:t>
            </w:r>
            <w:r>
              <w:rPr>
                <w:rFonts w:cs="宋体"/>
                <w:snapToGrid w:val="0"/>
                <w:sz w:val="24"/>
              </w:rPr>
              <w:t>噪声污染防治措施，尽量减小施工噪声对周围环境的影响。</w:t>
            </w:r>
          </w:p>
          <w:p w14:paraId="4BBD0314">
            <w:pPr>
              <w:adjustRightInd w:val="0"/>
              <w:snapToGrid w:val="0"/>
              <w:spacing w:line="520" w:lineRule="exact"/>
              <w:ind w:firstLine="480" w:firstLineChars="200"/>
              <w:textAlignment w:val="baseline"/>
              <w:rPr>
                <w:rFonts w:cs="宋体"/>
                <w:snapToGrid w:val="0"/>
                <w:kern w:val="0"/>
                <w:sz w:val="24"/>
              </w:rPr>
            </w:pPr>
            <w:r>
              <w:rPr>
                <w:rFonts w:cs="宋体"/>
                <w:snapToGrid w:val="0"/>
                <w:sz w:val="24"/>
              </w:rPr>
              <w:t>在采取相应措施并严格按照本评价要求进行施工的前提下，本项目施工噪声对周围声环境影响可大大减轻，且随施工结束而消除。</w:t>
            </w:r>
          </w:p>
          <w:p w14:paraId="2D2C02B0">
            <w:pPr>
              <w:widowControl/>
              <w:snapToGrid w:val="0"/>
              <w:spacing w:line="490" w:lineRule="exact"/>
              <w:ind w:firstLine="482" w:firstLineChars="200"/>
              <w:rPr>
                <w:rFonts w:cs="宋体"/>
                <w:sz w:val="24"/>
              </w:rPr>
            </w:pPr>
            <w:r>
              <w:rPr>
                <w:rFonts w:hint="eastAsia" w:cs="宋体"/>
                <w:b/>
                <w:bCs/>
                <w:sz w:val="24"/>
                <w:lang w:eastAsia="zh-CN"/>
              </w:rPr>
              <w:t>5.</w:t>
            </w:r>
            <w:r>
              <w:rPr>
                <w:rFonts w:hint="eastAsia" w:cs="宋体"/>
                <w:b/>
                <w:bCs/>
                <w:sz w:val="24"/>
              </w:rPr>
              <w:t>固体废物处置措施</w:t>
            </w:r>
          </w:p>
          <w:p w14:paraId="46549130">
            <w:pPr>
              <w:adjustRightInd w:val="0"/>
              <w:snapToGrid w:val="0"/>
              <w:spacing w:line="520" w:lineRule="exact"/>
              <w:ind w:firstLine="480" w:firstLineChars="200"/>
              <w:textAlignment w:val="baseline"/>
              <w:rPr>
                <w:rFonts w:cs="宋体"/>
                <w:snapToGrid w:val="0"/>
                <w:sz w:val="24"/>
                <w:lang w:val="zh-CN"/>
              </w:rPr>
            </w:pPr>
            <w:r>
              <w:rPr>
                <w:rFonts w:cs="宋体"/>
                <w:snapToGrid w:val="0"/>
                <w:sz w:val="24"/>
                <w:lang w:val="zh-CN"/>
              </w:rPr>
              <w:t>只要严格管理，对施工建筑垃圾</w:t>
            </w:r>
            <w:r>
              <w:rPr>
                <w:rFonts w:hint="eastAsia" w:cs="宋体"/>
                <w:snapToGrid w:val="0"/>
                <w:sz w:val="24"/>
                <w:lang w:val="zh-CN"/>
              </w:rPr>
              <w:t>、土石方</w:t>
            </w:r>
            <w:r>
              <w:rPr>
                <w:rFonts w:cs="宋体"/>
                <w:snapToGrid w:val="0"/>
                <w:sz w:val="24"/>
                <w:lang w:val="zh-CN"/>
              </w:rPr>
              <w:t>和生活垃圾做到及时清运，对当地环境不会产生明显影响。</w:t>
            </w:r>
          </w:p>
          <w:p w14:paraId="3552B98D">
            <w:pPr>
              <w:widowControl/>
              <w:snapToGrid w:val="0"/>
              <w:spacing w:line="500" w:lineRule="exact"/>
              <w:ind w:firstLine="482" w:firstLineChars="200"/>
              <w:rPr>
                <w:rFonts w:cs="宋体"/>
                <w:b/>
                <w:bCs/>
                <w:sz w:val="24"/>
              </w:rPr>
            </w:pPr>
            <w:r>
              <w:rPr>
                <w:rFonts w:hint="eastAsia" w:cs="宋体"/>
                <w:b/>
                <w:bCs/>
                <w:sz w:val="24"/>
                <w:lang w:eastAsia="zh-CN"/>
              </w:rPr>
              <w:t>6.</w:t>
            </w:r>
            <w:r>
              <w:rPr>
                <w:rFonts w:hint="eastAsia" w:cs="宋体"/>
                <w:b/>
                <w:bCs/>
                <w:sz w:val="24"/>
              </w:rPr>
              <w:t>水土保持措施</w:t>
            </w:r>
          </w:p>
          <w:p w14:paraId="1453FB38">
            <w:pPr>
              <w:widowControl/>
              <w:snapToGrid w:val="0"/>
              <w:spacing w:line="500" w:lineRule="exact"/>
              <w:ind w:firstLine="480" w:firstLineChars="200"/>
              <w:rPr>
                <w:rFonts w:cs="宋体"/>
                <w:sz w:val="24"/>
              </w:rPr>
            </w:pPr>
            <w:r>
              <w:rPr>
                <w:rFonts w:hint="eastAsia" w:cs="宋体"/>
                <w:sz w:val="24"/>
              </w:rPr>
              <w:t>采取本次评价提出的各项水土保持措施后可有效减轻对野生动植物和水土流失的不利影响，施工过程中对周围生态环境的破坏可降低至可接受水平。</w:t>
            </w:r>
          </w:p>
          <w:p w14:paraId="1AE24D35">
            <w:pPr>
              <w:widowControl/>
              <w:snapToGrid w:val="0"/>
              <w:spacing w:line="500" w:lineRule="exact"/>
              <w:ind w:firstLine="482" w:firstLineChars="200"/>
              <w:rPr>
                <w:rFonts w:cs="宋体"/>
                <w:b/>
                <w:bCs/>
                <w:sz w:val="24"/>
              </w:rPr>
            </w:pPr>
            <w:bookmarkStart w:id="6" w:name="_Hlk80273130"/>
            <w:r>
              <w:rPr>
                <w:rFonts w:hint="eastAsia" w:cs="宋体"/>
                <w:b/>
                <w:bCs/>
                <w:sz w:val="24"/>
                <w:lang w:eastAsia="zh-CN"/>
              </w:rPr>
              <w:t>7.</w:t>
            </w:r>
            <w:r>
              <w:rPr>
                <w:rFonts w:hint="eastAsia" w:cs="宋体"/>
                <w:b/>
                <w:bCs/>
                <w:sz w:val="24"/>
              </w:rPr>
              <w:t>施工期水源地保护措施</w:t>
            </w:r>
          </w:p>
          <w:p w14:paraId="24F7D00E">
            <w:pPr>
              <w:adjustRightInd w:val="0"/>
              <w:snapToGrid w:val="0"/>
              <w:spacing w:line="520" w:lineRule="exact"/>
              <w:ind w:firstLine="480" w:firstLineChars="200"/>
              <w:textAlignment w:val="baseline"/>
              <w:rPr>
                <w:rFonts w:cs="宋体"/>
                <w:snapToGrid w:val="0"/>
                <w:sz w:val="24"/>
              </w:rPr>
            </w:pPr>
            <w:r>
              <w:rPr>
                <w:rFonts w:cs="宋体"/>
                <w:snapToGrid w:val="0"/>
                <w:sz w:val="24"/>
              </w:rPr>
              <w:t>因项目占地涉及</w:t>
            </w:r>
            <w:r>
              <w:rPr>
                <w:rFonts w:hint="eastAsia"/>
                <w:bCs/>
                <w:snapToGrid w:val="0"/>
                <w:sz w:val="24"/>
              </w:rPr>
              <w:t>鄯善县坎尔其水库水源地一级、二级水源保护区</w:t>
            </w:r>
            <w:r>
              <w:rPr>
                <w:rFonts w:cs="宋体"/>
                <w:snapToGrid w:val="0"/>
                <w:sz w:val="24"/>
              </w:rPr>
              <w:t>，</w:t>
            </w:r>
            <w:r>
              <w:rPr>
                <w:rFonts w:hint="eastAsia" w:cs="宋体"/>
                <w:snapToGrid w:val="0"/>
                <w:sz w:val="24"/>
              </w:rPr>
              <w:t>应</w:t>
            </w:r>
            <w:r>
              <w:rPr>
                <w:rFonts w:cs="宋体"/>
                <w:snapToGrid w:val="0"/>
                <w:sz w:val="24"/>
              </w:rPr>
              <w:t>严格遵守《中华人民共和国生态环境法典》及《饮用水水源保护区污染防治管理规定》的相关要求，严禁在水源保护区内倾倒、堆放生活垃圾及施工废弃物；严禁在</w:t>
            </w:r>
            <w:r>
              <w:rPr>
                <w:rFonts w:hint="eastAsia" w:cs="宋体"/>
                <w:snapToGrid w:val="0"/>
                <w:sz w:val="24"/>
              </w:rPr>
              <w:t>水源</w:t>
            </w:r>
            <w:r>
              <w:rPr>
                <w:rFonts w:cs="宋体"/>
                <w:snapToGrid w:val="0"/>
                <w:sz w:val="24"/>
              </w:rPr>
              <w:t>保护区内设置施工生活营地、沉淀池、设备（车辆）冲洗场地、砂石料冲洗废水池等设施。</w:t>
            </w:r>
          </w:p>
          <w:p w14:paraId="7CDB2575">
            <w:pPr>
              <w:adjustRightInd w:val="0"/>
              <w:snapToGrid w:val="0"/>
              <w:spacing w:line="520" w:lineRule="exact"/>
              <w:ind w:firstLine="480" w:firstLineChars="200"/>
              <w:textAlignment w:val="baseline"/>
              <w:rPr>
                <w:rFonts w:cs="宋体"/>
                <w:snapToGrid w:val="0"/>
                <w:sz w:val="24"/>
              </w:rPr>
            </w:pPr>
            <w:r>
              <w:rPr>
                <w:rFonts w:cs="宋体"/>
                <w:snapToGrid w:val="0"/>
                <w:sz w:val="24"/>
              </w:rPr>
              <w:t>施工结束后，及时清理施工杂物及施工围堰，最大程度减少项目建设对水源地水质的影响；完善水源保护区警示性标志，大力开展饮用水源保护的宣传工作，合理控制河道两侧的人为活动范围；建立完善的预警监测系统，定期对饮用水源水质和河道来水水质进行监测，及时全面准确</w:t>
            </w:r>
            <w:r>
              <w:rPr>
                <w:rFonts w:hint="eastAsia" w:cs="宋体"/>
                <w:snapToGrid w:val="0"/>
                <w:sz w:val="24"/>
                <w:lang w:eastAsia="zh-CN"/>
              </w:rPr>
              <w:t>地</w:t>
            </w:r>
            <w:r>
              <w:rPr>
                <w:rFonts w:cs="宋体"/>
                <w:snapToGrid w:val="0"/>
                <w:sz w:val="24"/>
              </w:rPr>
              <w:t>掌握水质变化趋势。</w:t>
            </w:r>
          </w:p>
          <w:p w14:paraId="74D93CB4">
            <w:pPr>
              <w:pStyle w:val="57"/>
              <w:ind w:firstLine="482"/>
              <w:rPr>
                <w:b/>
                <w:bCs/>
              </w:rPr>
            </w:pPr>
            <w:r>
              <w:rPr>
                <w:rFonts w:hint="eastAsia"/>
                <w:b/>
                <w:bCs/>
                <w:lang w:eastAsia="zh-CN"/>
              </w:rPr>
              <w:t>8.</w:t>
            </w:r>
            <w:r>
              <w:rPr>
                <w:rFonts w:hint="eastAsia"/>
                <w:b/>
                <w:bCs/>
              </w:rPr>
              <w:t>防沙治沙措施</w:t>
            </w:r>
          </w:p>
          <w:p w14:paraId="4CFAA96B">
            <w:pPr>
              <w:pStyle w:val="57"/>
            </w:pPr>
            <w:r>
              <w:rPr>
                <w:rFonts w:hint="eastAsia"/>
              </w:rPr>
              <w:t>工程施工过</w:t>
            </w:r>
            <w:r>
              <w:rPr>
                <w:rFonts w:hint="eastAsia"/>
                <w:lang w:eastAsia="zh-CN"/>
              </w:rPr>
              <w:t>程中</w:t>
            </w:r>
            <w:r>
              <w:rPr>
                <w:rFonts w:hint="eastAsia"/>
              </w:rPr>
              <w:t>如遇到植被覆盖度高的区域，施工结束后，及时采取泼洒草籽，种植树木等措施，恢复原地貌。针对施工机械及运输车辆，提出如下措施：施工期间应划定施工活动范围，严格控制和管理运输车辆及重型机械的运输路线和范围，不得离开运输道路随意行驶，由专人负责，以防破坏土壤和植被，加剧土地荒漠化。</w:t>
            </w:r>
          </w:p>
          <w:p w14:paraId="579A4233">
            <w:pPr>
              <w:pStyle w:val="57"/>
            </w:pPr>
            <w:r>
              <w:rPr>
                <w:rFonts w:hint="eastAsia"/>
              </w:rPr>
              <w:t>工程措施、植被措施及其他措施，在本工程投入运行前完成，严禁防沙治沙措施未完成即投入运行。</w:t>
            </w:r>
            <w:bookmarkEnd w:id="6"/>
          </w:p>
        </w:tc>
      </w:tr>
      <w:tr w14:paraId="4E9A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 w:type="pct"/>
            <w:vAlign w:val="center"/>
          </w:tcPr>
          <w:p w14:paraId="649FC540">
            <w:pPr>
              <w:snapToGrid w:val="0"/>
              <w:spacing w:line="500" w:lineRule="exact"/>
              <w:jc w:val="center"/>
              <w:rPr>
                <w:rFonts w:cs="宋体"/>
                <w:sz w:val="24"/>
              </w:rPr>
            </w:pPr>
            <w:r>
              <w:rPr>
                <w:rFonts w:hint="eastAsia" w:cs="宋体"/>
                <w:sz w:val="24"/>
              </w:rPr>
              <w:t>运营期生态环境保护措施</w:t>
            </w:r>
          </w:p>
        </w:tc>
        <w:tc>
          <w:tcPr>
            <w:tcW w:w="4548" w:type="pct"/>
          </w:tcPr>
          <w:p w14:paraId="605F1545">
            <w:pPr>
              <w:pStyle w:val="35"/>
              <w:rPr>
                <w:rFonts w:hint="default"/>
              </w:rPr>
            </w:pPr>
            <w:r>
              <w:t>本项目建成后由鄯善县水管总站管理，工程管理人员由鄯善县水管总站在职人员担任，预计2人。不增加新的管理人员，现场不新设办公用房。</w:t>
            </w:r>
          </w:p>
          <w:p w14:paraId="5746B4FF">
            <w:pPr>
              <w:pStyle w:val="35"/>
              <w:rPr>
                <w:rFonts w:hint="default"/>
              </w:rPr>
            </w:pPr>
            <w:r>
              <w:t>运营期项目本身不产生“三废”及噪声，对环境无不利影响。</w:t>
            </w:r>
          </w:p>
        </w:tc>
      </w:tr>
      <w:tr w14:paraId="6B73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 w:type="pct"/>
            <w:vAlign w:val="center"/>
          </w:tcPr>
          <w:p w14:paraId="18E8C1AC">
            <w:pPr>
              <w:snapToGrid w:val="0"/>
              <w:spacing w:line="500" w:lineRule="exact"/>
              <w:jc w:val="center"/>
              <w:rPr>
                <w:rFonts w:cs="宋体"/>
                <w:sz w:val="24"/>
              </w:rPr>
            </w:pPr>
            <w:r>
              <w:rPr>
                <w:rFonts w:hint="eastAsia" w:cs="宋体"/>
                <w:sz w:val="24"/>
              </w:rPr>
              <w:t>其他</w:t>
            </w:r>
          </w:p>
        </w:tc>
        <w:tc>
          <w:tcPr>
            <w:tcW w:w="4548" w:type="pct"/>
            <w:vAlign w:val="center"/>
          </w:tcPr>
          <w:p w14:paraId="2E9A7DE4">
            <w:pPr>
              <w:pStyle w:val="35"/>
              <w:rPr>
                <w:rFonts w:hint="default" w:cs="宋体"/>
              </w:rPr>
            </w:pPr>
            <w:r>
              <w:rPr>
                <w:rFonts w:cs="宋体"/>
              </w:rPr>
              <w:t>本项目在施工期间对周围环境的影响主要为噪声、运输车辆扬尘。施工期监测计划如下：</w:t>
            </w:r>
          </w:p>
          <w:p w14:paraId="77DC5E3B">
            <w:pPr>
              <w:snapToGrid w:val="0"/>
              <w:spacing w:line="500" w:lineRule="exact"/>
              <w:jc w:val="center"/>
              <w:rPr>
                <w:rFonts w:eastAsia="黑体" w:cs="黑体"/>
                <w:sz w:val="24"/>
              </w:rPr>
            </w:pPr>
            <w:r>
              <w:rPr>
                <w:rFonts w:hint="eastAsia" w:eastAsia="黑体" w:cs="黑体"/>
                <w:sz w:val="24"/>
              </w:rPr>
              <w:t>表4-7    施工期环境监测计划一览表</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47"/>
              <w:gridCol w:w="1124"/>
              <w:gridCol w:w="1664"/>
              <w:gridCol w:w="2095"/>
              <w:gridCol w:w="1078"/>
            </w:tblGrid>
            <w:tr w14:paraId="2C990E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30" w:type="pct"/>
                  <w:vAlign w:val="center"/>
                </w:tcPr>
                <w:p w14:paraId="5C17E56F">
                  <w:pPr>
                    <w:pStyle w:val="60"/>
                    <w:rPr>
                      <w:snapToGrid w:val="0"/>
                      <w:color w:val="auto"/>
                    </w:rPr>
                  </w:pPr>
                  <w:r>
                    <w:rPr>
                      <w:rFonts w:hint="eastAsia"/>
                      <w:snapToGrid w:val="0"/>
                      <w:color w:val="auto"/>
                    </w:rPr>
                    <w:t>监测地点</w:t>
                  </w:r>
                </w:p>
              </w:tc>
              <w:tc>
                <w:tcPr>
                  <w:tcW w:w="748" w:type="pct"/>
                  <w:vAlign w:val="center"/>
                </w:tcPr>
                <w:p w14:paraId="1BC9B1A9">
                  <w:pPr>
                    <w:pStyle w:val="60"/>
                    <w:rPr>
                      <w:snapToGrid w:val="0"/>
                      <w:color w:val="auto"/>
                    </w:rPr>
                  </w:pPr>
                  <w:r>
                    <w:rPr>
                      <w:rFonts w:hint="eastAsia"/>
                      <w:snapToGrid w:val="0"/>
                      <w:color w:val="auto"/>
                    </w:rPr>
                    <w:t>监测项目</w:t>
                  </w:r>
                </w:p>
              </w:tc>
              <w:tc>
                <w:tcPr>
                  <w:tcW w:w="1108" w:type="pct"/>
                  <w:vAlign w:val="center"/>
                </w:tcPr>
                <w:p w14:paraId="23B16E2C">
                  <w:pPr>
                    <w:pStyle w:val="60"/>
                    <w:rPr>
                      <w:snapToGrid w:val="0"/>
                      <w:color w:val="auto"/>
                    </w:rPr>
                  </w:pPr>
                  <w:r>
                    <w:rPr>
                      <w:rFonts w:hint="eastAsia"/>
                      <w:snapToGrid w:val="0"/>
                      <w:color w:val="auto"/>
                    </w:rPr>
                    <w:t>监测频次</w:t>
                  </w:r>
                </w:p>
              </w:tc>
              <w:tc>
                <w:tcPr>
                  <w:tcW w:w="1394" w:type="pct"/>
                  <w:vAlign w:val="center"/>
                </w:tcPr>
                <w:p w14:paraId="68DC564A">
                  <w:pPr>
                    <w:pStyle w:val="60"/>
                    <w:rPr>
                      <w:snapToGrid w:val="0"/>
                      <w:color w:val="auto"/>
                    </w:rPr>
                  </w:pPr>
                  <w:r>
                    <w:rPr>
                      <w:rFonts w:hint="eastAsia"/>
                      <w:snapToGrid w:val="0"/>
                      <w:color w:val="auto"/>
                    </w:rPr>
                    <w:t>执行标准</w:t>
                  </w:r>
                </w:p>
              </w:tc>
              <w:tc>
                <w:tcPr>
                  <w:tcW w:w="718" w:type="pct"/>
                  <w:vAlign w:val="center"/>
                </w:tcPr>
                <w:p w14:paraId="67E73996">
                  <w:pPr>
                    <w:pStyle w:val="60"/>
                    <w:rPr>
                      <w:snapToGrid w:val="0"/>
                      <w:color w:val="auto"/>
                    </w:rPr>
                  </w:pPr>
                  <w:r>
                    <w:rPr>
                      <w:rFonts w:hint="eastAsia"/>
                      <w:snapToGrid w:val="0"/>
                      <w:color w:val="auto"/>
                    </w:rPr>
                    <w:t>实施机构</w:t>
                  </w:r>
                </w:p>
              </w:tc>
            </w:tr>
            <w:tr w14:paraId="38B30B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30" w:type="pct"/>
                  <w:vAlign w:val="center"/>
                </w:tcPr>
                <w:p w14:paraId="06BFCB47">
                  <w:pPr>
                    <w:pStyle w:val="60"/>
                    <w:rPr>
                      <w:snapToGrid w:val="0"/>
                      <w:color w:val="auto"/>
                    </w:rPr>
                  </w:pPr>
                  <w:r>
                    <w:rPr>
                      <w:rFonts w:hint="eastAsia"/>
                      <w:snapToGrid w:val="0"/>
                      <w:color w:val="auto"/>
                    </w:rPr>
                    <w:t>施工场地下风向处</w:t>
                  </w:r>
                </w:p>
              </w:tc>
              <w:tc>
                <w:tcPr>
                  <w:tcW w:w="748" w:type="pct"/>
                  <w:vAlign w:val="center"/>
                </w:tcPr>
                <w:p w14:paraId="06E61A9E">
                  <w:pPr>
                    <w:pStyle w:val="60"/>
                    <w:rPr>
                      <w:snapToGrid w:val="0"/>
                      <w:color w:val="auto"/>
                    </w:rPr>
                  </w:pPr>
                  <w:r>
                    <w:rPr>
                      <w:rFonts w:hint="eastAsia"/>
                      <w:snapToGrid w:val="0"/>
                      <w:color w:val="auto"/>
                    </w:rPr>
                    <w:t>TSP</w:t>
                  </w:r>
                </w:p>
              </w:tc>
              <w:tc>
                <w:tcPr>
                  <w:tcW w:w="1108" w:type="pct"/>
                  <w:vAlign w:val="center"/>
                </w:tcPr>
                <w:p w14:paraId="4497DF3D">
                  <w:pPr>
                    <w:pStyle w:val="60"/>
                    <w:rPr>
                      <w:snapToGrid w:val="0"/>
                      <w:color w:val="auto"/>
                    </w:rPr>
                  </w:pPr>
                  <w:r>
                    <w:rPr>
                      <w:rFonts w:hint="eastAsia"/>
                      <w:snapToGrid w:val="0"/>
                      <w:color w:val="auto"/>
                    </w:rPr>
                    <w:t>施工期内每季度一次，每次连续2d</w:t>
                  </w:r>
                </w:p>
              </w:tc>
              <w:tc>
                <w:tcPr>
                  <w:tcW w:w="1394" w:type="pct"/>
                  <w:vAlign w:val="center"/>
                </w:tcPr>
                <w:p w14:paraId="115BF7B6">
                  <w:pPr>
                    <w:pStyle w:val="60"/>
                    <w:rPr>
                      <w:snapToGrid w:val="0"/>
                      <w:color w:val="auto"/>
                    </w:rPr>
                  </w:pPr>
                  <w:r>
                    <w:rPr>
                      <w:rFonts w:hint="eastAsia"/>
                      <w:snapToGrid w:val="0"/>
                      <w:color w:val="auto"/>
                    </w:rPr>
                    <w:t>《大气污染物综合排放标准》（GB16297-1996）</w:t>
                  </w:r>
                </w:p>
              </w:tc>
              <w:tc>
                <w:tcPr>
                  <w:tcW w:w="718" w:type="pct"/>
                  <w:vMerge w:val="restart"/>
                  <w:vAlign w:val="center"/>
                </w:tcPr>
                <w:p w14:paraId="103ABEB6">
                  <w:pPr>
                    <w:pStyle w:val="60"/>
                    <w:rPr>
                      <w:snapToGrid w:val="0"/>
                      <w:color w:val="auto"/>
                    </w:rPr>
                  </w:pPr>
                  <w:r>
                    <w:rPr>
                      <w:rFonts w:hint="eastAsia"/>
                      <w:snapToGrid w:val="0"/>
                      <w:color w:val="auto"/>
                    </w:rPr>
                    <w:t>由建设单位委托具有相应资质的环境监测机构</w:t>
                  </w:r>
                </w:p>
              </w:tc>
            </w:tr>
            <w:tr w14:paraId="05C016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30" w:type="pct"/>
                  <w:vAlign w:val="center"/>
                </w:tcPr>
                <w:p w14:paraId="47CA6775">
                  <w:pPr>
                    <w:pStyle w:val="60"/>
                    <w:rPr>
                      <w:snapToGrid w:val="0"/>
                      <w:color w:val="auto"/>
                    </w:rPr>
                  </w:pPr>
                  <w:r>
                    <w:rPr>
                      <w:rFonts w:hint="eastAsia"/>
                      <w:snapToGrid w:val="0"/>
                      <w:color w:val="auto"/>
                    </w:rPr>
                    <w:t>施工作业点距离保护目标最近的施工现场</w:t>
                  </w:r>
                </w:p>
              </w:tc>
              <w:tc>
                <w:tcPr>
                  <w:tcW w:w="748" w:type="pct"/>
                  <w:vAlign w:val="center"/>
                </w:tcPr>
                <w:p w14:paraId="3AEFCDF1">
                  <w:pPr>
                    <w:pStyle w:val="60"/>
                    <w:rPr>
                      <w:snapToGrid w:val="0"/>
                      <w:color w:val="auto"/>
                    </w:rPr>
                  </w:pPr>
                  <w:r>
                    <w:rPr>
                      <w:rFonts w:hint="eastAsia"/>
                      <w:snapToGrid w:val="0"/>
                      <w:color w:val="auto"/>
                    </w:rPr>
                    <w:t>噪声</w:t>
                  </w:r>
                </w:p>
              </w:tc>
              <w:tc>
                <w:tcPr>
                  <w:tcW w:w="1108" w:type="pct"/>
                  <w:vAlign w:val="center"/>
                </w:tcPr>
                <w:p w14:paraId="1CBC799C">
                  <w:pPr>
                    <w:pStyle w:val="60"/>
                    <w:rPr>
                      <w:snapToGrid w:val="0"/>
                      <w:color w:val="auto"/>
                    </w:rPr>
                  </w:pPr>
                  <w:r>
                    <w:rPr>
                      <w:rFonts w:hint="eastAsia"/>
                      <w:snapToGrid w:val="0"/>
                      <w:color w:val="auto"/>
                    </w:rPr>
                    <w:t>施工期内每季度一次，监测1d，昼夜各一次</w:t>
                  </w:r>
                </w:p>
              </w:tc>
              <w:tc>
                <w:tcPr>
                  <w:tcW w:w="1394" w:type="pct"/>
                  <w:vAlign w:val="center"/>
                </w:tcPr>
                <w:p w14:paraId="05920E19">
                  <w:pPr>
                    <w:pStyle w:val="60"/>
                    <w:rPr>
                      <w:snapToGrid w:val="0"/>
                      <w:color w:val="auto"/>
                    </w:rPr>
                  </w:pPr>
                  <w:r>
                    <w:rPr>
                      <w:rFonts w:hint="eastAsia"/>
                      <w:snapToGrid w:val="0"/>
                      <w:color w:val="auto"/>
                    </w:rPr>
                    <w:t>《建筑施工噪声排放标准》（GB 12523-2025）</w:t>
                  </w:r>
                </w:p>
              </w:tc>
              <w:tc>
                <w:tcPr>
                  <w:tcW w:w="718" w:type="pct"/>
                  <w:vMerge w:val="continue"/>
                  <w:vAlign w:val="center"/>
                </w:tcPr>
                <w:p w14:paraId="4F337FF1">
                  <w:pPr>
                    <w:pStyle w:val="60"/>
                    <w:rPr>
                      <w:snapToGrid w:val="0"/>
                      <w:color w:val="auto"/>
                    </w:rPr>
                  </w:pPr>
                </w:p>
              </w:tc>
            </w:tr>
          </w:tbl>
          <w:p w14:paraId="352BC6BA">
            <w:pPr>
              <w:pStyle w:val="43"/>
              <w:snapToGrid w:val="0"/>
              <w:spacing w:line="460" w:lineRule="exact"/>
              <w:ind w:firstLine="0" w:firstLineChars="0"/>
              <w:rPr>
                <w:rFonts w:ascii="Times New Roman" w:hAnsi="Times New Roman" w:cs="宋体"/>
              </w:rPr>
            </w:pPr>
          </w:p>
        </w:tc>
      </w:tr>
    </w:tbl>
    <w:p w14:paraId="2ACACD75">
      <w:pPr>
        <w:pStyle w:val="21"/>
        <w:rPr>
          <w:rFonts w:ascii="Times New Roman" w:hAnsi="Times New Roman"/>
        </w:rPr>
        <w:sectPr>
          <w:pgSz w:w="11906" w:h="16838"/>
          <w:pgMar w:top="1417" w:right="1587" w:bottom="1417" w:left="1587" w:header="851" w:footer="992" w:gutter="0"/>
          <w:cols w:space="425" w:num="1"/>
          <w:docGrid w:type="lines" w:linePitch="312" w:charSpace="0"/>
        </w:sectPr>
      </w:pPr>
    </w:p>
    <w:p w14:paraId="4138DC04">
      <w:pPr>
        <w:pStyle w:val="2"/>
        <w:snapToGrid w:val="0"/>
        <w:spacing w:before="0" w:after="0" w:line="360" w:lineRule="auto"/>
        <w:jc w:val="center"/>
        <w:rPr>
          <w:rFonts w:eastAsia="黑体" w:cs="黑体"/>
          <w:b w:val="0"/>
          <w:bCs/>
          <w:sz w:val="30"/>
          <w:szCs w:val="30"/>
        </w:rPr>
      </w:pPr>
      <w:bookmarkStart w:id="7" w:name="_Toc239674216"/>
      <w:r>
        <w:rPr>
          <w:rFonts w:hint="eastAsia" w:eastAsia="黑体" w:cs="黑体"/>
          <w:b w:val="0"/>
          <w:bCs/>
          <w:sz w:val="30"/>
          <w:szCs w:val="30"/>
        </w:rPr>
        <w:t>六、生态环境保护措施监督检查清单</w:t>
      </w:r>
      <w:bookmarkEnd w:id="7"/>
    </w:p>
    <w:tbl>
      <w:tblPr>
        <w:tblStyle w:val="2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79" w:type="dxa"/>
          <w:bottom w:w="0" w:type="dxa"/>
          <w:right w:w="79" w:type="dxa"/>
        </w:tblCellMar>
      </w:tblPr>
      <w:tblGrid>
        <w:gridCol w:w="1063"/>
        <w:gridCol w:w="3988"/>
        <w:gridCol w:w="1769"/>
        <w:gridCol w:w="1073"/>
        <w:gridCol w:w="819"/>
      </w:tblGrid>
      <w:tr w14:paraId="250AB5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4" w:hRule="atLeast"/>
          <w:tblHeader/>
          <w:jc w:val="center"/>
        </w:trPr>
        <w:tc>
          <w:tcPr>
            <w:tcW w:w="610" w:type="pct"/>
            <w:vMerge w:val="restart"/>
            <w:tcBorders>
              <w:tl2br w:val="single" w:color="auto" w:sz="4" w:space="0"/>
            </w:tcBorders>
          </w:tcPr>
          <w:p w14:paraId="3D5D6F7A">
            <w:pPr>
              <w:jc w:val="right"/>
              <w:rPr>
                <w:rFonts w:hint="eastAsia" w:ascii="黑体" w:hAnsi="黑体" w:eastAsia="黑体" w:cs="黑体"/>
                <w:sz w:val="24"/>
              </w:rPr>
            </w:pPr>
            <w:bookmarkStart w:id="8" w:name="_Toc20361"/>
            <w:r>
              <w:rPr>
                <w:rFonts w:hint="eastAsia" w:ascii="黑体" w:hAnsi="黑体" w:eastAsia="黑体" w:cs="黑体"/>
                <w:sz w:val="24"/>
              </w:rPr>
              <w:t>内容</w:t>
            </w:r>
            <w:bookmarkEnd w:id="8"/>
          </w:p>
          <w:p w14:paraId="448A75FC">
            <w:pPr>
              <w:jc w:val="center"/>
              <w:rPr>
                <w:rFonts w:hint="eastAsia" w:ascii="黑体" w:hAnsi="黑体" w:eastAsia="黑体" w:cs="黑体"/>
                <w:sz w:val="24"/>
              </w:rPr>
            </w:pPr>
          </w:p>
          <w:p w14:paraId="0EDD1626">
            <w:pPr>
              <w:jc w:val="left"/>
              <w:rPr>
                <w:rFonts w:hint="eastAsia" w:ascii="黑体" w:hAnsi="黑体" w:eastAsia="黑体" w:cs="黑体"/>
                <w:sz w:val="24"/>
              </w:rPr>
            </w:pPr>
            <w:bookmarkStart w:id="9" w:name="_Toc15510"/>
            <w:r>
              <w:rPr>
                <w:rFonts w:hint="eastAsia" w:ascii="黑体" w:hAnsi="黑体" w:eastAsia="黑体" w:cs="黑体"/>
                <w:sz w:val="24"/>
              </w:rPr>
              <w:t>要素</w:t>
            </w:r>
            <w:bookmarkEnd w:id="9"/>
          </w:p>
        </w:tc>
        <w:tc>
          <w:tcPr>
            <w:tcW w:w="3304" w:type="pct"/>
            <w:gridSpan w:val="2"/>
            <w:vAlign w:val="center"/>
          </w:tcPr>
          <w:p w14:paraId="52A75BDD">
            <w:pPr>
              <w:jc w:val="center"/>
              <w:rPr>
                <w:rFonts w:hint="eastAsia" w:ascii="黑体" w:hAnsi="黑体" w:eastAsia="黑体" w:cs="黑体"/>
                <w:sz w:val="24"/>
              </w:rPr>
            </w:pPr>
            <w:bookmarkStart w:id="10" w:name="_Toc26131"/>
            <w:r>
              <w:rPr>
                <w:rFonts w:hint="eastAsia" w:ascii="黑体" w:hAnsi="黑体" w:eastAsia="黑体" w:cs="黑体"/>
                <w:sz w:val="24"/>
              </w:rPr>
              <w:t>施工期</w:t>
            </w:r>
            <w:bookmarkEnd w:id="10"/>
          </w:p>
        </w:tc>
        <w:tc>
          <w:tcPr>
            <w:tcW w:w="1086" w:type="pct"/>
            <w:gridSpan w:val="2"/>
            <w:vAlign w:val="center"/>
          </w:tcPr>
          <w:p w14:paraId="797BFFA1">
            <w:pPr>
              <w:jc w:val="center"/>
              <w:rPr>
                <w:rFonts w:hint="eastAsia" w:ascii="黑体" w:hAnsi="黑体" w:eastAsia="黑体" w:cs="黑体"/>
                <w:sz w:val="24"/>
              </w:rPr>
            </w:pPr>
            <w:bookmarkStart w:id="11" w:name="_Toc2143"/>
            <w:r>
              <w:rPr>
                <w:rFonts w:hint="eastAsia" w:ascii="黑体" w:hAnsi="黑体" w:eastAsia="黑体" w:cs="黑体"/>
                <w:sz w:val="24"/>
              </w:rPr>
              <w:t>运营期</w:t>
            </w:r>
            <w:bookmarkEnd w:id="11"/>
          </w:p>
        </w:tc>
      </w:tr>
      <w:tr w14:paraId="05FC9C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90" w:hRule="atLeast"/>
          <w:tblHeader/>
          <w:jc w:val="center"/>
        </w:trPr>
        <w:tc>
          <w:tcPr>
            <w:tcW w:w="610" w:type="pct"/>
            <w:vMerge w:val="continue"/>
          </w:tcPr>
          <w:p w14:paraId="26D76816">
            <w:pPr>
              <w:jc w:val="center"/>
              <w:rPr>
                <w:rFonts w:hint="eastAsia" w:ascii="黑体" w:hAnsi="黑体" w:eastAsia="黑体" w:cs="黑体"/>
                <w:sz w:val="24"/>
              </w:rPr>
            </w:pPr>
          </w:p>
        </w:tc>
        <w:tc>
          <w:tcPr>
            <w:tcW w:w="2289" w:type="pct"/>
            <w:vAlign w:val="center"/>
          </w:tcPr>
          <w:p w14:paraId="30C0CAB1">
            <w:pPr>
              <w:jc w:val="center"/>
              <w:rPr>
                <w:rFonts w:hint="eastAsia" w:ascii="黑体" w:hAnsi="黑体" w:eastAsia="黑体" w:cs="黑体"/>
                <w:sz w:val="24"/>
              </w:rPr>
            </w:pPr>
            <w:bookmarkStart w:id="12" w:name="_Toc13091"/>
            <w:r>
              <w:rPr>
                <w:rFonts w:hint="eastAsia" w:ascii="黑体" w:hAnsi="黑体" w:eastAsia="黑体" w:cs="黑体"/>
                <w:sz w:val="24"/>
              </w:rPr>
              <w:t>环境保护措施</w:t>
            </w:r>
            <w:bookmarkEnd w:id="12"/>
          </w:p>
        </w:tc>
        <w:tc>
          <w:tcPr>
            <w:tcW w:w="1013" w:type="pct"/>
            <w:vAlign w:val="center"/>
          </w:tcPr>
          <w:p w14:paraId="6F2CB2B4">
            <w:pPr>
              <w:jc w:val="center"/>
              <w:rPr>
                <w:rFonts w:hint="eastAsia" w:ascii="黑体" w:hAnsi="黑体" w:eastAsia="黑体" w:cs="黑体"/>
                <w:sz w:val="24"/>
              </w:rPr>
            </w:pPr>
            <w:bookmarkStart w:id="13" w:name="_Toc29711"/>
            <w:r>
              <w:rPr>
                <w:rFonts w:hint="eastAsia" w:ascii="黑体" w:hAnsi="黑体" w:eastAsia="黑体" w:cs="黑体"/>
                <w:sz w:val="24"/>
              </w:rPr>
              <w:t>验收要求</w:t>
            </w:r>
            <w:bookmarkEnd w:id="13"/>
          </w:p>
        </w:tc>
        <w:tc>
          <w:tcPr>
            <w:tcW w:w="616" w:type="pct"/>
            <w:vAlign w:val="center"/>
          </w:tcPr>
          <w:p w14:paraId="20D08B65">
            <w:pPr>
              <w:jc w:val="center"/>
              <w:rPr>
                <w:rFonts w:hint="eastAsia" w:ascii="黑体" w:hAnsi="黑体" w:eastAsia="黑体" w:cs="黑体"/>
                <w:sz w:val="24"/>
              </w:rPr>
            </w:pPr>
            <w:bookmarkStart w:id="14" w:name="_Toc19218"/>
            <w:r>
              <w:rPr>
                <w:rFonts w:hint="eastAsia" w:ascii="黑体" w:hAnsi="黑体" w:eastAsia="黑体" w:cs="黑体"/>
                <w:sz w:val="24"/>
              </w:rPr>
              <w:t>环境保护措施</w:t>
            </w:r>
            <w:bookmarkEnd w:id="14"/>
          </w:p>
        </w:tc>
        <w:tc>
          <w:tcPr>
            <w:tcW w:w="470" w:type="pct"/>
            <w:vAlign w:val="center"/>
          </w:tcPr>
          <w:p w14:paraId="7B8059A9">
            <w:pPr>
              <w:jc w:val="center"/>
              <w:rPr>
                <w:rFonts w:hint="eastAsia" w:ascii="黑体" w:hAnsi="黑体" w:eastAsia="黑体" w:cs="黑体"/>
                <w:sz w:val="24"/>
              </w:rPr>
            </w:pPr>
            <w:bookmarkStart w:id="15" w:name="_Toc8293"/>
            <w:r>
              <w:rPr>
                <w:rFonts w:hint="eastAsia" w:ascii="黑体" w:hAnsi="黑体" w:eastAsia="黑体" w:cs="黑体"/>
                <w:sz w:val="24"/>
              </w:rPr>
              <w:t>验收要求</w:t>
            </w:r>
            <w:bookmarkEnd w:id="15"/>
          </w:p>
        </w:tc>
      </w:tr>
      <w:tr w14:paraId="24FEE6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4" w:hRule="atLeast"/>
          <w:jc w:val="center"/>
        </w:trPr>
        <w:tc>
          <w:tcPr>
            <w:tcW w:w="610" w:type="pct"/>
            <w:vAlign w:val="center"/>
          </w:tcPr>
          <w:p w14:paraId="470DFC3A">
            <w:pPr>
              <w:adjustRightInd w:val="0"/>
              <w:snapToGrid w:val="0"/>
              <w:jc w:val="center"/>
              <w:rPr>
                <w:rFonts w:cs="宋体"/>
                <w:szCs w:val="21"/>
              </w:rPr>
            </w:pPr>
            <w:r>
              <w:rPr>
                <w:rFonts w:hint="eastAsia" w:cs="宋体"/>
                <w:szCs w:val="21"/>
              </w:rPr>
              <w:t>陆生生态</w:t>
            </w:r>
          </w:p>
        </w:tc>
        <w:tc>
          <w:tcPr>
            <w:tcW w:w="2289" w:type="pct"/>
            <w:vAlign w:val="center"/>
          </w:tcPr>
          <w:p w14:paraId="7E920958">
            <w:pPr>
              <w:adjustRightInd w:val="0"/>
              <w:snapToGrid w:val="0"/>
              <w:jc w:val="center"/>
              <w:rPr>
                <w:rFonts w:cs="宋体"/>
                <w:szCs w:val="21"/>
              </w:rPr>
            </w:pPr>
            <w:r>
              <w:rPr>
                <w:rFonts w:cs="宋体"/>
                <w:szCs w:val="21"/>
              </w:rPr>
              <w:fldChar w:fldCharType="begin"/>
            </w:r>
            <w:r>
              <w:rPr>
                <w:rFonts w:cs="宋体"/>
                <w:szCs w:val="21"/>
              </w:rPr>
              <w:instrText xml:space="preserve"> </w:instrText>
            </w:r>
            <w:r>
              <w:rPr>
                <w:rFonts w:hint="eastAsia" w:cs="宋体"/>
                <w:szCs w:val="21"/>
              </w:rPr>
              <w:instrText xml:space="preserve">= 1 \* GB3</w:instrText>
            </w:r>
            <w:r>
              <w:rPr>
                <w:rFonts w:cs="宋体"/>
                <w:szCs w:val="21"/>
              </w:rPr>
              <w:instrText xml:space="preserve"> </w:instrText>
            </w:r>
            <w:r>
              <w:rPr>
                <w:rFonts w:cs="宋体"/>
                <w:szCs w:val="21"/>
              </w:rPr>
              <w:fldChar w:fldCharType="separate"/>
            </w:r>
            <w:r>
              <w:rPr>
                <w:rFonts w:hint="eastAsia" w:cs="宋体"/>
                <w:szCs w:val="21"/>
              </w:rPr>
              <w:t>①</w:t>
            </w:r>
            <w:r>
              <w:rPr>
                <w:rFonts w:cs="宋体"/>
                <w:szCs w:val="21"/>
              </w:rPr>
              <w:fldChar w:fldCharType="end"/>
            </w:r>
            <w:r>
              <w:rPr>
                <w:rFonts w:hint="eastAsia" w:cs="宋体"/>
                <w:szCs w:val="21"/>
              </w:rPr>
              <w:t>严格划定车辆运输路线，禁止乱碾乱轧；避免各种污染物对土壤环境产生不利影响；②严格控制占地，严格规定各类工作人员的活动范围；③施工结束后施工机械、设备及时撤离，固体废物妥善处置，现场禁止遗留；</w:t>
            </w:r>
            <w:r>
              <w:rPr>
                <w:rFonts w:cs="宋体"/>
                <w:szCs w:val="21"/>
              </w:rPr>
              <w:fldChar w:fldCharType="begin"/>
            </w:r>
            <w:r>
              <w:rPr>
                <w:rFonts w:cs="宋体"/>
                <w:szCs w:val="21"/>
              </w:rPr>
              <w:instrText xml:space="preserve"> </w:instrText>
            </w:r>
            <w:r>
              <w:rPr>
                <w:rFonts w:hint="eastAsia" w:cs="宋体"/>
                <w:szCs w:val="21"/>
              </w:rPr>
              <w:instrText xml:space="preserve">= 4 \* GB3</w:instrText>
            </w:r>
            <w:r>
              <w:rPr>
                <w:rFonts w:cs="宋体"/>
                <w:szCs w:val="21"/>
              </w:rPr>
              <w:instrText xml:space="preserve"> </w:instrText>
            </w:r>
            <w:r>
              <w:rPr>
                <w:rFonts w:cs="宋体"/>
                <w:szCs w:val="21"/>
              </w:rPr>
              <w:fldChar w:fldCharType="separate"/>
            </w:r>
            <w:r>
              <w:rPr>
                <w:rFonts w:hint="eastAsia" w:cs="宋体"/>
                <w:szCs w:val="21"/>
              </w:rPr>
              <w:t>④</w:t>
            </w:r>
            <w:r>
              <w:rPr>
                <w:rFonts w:cs="宋体"/>
                <w:szCs w:val="21"/>
              </w:rPr>
              <w:fldChar w:fldCharType="end"/>
            </w:r>
            <w:r>
              <w:rPr>
                <w:rFonts w:hint="eastAsia" w:cs="宋体"/>
                <w:szCs w:val="21"/>
              </w:rPr>
              <w:t>施工结束后及时对临时占地地表进行清理、平整并压实。</w:t>
            </w:r>
          </w:p>
        </w:tc>
        <w:tc>
          <w:tcPr>
            <w:tcW w:w="1013" w:type="pct"/>
            <w:vAlign w:val="center"/>
          </w:tcPr>
          <w:p w14:paraId="437D71B9">
            <w:pPr>
              <w:adjustRightInd w:val="0"/>
              <w:snapToGrid w:val="0"/>
              <w:jc w:val="center"/>
              <w:rPr>
                <w:rFonts w:cs="宋体"/>
                <w:szCs w:val="21"/>
              </w:rPr>
            </w:pPr>
            <w:r>
              <w:rPr>
                <w:rFonts w:cs="宋体"/>
                <w:szCs w:val="21"/>
              </w:rPr>
              <w:t>施工结束后清理、平整并压实</w:t>
            </w:r>
            <w:r>
              <w:rPr>
                <w:rFonts w:hint="eastAsia" w:cs="宋体"/>
                <w:szCs w:val="21"/>
              </w:rPr>
              <w:t>临时占地</w:t>
            </w:r>
            <w:r>
              <w:rPr>
                <w:rFonts w:cs="宋体"/>
                <w:szCs w:val="21"/>
              </w:rPr>
              <w:t>，以利于土壤、植被自然恢复</w:t>
            </w:r>
            <w:r>
              <w:rPr>
                <w:rFonts w:hint="eastAsia" w:cs="宋体"/>
                <w:szCs w:val="21"/>
              </w:rPr>
              <w:t>；现场无废水和固体废物遗留。</w:t>
            </w:r>
          </w:p>
        </w:tc>
        <w:tc>
          <w:tcPr>
            <w:tcW w:w="616" w:type="pct"/>
            <w:vAlign w:val="center"/>
          </w:tcPr>
          <w:p w14:paraId="3E80B0AE">
            <w:pPr>
              <w:adjustRightInd w:val="0"/>
              <w:snapToGrid w:val="0"/>
              <w:jc w:val="center"/>
              <w:rPr>
                <w:rFonts w:cs="宋体"/>
                <w:szCs w:val="21"/>
              </w:rPr>
            </w:pPr>
            <w:r>
              <w:rPr>
                <w:rFonts w:hint="eastAsia" w:cs="宋体"/>
                <w:szCs w:val="21"/>
              </w:rPr>
              <w:t>/</w:t>
            </w:r>
          </w:p>
        </w:tc>
        <w:tc>
          <w:tcPr>
            <w:tcW w:w="470" w:type="pct"/>
            <w:vAlign w:val="center"/>
          </w:tcPr>
          <w:p w14:paraId="6A06E152">
            <w:pPr>
              <w:adjustRightInd w:val="0"/>
              <w:snapToGrid w:val="0"/>
              <w:jc w:val="center"/>
              <w:rPr>
                <w:rFonts w:cs="宋体"/>
                <w:szCs w:val="21"/>
              </w:rPr>
            </w:pPr>
            <w:r>
              <w:rPr>
                <w:rFonts w:hint="eastAsia" w:cs="宋体"/>
                <w:szCs w:val="21"/>
              </w:rPr>
              <w:t>/</w:t>
            </w:r>
          </w:p>
        </w:tc>
      </w:tr>
      <w:tr w14:paraId="7CB4D3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4" w:hRule="atLeast"/>
          <w:jc w:val="center"/>
        </w:trPr>
        <w:tc>
          <w:tcPr>
            <w:tcW w:w="610" w:type="pct"/>
            <w:vAlign w:val="center"/>
          </w:tcPr>
          <w:p w14:paraId="61CB48D9">
            <w:pPr>
              <w:adjustRightInd w:val="0"/>
              <w:snapToGrid w:val="0"/>
              <w:jc w:val="center"/>
              <w:rPr>
                <w:rFonts w:cs="宋体"/>
                <w:szCs w:val="21"/>
              </w:rPr>
            </w:pPr>
            <w:r>
              <w:rPr>
                <w:rFonts w:hint="eastAsia" w:cs="宋体"/>
                <w:szCs w:val="21"/>
              </w:rPr>
              <w:t>水生生态</w:t>
            </w:r>
          </w:p>
        </w:tc>
        <w:tc>
          <w:tcPr>
            <w:tcW w:w="2289" w:type="pct"/>
            <w:vAlign w:val="center"/>
          </w:tcPr>
          <w:p w14:paraId="4EB69069">
            <w:pPr>
              <w:adjustRightInd w:val="0"/>
              <w:snapToGrid w:val="0"/>
              <w:jc w:val="center"/>
              <w:rPr>
                <w:rFonts w:cs="宋体"/>
                <w:szCs w:val="21"/>
              </w:rPr>
            </w:pPr>
            <w:r>
              <w:rPr>
                <w:kern w:val="0"/>
                <w:szCs w:val="21"/>
              </w:rPr>
              <w:t>禁止抛弃有害物质</w:t>
            </w:r>
            <w:r>
              <w:rPr>
                <w:rFonts w:hint="eastAsia"/>
                <w:kern w:val="0"/>
                <w:szCs w:val="21"/>
              </w:rPr>
              <w:t>进入河道内，</w:t>
            </w:r>
            <w:r>
              <w:rPr>
                <w:kern w:val="0"/>
                <w:szCs w:val="21"/>
              </w:rPr>
              <w:t>不得随便破坏河床、河岸及河岸植被，加强施工人员对水生生态意识宣传</w:t>
            </w:r>
            <w:r>
              <w:rPr>
                <w:rFonts w:hint="eastAsia"/>
                <w:kern w:val="0"/>
                <w:szCs w:val="21"/>
              </w:rPr>
              <w:t>，</w:t>
            </w:r>
            <w:r>
              <w:rPr>
                <w:rFonts w:hint="eastAsia" w:cs="宋体"/>
                <w:szCs w:val="21"/>
              </w:rPr>
              <w:t>合理控制施工时间，严禁物料带入水体，严格落实水土保持措施。</w:t>
            </w:r>
          </w:p>
        </w:tc>
        <w:tc>
          <w:tcPr>
            <w:tcW w:w="1013" w:type="pct"/>
            <w:vAlign w:val="center"/>
          </w:tcPr>
          <w:p w14:paraId="4CCEF558">
            <w:pPr>
              <w:adjustRightInd w:val="0"/>
              <w:snapToGrid w:val="0"/>
              <w:jc w:val="center"/>
              <w:rPr>
                <w:rFonts w:cs="宋体"/>
                <w:szCs w:val="21"/>
              </w:rPr>
            </w:pPr>
            <w:r>
              <w:rPr>
                <w:rFonts w:hint="eastAsia" w:cs="宋体"/>
                <w:szCs w:val="21"/>
              </w:rPr>
              <w:t>不造成太大生态影响。</w:t>
            </w:r>
          </w:p>
        </w:tc>
        <w:tc>
          <w:tcPr>
            <w:tcW w:w="616" w:type="pct"/>
            <w:vAlign w:val="center"/>
          </w:tcPr>
          <w:p w14:paraId="3AA70BB5">
            <w:pPr>
              <w:adjustRightInd w:val="0"/>
              <w:snapToGrid w:val="0"/>
              <w:jc w:val="center"/>
              <w:rPr>
                <w:rFonts w:cs="宋体"/>
                <w:szCs w:val="21"/>
              </w:rPr>
            </w:pPr>
            <w:r>
              <w:rPr>
                <w:rFonts w:hint="eastAsia" w:cs="宋体"/>
                <w:szCs w:val="21"/>
              </w:rPr>
              <w:t>/</w:t>
            </w:r>
          </w:p>
        </w:tc>
        <w:tc>
          <w:tcPr>
            <w:tcW w:w="470" w:type="pct"/>
            <w:vAlign w:val="center"/>
          </w:tcPr>
          <w:p w14:paraId="3578F752">
            <w:pPr>
              <w:adjustRightInd w:val="0"/>
              <w:snapToGrid w:val="0"/>
              <w:jc w:val="center"/>
              <w:rPr>
                <w:rFonts w:cs="宋体"/>
                <w:szCs w:val="21"/>
              </w:rPr>
            </w:pPr>
            <w:r>
              <w:rPr>
                <w:rFonts w:hint="eastAsia" w:cs="宋体"/>
                <w:szCs w:val="21"/>
              </w:rPr>
              <w:t>/</w:t>
            </w:r>
          </w:p>
        </w:tc>
      </w:tr>
      <w:tr w14:paraId="578C19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4" w:hRule="atLeast"/>
          <w:jc w:val="center"/>
        </w:trPr>
        <w:tc>
          <w:tcPr>
            <w:tcW w:w="610" w:type="pct"/>
            <w:vAlign w:val="center"/>
          </w:tcPr>
          <w:p w14:paraId="4012EC14">
            <w:pPr>
              <w:adjustRightInd w:val="0"/>
              <w:snapToGrid w:val="0"/>
              <w:jc w:val="center"/>
              <w:rPr>
                <w:rFonts w:cs="宋体"/>
                <w:szCs w:val="21"/>
              </w:rPr>
            </w:pPr>
            <w:r>
              <w:rPr>
                <w:rFonts w:hint="eastAsia" w:cs="宋体"/>
                <w:szCs w:val="21"/>
              </w:rPr>
              <w:t>地表水</w:t>
            </w:r>
          </w:p>
          <w:p w14:paraId="30F78320">
            <w:pPr>
              <w:adjustRightInd w:val="0"/>
              <w:snapToGrid w:val="0"/>
              <w:jc w:val="center"/>
              <w:rPr>
                <w:rFonts w:cs="宋体"/>
                <w:szCs w:val="21"/>
              </w:rPr>
            </w:pPr>
            <w:r>
              <w:rPr>
                <w:rFonts w:hint="eastAsia" w:cs="宋体"/>
                <w:szCs w:val="21"/>
              </w:rPr>
              <w:t>环境</w:t>
            </w:r>
          </w:p>
        </w:tc>
        <w:tc>
          <w:tcPr>
            <w:tcW w:w="2289" w:type="pct"/>
            <w:vAlign w:val="center"/>
          </w:tcPr>
          <w:p w14:paraId="226E1D85">
            <w:pPr>
              <w:adjustRightInd w:val="0"/>
              <w:snapToGrid w:val="0"/>
              <w:jc w:val="center"/>
              <w:rPr>
                <w:rFonts w:cs="宋体"/>
                <w:szCs w:val="21"/>
              </w:rPr>
            </w:pPr>
            <w:r>
              <w:rPr>
                <w:rFonts w:cs="宋体"/>
                <w:szCs w:val="21"/>
              </w:rPr>
              <w:t>工程施工期间，施工单位应严格执行《建设工程施工场地文明施工及环境管理暂行规定》，对排水进行组织设计，严禁乱排、乱流污染环境；施工人员的生活污水，不得随地倾倒，以防污染当地水质，</w:t>
            </w:r>
            <w:r>
              <w:rPr>
                <w:rFonts w:hint="eastAsia" w:cs="宋体"/>
                <w:kern w:val="0"/>
                <w:szCs w:val="21"/>
              </w:rPr>
              <w:t>生活污水依托坎尔其水库管理站现有公厕</w:t>
            </w:r>
            <w:r>
              <w:rPr>
                <w:rFonts w:hint="eastAsia" w:cs="宋体"/>
                <w:szCs w:val="21"/>
              </w:rPr>
              <w:t>。</w:t>
            </w:r>
          </w:p>
        </w:tc>
        <w:tc>
          <w:tcPr>
            <w:tcW w:w="1013" w:type="pct"/>
            <w:vAlign w:val="center"/>
          </w:tcPr>
          <w:p w14:paraId="756F4850">
            <w:pPr>
              <w:adjustRightInd w:val="0"/>
              <w:snapToGrid w:val="0"/>
              <w:jc w:val="center"/>
              <w:rPr>
                <w:rFonts w:cs="宋体"/>
                <w:szCs w:val="21"/>
              </w:rPr>
            </w:pPr>
            <w:r>
              <w:rPr>
                <w:rFonts w:hint="eastAsia" w:cs="宋体"/>
                <w:szCs w:val="21"/>
              </w:rPr>
              <w:t>落实措施，不造成明显环境影响。</w:t>
            </w:r>
          </w:p>
        </w:tc>
        <w:tc>
          <w:tcPr>
            <w:tcW w:w="616" w:type="pct"/>
            <w:vAlign w:val="center"/>
          </w:tcPr>
          <w:p w14:paraId="49360C77">
            <w:pPr>
              <w:adjustRightInd w:val="0"/>
              <w:snapToGrid w:val="0"/>
              <w:jc w:val="center"/>
              <w:rPr>
                <w:rFonts w:cs="宋体"/>
                <w:szCs w:val="21"/>
              </w:rPr>
            </w:pPr>
            <w:r>
              <w:rPr>
                <w:rFonts w:hint="eastAsia" w:cs="宋体"/>
                <w:szCs w:val="21"/>
              </w:rPr>
              <w:t>/</w:t>
            </w:r>
          </w:p>
        </w:tc>
        <w:tc>
          <w:tcPr>
            <w:tcW w:w="470" w:type="pct"/>
            <w:vAlign w:val="center"/>
          </w:tcPr>
          <w:p w14:paraId="3988FE2F">
            <w:pPr>
              <w:adjustRightInd w:val="0"/>
              <w:snapToGrid w:val="0"/>
              <w:jc w:val="center"/>
              <w:rPr>
                <w:rFonts w:cs="宋体"/>
                <w:szCs w:val="21"/>
              </w:rPr>
            </w:pPr>
            <w:r>
              <w:rPr>
                <w:rFonts w:hint="eastAsia" w:cs="宋体"/>
                <w:szCs w:val="21"/>
              </w:rPr>
              <w:t>/</w:t>
            </w:r>
          </w:p>
        </w:tc>
      </w:tr>
      <w:tr w14:paraId="591075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4" w:hRule="atLeast"/>
          <w:jc w:val="center"/>
        </w:trPr>
        <w:tc>
          <w:tcPr>
            <w:tcW w:w="610" w:type="pct"/>
            <w:vAlign w:val="center"/>
          </w:tcPr>
          <w:p w14:paraId="34B962D0">
            <w:pPr>
              <w:adjustRightInd w:val="0"/>
              <w:snapToGrid w:val="0"/>
              <w:jc w:val="center"/>
              <w:rPr>
                <w:rFonts w:cs="宋体"/>
                <w:szCs w:val="21"/>
              </w:rPr>
            </w:pPr>
            <w:r>
              <w:rPr>
                <w:rFonts w:hint="eastAsia" w:cs="宋体"/>
                <w:szCs w:val="21"/>
              </w:rPr>
              <w:t>地下水及土壤环境</w:t>
            </w:r>
          </w:p>
        </w:tc>
        <w:tc>
          <w:tcPr>
            <w:tcW w:w="2289" w:type="pct"/>
            <w:vAlign w:val="center"/>
          </w:tcPr>
          <w:p w14:paraId="4710A013">
            <w:pPr>
              <w:adjustRightInd w:val="0"/>
              <w:snapToGrid w:val="0"/>
              <w:jc w:val="center"/>
              <w:rPr>
                <w:rFonts w:cs="宋体"/>
                <w:szCs w:val="21"/>
              </w:rPr>
            </w:pPr>
            <w:r>
              <w:rPr>
                <w:rFonts w:hint="eastAsia" w:cs="宋体"/>
                <w:szCs w:val="21"/>
              </w:rPr>
              <w:t>施工废水设置隔油池、沉淀池（2×1</w:t>
            </w:r>
            <w:r>
              <w:rPr>
                <w:rFonts w:cs="宋体"/>
                <w:szCs w:val="21"/>
              </w:rPr>
              <w:t>0</w:t>
            </w:r>
            <w:r>
              <w:rPr>
                <w:rFonts w:hint="eastAsia" w:cs="宋体"/>
                <w:szCs w:val="21"/>
              </w:rPr>
              <w:t>m³），隔油沉淀处理后回用洒水降尘。</w:t>
            </w:r>
          </w:p>
        </w:tc>
        <w:tc>
          <w:tcPr>
            <w:tcW w:w="1013" w:type="pct"/>
            <w:vAlign w:val="center"/>
          </w:tcPr>
          <w:p w14:paraId="63D9E2ED">
            <w:pPr>
              <w:adjustRightInd w:val="0"/>
              <w:snapToGrid w:val="0"/>
              <w:jc w:val="center"/>
              <w:rPr>
                <w:rFonts w:cs="宋体"/>
                <w:szCs w:val="21"/>
              </w:rPr>
            </w:pPr>
            <w:r>
              <w:rPr>
                <w:rFonts w:hint="eastAsia" w:cs="宋体"/>
                <w:szCs w:val="21"/>
              </w:rPr>
              <w:t>落实措施，</w:t>
            </w:r>
            <w:r>
              <w:rPr>
                <w:szCs w:val="21"/>
              </w:rPr>
              <w:t>施工现场不得有机油跑冒滴漏现象</w:t>
            </w:r>
            <w:r>
              <w:rPr>
                <w:rFonts w:hint="eastAsia" w:cs="宋体"/>
                <w:szCs w:val="21"/>
              </w:rPr>
              <w:t>。</w:t>
            </w:r>
          </w:p>
        </w:tc>
        <w:tc>
          <w:tcPr>
            <w:tcW w:w="616" w:type="pct"/>
            <w:vAlign w:val="center"/>
          </w:tcPr>
          <w:p w14:paraId="38E378C3">
            <w:pPr>
              <w:adjustRightInd w:val="0"/>
              <w:snapToGrid w:val="0"/>
              <w:jc w:val="center"/>
              <w:rPr>
                <w:rFonts w:cs="宋体"/>
                <w:szCs w:val="21"/>
              </w:rPr>
            </w:pPr>
            <w:r>
              <w:rPr>
                <w:rFonts w:hint="eastAsia" w:cs="宋体"/>
                <w:szCs w:val="21"/>
              </w:rPr>
              <w:t>/</w:t>
            </w:r>
          </w:p>
        </w:tc>
        <w:tc>
          <w:tcPr>
            <w:tcW w:w="470" w:type="pct"/>
            <w:vAlign w:val="center"/>
          </w:tcPr>
          <w:p w14:paraId="099CA271">
            <w:pPr>
              <w:adjustRightInd w:val="0"/>
              <w:snapToGrid w:val="0"/>
              <w:jc w:val="center"/>
              <w:rPr>
                <w:rFonts w:cs="宋体"/>
                <w:szCs w:val="21"/>
              </w:rPr>
            </w:pPr>
            <w:r>
              <w:rPr>
                <w:rFonts w:hint="eastAsia" w:cs="宋体"/>
                <w:szCs w:val="21"/>
              </w:rPr>
              <w:t>/</w:t>
            </w:r>
          </w:p>
        </w:tc>
      </w:tr>
      <w:tr w14:paraId="70B992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4" w:hRule="atLeast"/>
          <w:jc w:val="center"/>
        </w:trPr>
        <w:tc>
          <w:tcPr>
            <w:tcW w:w="610" w:type="pct"/>
            <w:vAlign w:val="center"/>
          </w:tcPr>
          <w:p w14:paraId="67698584">
            <w:pPr>
              <w:adjustRightInd w:val="0"/>
              <w:snapToGrid w:val="0"/>
              <w:jc w:val="center"/>
              <w:rPr>
                <w:rFonts w:cs="宋体"/>
                <w:szCs w:val="21"/>
              </w:rPr>
            </w:pPr>
            <w:r>
              <w:rPr>
                <w:rFonts w:hint="eastAsia" w:cs="宋体"/>
                <w:szCs w:val="21"/>
              </w:rPr>
              <w:t>声环境</w:t>
            </w:r>
          </w:p>
        </w:tc>
        <w:tc>
          <w:tcPr>
            <w:tcW w:w="2289" w:type="pct"/>
            <w:vAlign w:val="center"/>
          </w:tcPr>
          <w:p w14:paraId="56340AB1">
            <w:pPr>
              <w:adjustRightInd w:val="0"/>
              <w:snapToGrid w:val="0"/>
              <w:jc w:val="center"/>
              <w:rPr>
                <w:rFonts w:cs="宋体"/>
                <w:szCs w:val="21"/>
              </w:rPr>
            </w:pPr>
            <w:r>
              <w:rPr>
                <w:rFonts w:hint="eastAsia" w:cs="宋体"/>
                <w:szCs w:val="21"/>
              </w:rPr>
              <w:t>在施工设备选型上要求采用低噪声的设备，施工设备定期检查保养；加强施工场地管理，合理疏导进入施工区的车辆，禁止运输车辆随意高声鸣笛。</w:t>
            </w:r>
          </w:p>
        </w:tc>
        <w:tc>
          <w:tcPr>
            <w:tcW w:w="1013" w:type="pct"/>
            <w:vAlign w:val="center"/>
          </w:tcPr>
          <w:p w14:paraId="258B1E2A">
            <w:pPr>
              <w:adjustRightInd w:val="0"/>
              <w:snapToGrid w:val="0"/>
              <w:jc w:val="center"/>
              <w:rPr>
                <w:rFonts w:cs="宋体"/>
                <w:szCs w:val="21"/>
              </w:rPr>
            </w:pPr>
            <w:r>
              <w:rPr>
                <w:szCs w:val="21"/>
              </w:rPr>
              <w:t>执行《建筑施工噪声排放标准》（GB 12523-2025）</w:t>
            </w:r>
          </w:p>
        </w:tc>
        <w:tc>
          <w:tcPr>
            <w:tcW w:w="616" w:type="pct"/>
            <w:vAlign w:val="center"/>
          </w:tcPr>
          <w:p w14:paraId="65110061">
            <w:pPr>
              <w:adjustRightInd w:val="0"/>
              <w:snapToGrid w:val="0"/>
              <w:jc w:val="center"/>
              <w:rPr>
                <w:rFonts w:cs="宋体"/>
                <w:szCs w:val="21"/>
              </w:rPr>
            </w:pPr>
            <w:r>
              <w:rPr>
                <w:rFonts w:hint="eastAsia" w:cs="宋体"/>
                <w:szCs w:val="21"/>
              </w:rPr>
              <w:t>/</w:t>
            </w:r>
          </w:p>
        </w:tc>
        <w:tc>
          <w:tcPr>
            <w:tcW w:w="470" w:type="pct"/>
            <w:vAlign w:val="center"/>
          </w:tcPr>
          <w:p w14:paraId="5848823F">
            <w:pPr>
              <w:adjustRightInd w:val="0"/>
              <w:snapToGrid w:val="0"/>
              <w:jc w:val="center"/>
              <w:rPr>
                <w:rFonts w:cs="宋体"/>
                <w:szCs w:val="21"/>
              </w:rPr>
            </w:pPr>
            <w:r>
              <w:rPr>
                <w:rFonts w:hint="eastAsia" w:cs="宋体"/>
                <w:szCs w:val="21"/>
              </w:rPr>
              <w:t>/</w:t>
            </w:r>
          </w:p>
        </w:tc>
      </w:tr>
      <w:tr w14:paraId="2C8D51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4" w:hRule="atLeast"/>
          <w:jc w:val="center"/>
        </w:trPr>
        <w:tc>
          <w:tcPr>
            <w:tcW w:w="610" w:type="pct"/>
            <w:vAlign w:val="center"/>
          </w:tcPr>
          <w:p w14:paraId="1A282E18">
            <w:pPr>
              <w:adjustRightInd w:val="0"/>
              <w:snapToGrid w:val="0"/>
              <w:jc w:val="center"/>
              <w:rPr>
                <w:rFonts w:cs="宋体"/>
                <w:szCs w:val="21"/>
              </w:rPr>
            </w:pPr>
            <w:r>
              <w:rPr>
                <w:rFonts w:hint="eastAsia" w:cs="宋体"/>
                <w:szCs w:val="21"/>
              </w:rPr>
              <w:t>振动</w:t>
            </w:r>
          </w:p>
        </w:tc>
        <w:tc>
          <w:tcPr>
            <w:tcW w:w="2289" w:type="pct"/>
            <w:vAlign w:val="center"/>
          </w:tcPr>
          <w:p w14:paraId="127D1F6B">
            <w:pPr>
              <w:adjustRightInd w:val="0"/>
              <w:snapToGrid w:val="0"/>
              <w:jc w:val="center"/>
              <w:rPr>
                <w:rFonts w:cs="宋体"/>
                <w:szCs w:val="21"/>
              </w:rPr>
            </w:pPr>
            <w:r>
              <w:rPr>
                <w:rFonts w:hint="eastAsia" w:cs="宋体"/>
                <w:szCs w:val="21"/>
              </w:rPr>
              <w:t>/</w:t>
            </w:r>
          </w:p>
        </w:tc>
        <w:tc>
          <w:tcPr>
            <w:tcW w:w="1013" w:type="pct"/>
            <w:vAlign w:val="center"/>
          </w:tcPr>
          <w:p w14:paraId="652B1766">
            <w:pPr>
              <w:adjustRightInd w:val="0"/>
              <w:snapToGrid w:val="0"/>
              <w:jc w:val="center"/>
              <w:rPr>
                <w:rFonts w:cs="宋体"/>
                <w:szCs w:val="21"/>
              </w:rPr>
            </w:pPr>
            <w:r>
              <w:rPr>
                <w:rFonts w:hint="eastAsia" w:cs="宋体"/>
                <w:szCs w:val="21"/>
              </w:rPr>
              <w:t>/</w:t>
            </w:r>
          </w:p>
        </w:tc>
        <w:tc>
          <w:tcPr>
            <w:tcW w:w="616" w:type="pct"/>
            <w:vAlign w:val="center"/>
          </w:tcPr>
          <w:p w14:paraId="412D817E">
            <w:pPr>
              <w:adjustRightInd w:val="0"/>
              <w:snapToGrid w:val="0"/>
              <w:jc w:val="center"/>
              <w:rPr>
                <w:rFonts w:cs="宋体"/>
                <w:szCs w:val="21"/>
              </w:rPr>
            </w:pPr>
            <w:r>
              <w:rPr>
                <w:rFonts w:hint="eastAsia" w:cs="宋体"/>
                <w:szCs w:val="21"/>
              </w:rPr>
              <w:t>/</w:t>
            </w:r>
          </w:p>
        </w:tc>
        <w:tc>
          <w:tcPr>
            <w:tcW w:w="470" w:type="pct"/>
            <w:vAlign w:val="center"/>
          </w:tcPr>
          <w:p w14:paraId="09CD85A9">
            <w:pPr>
              <w:adjustRightInd w:val="0"/>
              <w:snapToGrid w:val="0"/>
              <w:jc w:val="center"/>
              <w:rPr>
                <w:rFonts w:cs="宋体"/>
                <w:szCs w:val="21"/>
              </w:rPr>
            </w:pPr>
            <w:r>
              <w:rPr>
                <w:rFonts w:hint="eastAsia" w:cs="宋体"/>
                <w:szCs w:val="21"/>
              </w:rPr>
              <w:t>/</w:t>
            </w:r>
          </w:p>
        </w:tc>
      </w:tr>
      <w:tr w14:paraId="5EE83F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4" w:hRule="atLeast"/>
          <w:jc w:val="center"/>
        </w:trPr>
        <w:tc>
          <w:tcPr>
            <w:tcW w:w="610" w:type="pct"/>
            <w:vAlign w:val="center"/>
          </w:tcPr>
          <w:p w14:paraId="4479A2CE">
            <w:pPr>
              <w:adjustRightInd w:val="0"/>
              <w:snapToGrid w:val="0"/>
              <w:jc w:val="center"/>
              <w:rPr>
                <w:rFonts w:cs="宋体"/>
                <w:szCs w:val="21"/>
              </w:rPr>
            </w:pPr>
            <w:r>
              <w:rPr>
                <w:rFonts w:hint="eastAsia" w:cs="宋体"/>
                <w:szCs w:val="21"/>
              </w:rPr>
              <w:t>大气环境</w:t>
            </w:r>
          </w:p>
        </w:tc>
        <w:tc>
          <w:tcPr>
            <w:tcW w:w="2289" w:type="pct"/>
            <w:vAlign w:val="center"/>
          </w:tcPr>
          <w:p w14:paraId="09679B5F">
            <w:pPr>
              <w:adjustRightInd w:val="0"/>
              <w:snapToGrid w:val="0"/>
              <w:jc w:val="center"/>
              <w:rPr>
                <w:rFonts w:cs="宋体"/>
                <w:szCs w:val="21"/>
              </w:rPr>
            </w:pPr>
            <w:r>
              <w:rPr>
                <w:rFonts w:hint="eastAsia" w:cs="宋体"/>
                <w:szCs w:val="21"/>
              </w:rPr>
              <w:t>施工现场四周设置围挡；临时堆土场及易产尘物料建议覆盖防尘布或防尘网，堆土及时回填；合理规划运输线路，尽量利用现有公路网，施工车辆严格按照规定线路行驶，严禁乱碾乱压；严禁在大风天气进行土方作业；施工机械及施工车辆采用符合国家标准的油品；施工结束后尽快对施工场地进行整理和平整，减少风蚀量。</w:t>
            </w:r>
          </w:p>
        </w:tc>
        <w:tc>
          <w:tcPr>
            <w:tcW w:w="1013" w:type="pct"/>
            <w:vAlign w:val="center"/>
          </w:tcPr>
          <w:p w14:paraId="66C03984">
            <w:pPr>
              <w:adjustRightInd w:val="0"/>
              <w:snapToGrid w:val="0"/>
              <w:jc w:val="center"/>
              <w:rPr>
                <w:rFonts w:cs="宋体"/>
                <w:szCs w:val="21"/>
              </w:rPr>
            </w:pPr>
            <w:r>
              <w:rPr>
                <w:rFonts w:hint="eastAsia" w:cs="宋体"/>
                <w:szCs w:val="21"/>
              </w:rPr>
              <w:t>落实施工过程中废气治理措施。</w:t>
            </w:r>
          </w:p>
        </w:tc>
        <w:tc>
          <w:tcPr>
            <w:tcW w:w="616" w:type="pct"/>
            <w:vAlign w:val="center"/>
          </w:tcPr>
          <w:p w14:paraId="776B6B05">
            <w:pPr>
              <w:adjustRightInd w:val="0"/>
              <w:snapToGrid w:val="0"/>
              <w:jc w:val="center"/>
              <w:rPr>
                <w:rFonts w:cs="宋体"/>
                <w:szCs w:val="21"/>
              </w:rPr>
            </w:pPr>
            <w:r>
              <w:rPr>
                <w:rFonts w:hint="eastAsia" w:cs="宋体"/>
                <w:szCs w:val="21"/>
              </w:rPr>
              <w:t>/</w:t>
            </w:r>
          </w:p>
        </w:tc>
        <w:tc>
          <w:tcPr>
            <w:tcW w:w="470" w:type="pct"/>
            <w:vAlign w:val="center"/>
          </w:tcPr>
          <w:p w14:paraId="6EF5987F">
            <w:pPr>
              <w:adjustRightInd w:val="0"/>
              <w:snapToGrid w:val="0"/>
              <w:jc w:val="center"/>
              <w:rPr>
                <w:rFonts w:cs="宋体"/>
                <w:szCs w:val="21"/>
              </w:rPr>
            </w:pPr>
            <w:r>
              <w:rPr>
                <w:rFonts w:hint="eastAsia" w:cs="宋体"/>
                <w:szCs w:val="21"/>
              </w:rPr>
              <w:t>/</w:t>
            </w:r>
          </w:p>
        </w:tc>
      </w:tr>
      <w:tr w14:paraId="03CC21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4" w:hRule="atLeast"/>
          <w:jc w:val="center"/>
        </w:trPr>
        <w:tc>
          <w:tcPr>
            <w:tcW w:w="610" w:type="pct"/>
            <w:vAlign w:val="center"/>
          </w:tcPr>
          <w:p w14:paraId="0EE21C64">
            <w:pPr>
              <w:adjustRightInd w:val="0"/>
              <w:snapToGrid w:val="0"/>
              <w:jc w:val="center"/>
              <w:rPr>
                <w:rFonts w:cs="宋体"/>
                <w:szCs w:val="21"/>
              </w:rPr>
            </w:pPr>
            <w:r>
              <w:rPr>
                <w:rFonts w:hint="eastAsia" w:cs="宋体"/>
                <w:szCs w:val="21"/>
              </w:rPr>
              <w:t>固体废物</w:t>
            </w:r>
          </w:p>
        </w:tc>
        <w:tc>
          <w:tcPr>
            <w:tcW w:w="2289" w:type="pct"/>
            <w:vAlign w:val="center"/>
          </w:tcPr>
          <w:p w14:paraId="1367DCEE">
            <w:pPr>
              <w:adjustRightInd w:val="0"/>
              <w:snapToGrid w:val="0"/>
              <w:jc w:val="left"/>
              <w:rPr>
                <w:rFonts w:cs="宋体"/>
                <w:szCs w:val="21"/>
              </w:rPr>
            </w:pPr>
            <w:r>
              <w:rPr>
                <w:rFonts w:cs="宋体"/>
                <w:szCs w:val="21"/>
              </w:rPr>
              <w:t>建筑垃圾：可以回收利用的建筑垃圾优先回收利用，无法回收利用的集中收集后由施工单位委托拉运至当地建筑垃圾填埋场进行填埋处置。</w:t>
            </w:r>
          </w:p>
          <w:p w14:paraId="12935D92">
            <w:pPr>
              <w:adjustRightInd w:val="0"/>
              <w:snapToGrid w:val="0"/>
              <w:jc w:val="left"/>
              <w:rPr>
                <w:rFonts w:cs="宋体"/>
                <w:szCs w:val="21"/>
              </w:rPr>
            </w:pPr>
            <w:r>
              <w:rPr>
                <w:rFonts w:cs="宋体"/>
                <w:szCs w:val="21"/>
              </w:rPr>
              <w:t>沉淀池底泥：待施工结束后</w:t>
            </w:r>
            <w:r>
              <w:rPr>
                <w:rFonts w:hint="eastAsia" w:cs="宋体"/>
                <w:szCs w:val="21"/>
              </w:rPr>
              <w:t>交由有危险废物处置资质的单位进行处置</w:t>
            </w:r>
            <w:r>
              <w:rPr>
                <w:rFonts w:cs="宋体"/>
                <w:szCs w:val="21"/>
              </w:rPr>
              <w:t>。</w:t>
            </w:r>
          </w:p>
          <w:p w14:paraId="3A796BFA">
            <w:pPr>
              <w:adjustRightInd w:val="0"/>
              <w:snapToGrid w:val="0"/>
              <w:jc w:val="left"/>
              <w:rPr>
                <w:rFonts w:cs="宋体"/>
                <w:szCs w:val="21"/>
              </w:rPr>
            </w:pPr>
            <w:r>
              <w:rPr>
                <w:rFonts w:cs="宋体"/>
                <w:szCs w:val="21"/>
              </w:rPr>
              <w:t>余方：施工过程中剩余土方全部就近</w:t>
            </w:r>
            <w:r>
              <w:rPr>
                <w:rFonts w:hint="eastAsia" w:cs="宋体"/>
                <w:szCs w:val="21"/>
              </w:rPr>
              <w:t>河道附近现有沙坑填平及</w:t>
            </w:r>
            <w:r>
              <w:rPr>
                <w:rFonts w:cs="宋体"/>
                <w:szCs w:val="21"/>
              </w:rPr>
              <w:t>防洪堤背水侧用于培厚加固防洪堤，无弃方产生。</w:t>
            </w:r>
          </w:p>
        </w:tc>
        <w:tc>
          <w:tcPr>
            <w:tcW w:w="1013" w:type="pct"/>
            <w:vAlign w:val="center"/>
          </w:tcPr>
          <w:p w14:paraId="5F3029AA">
            <w:pPr>
              <w:adjustRightInd w:val="0"/>
              <w:snapToGrid w:val="0"/>
              <w:jc w:val="center"/>
              <w:rPr>
                <w:rFonts w:cs="宋体"/>
                <w:szCs w:val="21"/>
              </w:rPr>
            </w:pPr>
            <w:r>
              <w:rPr>
                <w:rFonts w:hint="eastAsia" w:cs="宋体"/>
                <w:szCs w:val="21"/>
              </w:rPr>
              <w:t>施工期固废均合理处置；查阅清运协议及拉运记录。</w:t>
            </w:r>
          </w:p>
        </w:tc>
        <w:tc>
          <w:tcPr>
            <w:tcW w:w="616" w:type="pct"/>
            <w:vAlign w:val="center"/>
          </w:tcPr>
          <w:p w14:paraId="55BB4269">
            <w:pPr>
              <w:adjustRightInd w:val="0"/>
              <w:snapToGrid w:val="0"/>
              <w:jc w:val="center"/>
              <w:rPr>
                <w:rFonts w:cs="宋体"/>
                <w:szCs w:val="21"/>
              </w:rPr>
            </w:pPr>
            <w:r>
              <w:rPr>
                <w:rFonts w:hint="eastAsia" w:cs="宋体"/>
                <w:szCs w:val="21"/>
              </w:rPr>
              <w:t>/</w:t>
            </w:r>
          </w:p>
        </w:tc>
        <w:tc>
          <w:tcPr>
            <w:tcW w:w="470" w:type="pct"/>
            <w:vAlign w:val="center"/>
          </w:tcPr>
          <w:p w14:paraId="0BEFA651">
            <w:pPr>
              <w:adjustRightInd w:val="0"/>
              <w:snapToGrid w:val="0"/>
              <w:jc w:val="center"/>
              <w:rPr>
                <w:rFonts w:cs="宋体"/>
                <w:szCs w:val="21"/>
              </w:rPr>
            </w:pPr>
            <w:r>
              <w:rPr>
                <w:rFonts w:hint="eastAsia" w:cs="宋体"/>
                <w:b/>
                <w:bCs/>
                <w:szCs w:val="21"/>
              </w:rPr>
              <w:t>/</w:t>
            </w:r>
          </w:p>
        </w:tc>
      </w:tr>
      <w:tr w14:paraId="7C450C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4" w:hRule="atLeast"/>
          <w:jc w:val="center"/>
        </w:trPr>
        <w:tc>
          <w:tcPr>
            <w:tcW w:w="610" w:type="pct"/>
            <w:vAlign w:val="center"/>
          </w:tcPr>
          <w:p w14:paraId="4934E927">
            <w:pPr>
              <w:adjustRightInd w:val="0"/>
              <w:snapToGrid w:val="0"/>
              <w:jc w:val="center"/>
              <w:rPr>
                <w:rFonts w:cs="宋体"/>
                <w:szCs w:val="21"/>
              </w:rPr>
            </w:pPr>
            <w:r>
              <w:rPr>
                <w:rFonts w:hint="eastAsia" w:cs="宋体"/>
                <w:szCs w:val="21"/>
              </w:rPr>
              <w:t>电磁环境</w:t>
            </w:r>
          </w:p>
        </w:tc>
        <w:tc>
          <w:tcPr>
            <w:tcW w:w="2289" w:type="pct"/>
            <w:vAlign w:val="center"/>
          </w:tcPr>
          <w:p w14:paraId="0DE147F3">
            <w:pPr>
              <w:adjustRightInd w:val="0"/>
              <w:snapToGrid w:val="0"/>
              <w:jc w:val="center"/>
              <w:rPr>
                <w:rFonts w:cs="宋体"/>
                <w:szCs w:val="21"/>
              </w:rPr>
            </w:pPr>
            <w:r>
              <w:rPr>
                <w:rFonts w:hint="eastAsia" w:cs="宋体"/>
                <w:szCs w:val="21"/>
              </w:rPr>
              <w:t>/</w:t>
            </w:r>
          </w:p>
        </w:tc>
        <w:tc>
          <w:tcPr>
            <w:tcW w:w="1013" w:type="pct"/>
            <w:vAlign w:val="center"/>
          </w:tcPr>
          <w:p w14:paraId="1691F365">
            <w:pPr>
              <w:adjustRightInd w:val="0"/>
              <w:snapToGrid w:val="0"/>
              <w:jc w:val="center"/>
              <w:rPr>
                <w:rFonts w:cs="宋体"/>
                <w:szCs w:val="21"/>
              </w:rPr>
            </w:pPr>
            <w:r>
              <w:rPr>
                <w:rFonts w:hint="eastAsia" w:cs="宋体"/>
                <w:szCs w:val="21"/>
              </w:rPr>
              <w:t>/</w:t>
            </w:r>
          </w:p>
        </w:tc>
        <w:tc>
          <w:tcPr>
            <w:tcW w:w="616" w:type="pct"/>
            <w:vAlign w:val="center"/>
          </w:tcPr>
          <w:p w14:paraId="7833336B">
            <w:pPr>
              <w:adjustRightInd w:val="0"/>
              <w:snapToGrid w:val="0"/>
              <w:jc w:val="center"/>
              <w:rPr>
                <w:rFonts w:cs="宋体"/>
                <w:szCs w:val="21"/>
              </w:rPr>
            </w:pPr>
            <w:r>
              <w:rPr>
                <w:rFonts w:hint="eastAsia" w:cs="宋体"/>
                <w:szCs w:val="21"/>
              </w:rPr>
              <w:t>/</w:t>
            </w:r>
          </w:p>
        </w:tc>
        <w:tc>
          <w:tcPr>
            <w:tcW w:w="470" w:type="pct"/>
            <w:vAlign w:val="center"/>
          </w:tcPr>
          <w:p w14:paraId="5F4885E2">
            <w:pPr>
              <w:adjustRightInd w:val="0"/>
              <w:snapToGrid w:val="0"/>
              <w:jc w:val="center"/>
              <w:rPr>
                <w:rFonts w:cs="宋体"/>
                <w:szCs w:val="21"/>
              </w:rPr>
            </w:pPr>
            <w:r>
              <w:rPr>
                <w:rFonts w:hint="eastAsia" w:cs="宋体"/>
                <w:szCs w:val="21"/>
              </w:rPr>
              <w:t>/</w:t>
            </w:r>
          </w:p>
        </w:tc>
      </w:tr>
      <w:tr w14:paraId="4F2E7D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4" w:hRule="atLeast"/>
          <w:jc w:val="center"/>
        </w:trPr>
        <w:tc>
          <w:tcPr>
            <w:tcW w:w="610" w:type="pct"/>
            <w:vAlign w:val="center"/>
          </w:tcPr>
          <w:p w14:paraId="7FF35187">
            <w:pPr>
              <w:adjustRightInd w:val="0"/>
              <w:snapToGrid w:val="0"/>
              <w:jc w:val="center"/>
              <w:rPr>
                <w:rFonts w:cs="宋体"/>
                <w:szCs w:val="21"/>
              </w:rPr>
            </w:pPr>
            <w:r>
              <w:rPr>
                <w:rFonts w:hint="eastAsia" w:cs="宋体"/>
                <w:szCs w:val="21"/>
              </w:rPr>
              <w:t>环境风险</w:t>
            </w:r>
          </w:p>
        </w:tc>
        <w:tc>
          <w:tcPr>
            <w:tcW w:w="2289" w:type="pct"/>
            <w:vAlign w:val="center"/>
          </w:tcPr>
          <w:p w14:paraId="348BB270">
            <w:pPr>
              <w:adjustRightInd w:val="0"/>
              <w:snapToGrid w:val="0"/>
              <w:jc w:val="center"/>
              <w:rPr>
                <w:rFonts w:cs="宋体"/>
                <w:szCs w:val="21"/>
              </w:rPr>
            </w:pPr>
            <w:r>
              <w:rPr>
                <w:szCs w:val="21"/>
              </w:rPr>
              <w:t>加强监督管理，加强宣传，禁止施工生产废水、施工人员生活污水</w:t>
            </w:r>
            <w:r>
              <w:rPr>
                <w:rFonts w:hint="eastAsia"/>
                <w:szCs w:val="21"/>
                <w:lang w:eastAsia="zh-CN"/>
              </w:rPr>
              <w:t>等</w:t>
            </w:r>
            <w:r>
              <w:rPr>
                <w:szCs w:val="21"/>
              </w:rPr>
              <w:t>随意乱排。加强工程建设期生态保护措施，工程施工设计中应尽量减少影响面积，把破坏程度降至最低。同时在施工完成后，利用本地物种，对施工区的植被进行恢复。另外，加强对施工人员的环境保护和动物保护意识的宣传教育等。加强对砂石运输、建材运输车辆的安全运输管理和机械养护监督，杜绝事故隐患和燃油、机油的跑、冒、滴、漏现象，防止燃油、机油等污染水质产生不利影响；严禁施工机械直接下河向水体排放含油污水。加强施工人员的环境保护教育，增强环保意识，严禁乱向河道倾倒生活污水、乱扔垃圾。</w:t>
            </w:r>
          </w:p>
        </w:tc>
        <w:tc>
          <w:tcPr>
            <w:tcW w:w="1013" w:type="pct"/>
            <w:vAlign w:val="center"/>
          </w:tcPr>
          <w:p w14:paraId="6E49390B">
            <w:pPr>
              <w:adjustRightInd w:val="0"/>
              <w:snapToGrid w:val="0"/>
              <w:jc w:val="center"/>
              <w:rPr>
                <w:rFonts w:cs="宋体"/>
                <w:szCs w:val="21"/>
              </w:rPr>
            </w:pPr>
            <w:r>
              <w:rPr>
                <w:rFonts w:hint="eastAsia" w:cs="宋体"/>
                <w:szCs w:val="21"/>
              </w:rPr>
              <w:t>/</w:t>
            </w:r>
          </w:p>
        </w:tc>
        <w:tc>
          <w:tcPr>
            <w:tcW w:w="616" w:type="pct"/>
            <w:vAlign w:val="center"/>
          </w:tcPr>
          <w:p w14:paraId="0A1E4A58">
            <w:pPr>
              <w:adjustRightInd w:val="0"/>
              <w:snapToGrid w:val="0"/>
              <w:jc w:val="center"/>
              <w:rPr>
                <w:rFonts w:cs="宋体"/>
                <w:szCs w:val="21"/>
              </w:rPr>
            </w:pPr>
            <w:r>
              <w:rPr>
                <w:rFonts w:hint="eastAsia" w:cs="宋体"/>
                <w:szCs w:val="21"/>
              </w:rPr>
              <w:t>/</w:t>
            </w:r>
          </w:p>
        </w:tc>
        <w:tc>
          <w:tcPr>
            <w:tcW w:w="470" w:type="pct"/>
            <w:vAlign w:val="center"/>
          </w:tcPr>
          <w:p w14:paraId="4716C272">
            <w:pPr>
              <w:adjustRightInd w:val="0"/>
              <w:snapToGrid w:val="0"/>
              <w:jc w:val="center"/>
              <w:rPr>
                <w:rFonts w:cs="宋体"/>
                <w:szCs w:val="21"/>
              </w:rPr>
            </w:pPr>
            <w:r>
              <w:rPr>
                <w:rFonts w:hint="eastAsia" w:cs="宋体"/>
                <w:szCs w:val="21"/>
              </w:rPr>
              <w:t>/</w:t>
            </w:r>
          </w:p>
        </w:tc>
      </w:tr>
      <w:tr w14:paraId="764988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4" w:hRule="atLeast"/>
          <w:jc w:val="center"/>
        </w:trPr>
        <w:tc>
          <w:tcPr>
            <w:tcW w:w="610" w:type="pct"/>
            <w:vAlign w:val="center"/>
          </w:tcPr>
          <w:p w14:paraId="458831C1">
            <w:pPr>
              <w:adjustRightInd w:val="0"/>
              <w:snapToGrid w:val="0"/>
              <w:jc w:val="center"/>
              <w:rPr>
                <w:rFonts w:cs="宋体"/>
                <w:szCs w:val="21"/>
              </w:rPr>
            </w:pPr>
            <w:r>
              <w:rPr>
                <w:rFonts w:hint="eastAsia" w:cs="宋体"/>
                <w:szCs w:val="21"/>
              </w:rPr>
              <w:t>环境监测</w:t>
            </w:r>
          </w:p>
        </w:tc>
        <w:tc>
          <w:tcPr>
            <w:tcW w:w="2289" w:type="pct"/>
            <w:vAlign w:val="center"/>
          </w:tcPr>
          <w:p w14:paraId="14E99EB8">
            <w:pPr>
              <w:adjustRightInd w:val="0"/>
              <w:snapToGrid w:val="0"/>
              <w:jc w:val="center"/>
              <w:rPr>
                <w:rFonts w:cs="宋体"/>
                <w:szCs w:val="21"/>
              </w:rPr>
            </w:pPr>
            <w:r>
              <w:rPr>
                <w:rFonts w:hint="eastAsia" w:cs="宋体"/>
                <w:szCs w:val="21"/>
              </w:rPr>
              <w:t>施工期对施工场地的</w:t>
            </w:r>
            <w:r>
              <w:rPr>
                <w:rFonts w:cs="宋体"/>
                <w:szCs w:val="21"/>
              </w:rPr>
              <w:t>TSP</w:t>
            </w:r>
            <w:r>
              <w:rPr>
                <w:rFonts w:hint="eastAsia" w:cs="宋体"/>
                <w:szCs w:val="21"/>
              </w:rPr>
              <w:t>和距离保护目标最近的施工场界噪声进行监测</w:t>
            </w:r>
          </w:p>
        </w:tc>
        <w:tc>
          <w:tcPr>
            <w:tcW w:w="1013" w:type="pct"/>
            <w:vAlign w:val="center"/>
          </w:tcPr>
          <w:p w14:paraId="617AB802">
            <w:pPr>
              <w:adjustRightInd w:val="0"/>
              <w:snapToGrid w:val="0"/>
              <w:jc w:val="center"/>
              <w:rPr>
                <w:rFonts w:cs="宋体"/>
                <w:szCs w:val="21"/>
              </w:rPr>
            </w:pPr>
            <w:r>
              <w:rPr>
                <w:rFonts w:hint="eastAsia" w:cs="宋体"/>
                <w:szCs w:val="21"/>
              </w:rPr>
              <w:t>检测达标。</w:t>
            </w:r>
          </w:p>
        </w:tc>
        <w:tc>
          <w:tcPr>
            <w:tcW w:w="616" w:type="pct"/>
            <w:vAlign w:val="center"/>
          </w:tcPr>
          <w:p w14:paraId="3BF20349">
            <w:pPr>
              <w:adjustRightInd w:val="0"/>
              <w:snapToGrid w:val="0"/>
              <w:jc w:val="center"/>
              <w:rPr>
                <w:rFonts w:cs="宋体"/>
                <w:szCs w:val="21"/>
              </w:rPr>
            </w:pPr>
            <w:r>
              <w:rPr>
                <w:rFonts w:hint="eastAsia" w:cs="宋体"/>
                <w:szCs w:val="21"/>
              </w:rPr>
              <w:t>/</w:t>
            </w:r>
          </w:p>
        </w:tc>
        <w:tc>
          <w:tcPr>
            <w:tcW w:w="470" w:type="pct"/>
            <w:vAlign w:val="center"/>
          </w:tcPr>
          <w:p w14:paraId="4E74EA33">
            <w:pPr>
              <w:adjustRightInd w:val="0"/>
              <w:snapToGrid w:val="0"/>
              <w:jc w:val="center"/>
              <w:rPr>
                <w:rFonts w:cs="宋体"/>
                <w:szCs w:val="21"/>
              </w:rPr>
            </w:pPr>
            <w:r>
              <w:rPr>
                <w:rFonts w:hint="eastAsia" w:cs="宋体"/>
                <w:szCs w:val="21"/>
              </w:rPr>
              <w:t>/</w:t>
            </w:r>
          </w:p>
        </w:tc>
      </w:tr>
      <w:tr w14:paraId="6838EA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4" w:hRule="atLeast"/>
          <w:jc w:val="center"/>
        </w:trPr>
        <w:tc>
          <w:tcPr>
            <w:tcW w:w="610" w:type="pct"/>
            <w:vAlign w:val="center"/>
          </w:tcPr>
          <w:p w14:paraId="7E133934">
            <w:pPr>
              <w:adjustRightInd w:val="0"/>
              <w:snapToGrid w:val="0"/>
              <w:jc w:val="center"/>
              <w:rPr>
                <w:rFonts w:cs="宋体"/>
                <w:szCs w:val="21"/>
              </w:rPr>
            </w:pPr>
            <w:r>
              <w:rPr>
                <w:rFonts w:hint="eastAsia" w:cs="宋体"/>
                <w:szCs w:val="21"/>
              </w:rPr>
              <w:t>其他</w:t>
            </w:r>
          </w:p>
        </w:tc>
        <w:tc>
          <w:tcPr>
            <w:tcW w:w="2289" w:type="pct"/>
            <w:vAlign w:val="center"/>
          </w:tcPr>
          <w:p w14:paraId="42867A66">
            <w:pPr>
              <w:adjustRightInd w:val="0"/>
              <w:snapToGrid w:val="0"/>
              <w:jc w:val="center"/>
              <w:rPr>
                <w:rFonts w:cs="宋体"/>
                <w:szCs w:val="21"/>
              </w:rPr>
            </w:pPr>
            <w:r>
              <w:rPr>
                <w:rFonts w:hint="eastAsia" w:cs="宋体"/>
                <w:szCs w:val="21"/>
              </w:rPr>
              <w:t>/</w:t>
            </w:r>
          </w:p>
        </w:tc>
        <w:tc>
          <w:tcPr>
            <w:tcW w:w="1013" w:type="pct"/>
            <w:vAlign w:val="center"/>
          </w:tcPr>
          <w:p w14:paraId="3C12744B">
            <w:pPr>
              <w:adjustRightInd w:val="0"/>
              <w:snapToGrid w:val="0"/>
              <w:jc w:val="center"/>
              <w:rPr>
                <w:rFonts w:cs="宋体"/>
                <w:szCs w:val="21"/>
              </w:rPr>
            </w:pPr>
            <w:r>
              <w:rPr>
                <w:rFonts w:hint="eastAsia" w:cs="宋体"/>
                <w:szCs w:val="21"/>
              </w:rPr>
              <w:t>建设项目环评及审批手续完备、环境保护档案资料齐全</w:t>
            </w:r>
          </w:p>
        </w:tc>
        <w:tc>
          <w:tcPr>
            <w:tcW w:w="616" w:type="pct"/>
            <w:vAlign w:val="center"/>
          </w:tcPr>
          <w:p w14:paraId="2B0447E6">
            <w:pPr>
              <w:adjustRightInd w:val="0"/>
              <w:snapToGrid w:val="0"/>
              <w:jc w:val="center"/>
              <w:rPr>
                <w:rFonts w:cs="宋体"/>
                <w:szCs w:val="21"/>
              </w:rPr>
            </w:pPr>
            <w:r>
              <w:rPr>
                <w:rFonts w:hint="eastAsia" w:cs="宋体"/>
                <w:szCs w:val="21"/>
              </w:rPr>
              <w:t>/</w:t>
            </w:r>
          </w:p>
        </w:tc>
        <w:tc>
          <w:tcPr>
            <w:tcW w:w="470" w:type="pct"/>
            <w:vAlign w:val="center"/>
          </w:tcPr>
          <w:p w14:paraId="5E47168C">
            <w:pPr>
              <w:adjustRightInd w:val="0"/>
              <w:snapToGrid w:val="0"/>
              <w:jc w:val="center"/>
              <w:rPr>
                <w:rFonts w:cs="宋体"/>
                <w:szCs w:val="21"/>
              </w:rPr>
            </w:pPr>
            <w:r>
              <w:rPr>
                <w:rFonts w:hint="eastAsia" w:cs="宋体"/>
                <w:szCs w:val="21"/>
              </w:rPr>
              <w:t>/</w:t>
            </w:r>
          </w:p>
        </w:tc>
      </w:tr>
    </w:tbl>
    <w:p w14:paraId="6A8725B3">
      <w:pPr>
        <w:sectPr>
          <w:pgSz w:w="11906" w:h="16838"/>
          <w:pgMar w:top="1417" w:right="1587" w:bottom="1417" w:left="1587" w:header="851" w:footer="992" w:gutter="0"/>
          <w:cols w:space="425" w:num="1"/>
          <w:docGrid w:type="lines" w:linePitch="312" w:charSpace="0"/>
        </w:sectPr>
      </w:pPr>
    </w:p>
    <w:p w14:paraId="5DBE41C1">
      <w:pPr>
        <w:pStyle w:val="2"/>
        <w:snapToGrid w:val="0"/>
        <w:spacing w:before="0" w:after="0" w:line="360" w:lineRule="auto"/>
        <w:jc w:val="center"/>
        <w:rPr>
          <w:rFonts w:eastAsia="黑体" w:cs="黑体"/>
          <w:b w:val="0"/>
          <w:bCs/>
          <w:sz w:val="30"/>
          <w:szCs w:val="30"/>
        </w:rPr>
      </w:pPr>
      <w:bookmarkStart w:id="16" w:name="_Toc239674217"/>
      <w:r>
        <w:rPr>
          <w:rFonts w:hint="eastAsia" w:eastAsia="黑体" w:cs="黑体"/>
          <w:b w:val="0"/>
          <w:bCs/>
          <w:sz w:val="30"/>
          <w:szCs w:val="30"/>
        </w:rPr>
        <w:t>七、结论</w:t>
      </w:r>
      <w:bookmarkEnd w:id="16"/>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2"/>
      </w:tblGrid>
      <w:tr w14:paraId="199C464D">
        <w:tc>
          <w:tcPr>
            <w:tcW w:w="5000" w:type="pct"/>
            <w:vAlign w:val="center"/>
          </w:tcPr>
          <w:p w14:paraId="66ED815F">
            <w:pPr>
              <w:snapToGrid w:val="0"/>
              <w:spacing w:line="500" w:lineRule="exact"/>
              <w:ind w:firstLine="480" w:firstLineChars="200"/>
              <w:rPr>
                <w:rFonts w:cs="宋体"/>
                <w:sz w:val="24"/>
              </w:rPr>
            </w:pPr>
            <w:r>
              <w:rPr>
                <w:rFonts w:hint="eastAsia" w:cs="宋体"/>
                <w:sz w:val="24"/>
              </w:rPr>
              <w:t>本项目为</w:t>
            </w:r>
            <w:r>
              <w:rPr>
                <w:rFonts w:cs="宋体"/>
                <w:sz w:val="24"/>
              </w:rPr>
              <w:t>水土保持综合治理工程</w:t>
            </w:r>
            <w:r>
              <w:rPr>
                <w:rFonts w:hint="eastAsia" w:cs="宋体"/>
                <w:sz w:val="24"/>
              </w:rPr>
              <w:t>，项目不设置排污口，工程主要用于防洪及水土保持综合治理，项目施工期在做好本次评价提出的各项污染防治措施的情况下不会对环境造成污染，项目运营期无废气、废水、固体废物等污染物排放，在全面落实“三同时”制度，加强运营期环境管理，定期监测，确保污染防治设施稳定达标运行，则项目建设对周围环境质量不会产生明显的影响，从环境保护角度出发，本项目建设是可行的。</w:t>
            </w:r>
          </w:p>
          <w:p w14:paraId="408907CE">
            <w:pPr>
              <w:snapToGrid w:val="0"/>
              <w:spacing w:line="500" w:lineRule="exact"/>
              <w:ind w:firstLine="480" w:firstLineChars="200"/>
              <w:rPr>
                <w:rFonts w:cs="宋体"/>
                <w:sz w:val="24"/>
              </w:rPr>
            </w:pPr>
          </w:p>
          <w:p w14:paraId="63FD520F">
            <w:pPr>
              <w:snapToGrid w:val="0"/>
              <w:spacing w:line="500" w:lineRule="exact"/>
              <w:ind w:firstLine="480" w:firstLineChars="200"/>
              <w:rPr>
                <w:rFonts w:cs="宋体"/>
                <w:sz w:val="24"/>
              </w:rPr>
            </w:pPr>
          </w:p>
          <w:p w14:paraId="0841FCB1">
            <w:pPr>
              <w:snapToGrid w:val="0"/>
              <w:spacing w:line="500" w:lineRule="exact"/>
              <w:ind w:firstLine="480" w:firstLineChars="200"/>
              <w:rPr>
                <w:rFonts w:cs="宋体"/>
                <w:sz w:val="24"/>
              </w:rPr>
            </w:pPr>
          </w:p>
          <w:p w14:paraId="6687D3B6">
            <w:pPr>
              <w:snapToGrid w:val="0"/>
              <w:spacing w:line="500" w:lineRule="exact"/>
              <w:ind w:firstLine="480" w:firstLineChars="200"/>
              <w:rPr>
                <w:rFonts w:cs="宋体"/>
                <w:sz w:val="24"/>
              </w:rPr>
            </w:pPr>
          </w:p>
          <w:p w14:paraId="03D1DCEA">
            <w:pPr>
              <w:snapToGrid w:val="0"/>
              <w:spacing w:line="500" w:lineRule="exact"/>
              <w:ind w:firstLine="480" w:firstLineChars="200"/>
              <w:rPr>
                <w:rFonts w:cs="宋体"/>
                <w:sz w:val="24"/>
              </w:rPr>
            </w:pPr>
          </w:p>
          <w:p w14:paraId="2514B0C9">
            <w:pPr>
              <w:snapToGrid w:val="0"/>
              <w:spacing w:line="500" w:lineRule="exact"/>
              <w:ind w:firstLine="480" w:firstLineChars="200"/>
              <w:rPr>
                <w:rFonts w:cs="宋体"/>
                <w:sz w:val="24"/>
              </w:rPr>
            </w:pPr>
          </w:p>
          <w:p w14:paraId="25CED634">
            <w:pPr>
              <w:snapToGrid w:val="0"/>
              <w:spacing w:line="500" w:lineRule="exact"/>
              <w:ind w:firstLine="480" w:firstLineChars="200"/>
              <w:rPr>
                <w:rFonts w:cs="宋体"/>
                <w:sz w:val="24"/>
              </w:rPr>
            </w:pPr>
          </w:p>
          <w:p w14:paraId="0AFC51CD">
            <w:pPr>
              <w:snapToGrid w:val="0"/>
              <w:spacing w:line="500" w:lineRule="exact"/>
              <w:ind w:firstLine="480" w:firstLineChars="200"/>
              <w:rPr>
                <w:rFonts w:cs="宋体"/>
                <w:sz w:val="24"/>
              </w:rPr>
            </w:pPr>
          </w:p>
          <w:p w14:paraId="0CDACED6">
            <w:pPr>
              <w:snapToGrid w:val="0"/>
              <w:spacing w:line="500" w:lineRule="exact"/>
              <w:ind w:firstLine="480" w:firstLineChars="200"/>
              <w:rPr>
                <w:rFonts w:cs="宋体"/>
                <w:sz w:val="24"/>
              </w:rPr>
            </w:pPr>
          </w:p>
          <w:p w14:paraId="413DA569">
            <w:pPr>
              <w:snapToGrid w:val="0"/>
              <w:spacing w:line="500" w:lineRule="exact"/>
              <w:ind w:firstLine="480" w:firstLineChars="200"/>
              <w:rPr>
                <w:rFonts w:cs="宋体"/>
                <w:sz w:val="24"/>
              </w:rPr>
            </w:pPr>
          </w:p>
          <w:p w14:paraId="74FF736D">
            <w:pPr>
              <w:snapToGrid w:val="0"/>
              <w:spacing w:line="500" w:lineRule="exact"/>
              <w:ind w:firstLine="480" w:firstLineChars="200"/>
              <w:rPr>
                <w:rFonts w:cs="宋体"/>
                <w:sz w:val="24"/>
              </w:rPr>
            </w:pPr>
          </w:p>
          <w:p w14:paraId="06FC04FA">
            <w:pPr>
              <w:snapToGrid w:val="0"/>
              <w:spacing w:line="500" w:lineRule="exact"/>
              <w:ind w:firstLine="480" w:firstLineChars="200"/>
              <w:rPr>
                <w:rFonts w:cs="宋体"/>
                <w:sz w:val="24"/>
              </w:rPr>
            </w:pPr>
          </w:p>
          <w:p w14:paraId="35205679">
            <w:pPr>
              <w:snapToGrid w:val="0"/>
              <w:spacing w:line="500" w:lineRule="exact"/>
              <w:ind w:firstLine="480" w:firstLineChars="200"/>
              <w:rPr>
                <w:rFonts w:cs="宋体"/>
                <w:sz w:val="24"/>
              </w:rPr>
            </w:pPr>
          </w:p>
          <w:p w14:paraId="4AE14333">
            <w:pPr>
              <w:snapToGrid w:val="0"/>
              <w:spacing w:line="500" w:lineRule="exact"/>
              <w:ind w:firstLine="480" w:firstLineChars="200"/>
              <w:rPr>
                <w:rFonts w:cs="宋体"/>
                <w:sz w:val="24"/>
              </w:rPr>
            </w:pPr>
          </w:p>
          <w:p w14:paraId="13DCFA15">
            <w:pPr>
              <w:snapToGrid w:val="0"/>
              <w:spacing w:line="500" w:lineRule="exact"/>
              <w:ind w:firstLine="480" w:firstLineChars="200"/>
              <w:rPr>
                <w:rFonts w:cs="宋体"/>
                <w:sz w:val="24"/>
              </w:rPr>
            </w:pPr>
          </w:p>
          <w:p w14:paraId="31DBC5C8">
            <w:pPr>
              <w:snapToGrid w:val="0"/>
              <w:spacing w:line="500" w:lineRule="exact"/>
              <w:ind w:firstLine="480" w:firstLineChars="200"/>
              <w:rPr>
                <w:rFonts w:cs="宋体"/>
                <w:sz w:val="24"/>
              </w:rPr>
            </w:pPr>
          </w:p>
          <w:p w14:paraId="35EA1009">
            <w:pPr>
              <w:snapToGrid w:val="0"/>
              <w:spacing w:line="500" w:lineRule="exact"/>
              <w:ind w:firstLine="480" w:firstLineChars="200"/>
              <w:rPr>
                <w:rFonts w:cs="宋体"/>
                <w:sz w:val="24"/>
              </w:rPr>
            </w:pPr>
          </w:p>
          <w:p w14:paraId="6F75E9EE">
            <w:pPr>
              <w:snapToGrid w:val="0"/>
              <w:spacing w:line="500" w:lineRule="exact"/>
              <w:ind w:firstLine="480" w:firstLineChars="200"/>
              <w:rPr>
                <w:rFonts w:cs="宋体"/>
                <w:sz w:val="24"/>
              </w:rPr>
            </w:pPr>
          </w:p>
        </w:tc>
      </w:tr>
    </w:tbl>
    <w:p w14:paraId="2527A17E">
      <w:pPr>
        <w:pStyle w:val="21"/>
        <w:snapToGrid w:val="0"/>
        <w:spacing w:before="0"/>
        <w:rPr>
          <w:rFonts w:ascii="Times New Roman" w:hAnsi="Times New Roman"/>
        </w:rPr>
      </w:pPr>
    </w:p>
    <w:p w14:paraId="0C11D306">
      <w:pPr>
        <w:tabs>
          <w:tab w:val="left" w:pos="1065"/>
        </w:tabs>
        <w:adjustRightInd w:val="0"/>
        <w:snapToGrid w:val="0"/>
        <w:spacing w:line="20" w:lineRule="exact"/>
      </w:pPr>
    </w:p>
    <w:sectPr>
      <w:footerReference r:id="rId4" w:type="default"/>
      <w:pgSz w:w="11906" w:h="16838"/>
      <w:pgMar w:top="1417" w:right="1587"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DB6A0">
    <w:pPr>
      <w:pStyle w:val="15"/>
    </w:pPr>
    <w:r>
      <mc:AlternateContent>
        <mc:Choice Requires="wps">
          <w:drawing>
            <wp:anchor distT="0" distB="0" distL="114300" distR="114300" simplePos="0" relativeHeight="251659264" behindDoc="0" locked="0" layoutInCell="1" allowOverlap="1">
              <wp:simplePos x="0" y="0"/>
              <wp:positionH relativeFrom="margin">
                <wp:posOffset>2745105</wp:posOffset>
              </wp:positionH>
              <wp:positionV relativeFrom="paragraph">
                <wp:posOffset>3810</wp:posOffset>
              </wp:positionV>
              <wp:extent cx="190500" cy="1828800"/>
              <wp:effectExtent l="0" t="0" r="0" b="14605"/>
              <wp:wrapNone/>
              <wp:docPr id="84" name="文本框 84"/>
              <wp:cNvGraphicFramePr/>
              <a:graphic xmlns:a="http://schemas.openxmlformats.org/drawingml/2006/main">
                <a:graphicData uri="http://schemas.microsoft.com/office/word/2010/wordprocessingShape">
                  <wps:wsp>
                    <wps:cNvSpPr txBox="1"/>
                    <wps:spPr>
                      <a:xfrm>
                        <a:off x="0" y="0"/>
                        <a:ext cx="1905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7D1656">
                          <w:pPr>
                            <w:pStyle w:val="1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16.15pt;margin-top:0.3pt;height:144pt;width:15pt;mso-position-horizontal-relative:margin;z-index:251659264;mso-width-relative:page;mso-height-relative:page;" filled="f" stroked="f" coordsize="21600,21600" o:gfxdata="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meYAs1gAAAAgBAAAPAAAAAAAAAAEAIAAAACIAAABkcnMvZG93bnJldi54bWxQ&#10;SwECFAAUAAAACACHTuJAjhnoGzICAABYBAAADgAAAAAAAAABACAAAAAlAQAAZHJzL2Uyb0RvYy54&#10;bWxQSwUGAAAAAAYABgBZAQAAyQUAAAAA&#10;">
              <v:fill on="f" focussize="0,0"/>
              <v:stroke on="f" weight="0.5pt"/>
              <v:imagedata o:title=""/>
              <o:lock v:ext="edit" aspectratio="f"/>
              <v:textbox inset="0mm,0mm,0mm,0mm" style="mso-fit-shape-to-text:t;">
                <w:txbxContent>
                  <w:p w14:paraId="007D1656">
                    <w:pPr>
                      <w:pStyle w:val="1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67051646"/>
    </w:sdtPr>
    <w:sdtContent>
      <w:p w14:paraId="32EFE5F8">
        <w:pPr>
          <w:pStyle w:val="15"/>
          <w:jc w:val="center"/>
        </w:pPr>
        <w:r>
          <w:fldChar w:fldCharType="begin"/>
        </w:r>
        <w:r>
          <w:instrText xml:space="preserve">PAGE   \* MERGEFORMAT</w:instrText>
        </w:r>
        <w:r>
          <w:fldChar w:fldCharType="separate"/>
        </w:r>
        <w:r>
          <w:rPr>
            <w:lang w:val="zh-CN"/>
          </w:rPr>
          <w:t>2</w:t>
        </w:r>
        <w:r>
          <w:fldChar w:fldCharType="end"/>
        </w:r>
      </w:p>
    </w:sdtContent>
  </w:sdt>
  <w:p w14:paraId="385622E0">
    <w:pPr>
      <w:pStyle w:val="1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C93C31"/>
    <w:multiLevelType w:val="singleLevel"/>
    <w:tmpl w:val="B6C93C31"/>
    <w:lvl w:ilvl="0" w:tentative="0">
      <w:start w:val="1"/>
      <w:numFmt w:val="bullet"/>
      <w:pStyle w:val="12"/>
      <w:lvlText w:val=""/>
      <w:lvlJc w:val="left"/>
      <w:pPr>
        <w:tabs>
          <w:tab w:val="left" w:pos="2040"/>
        </w:tabs>
        <w:ind w:left="2040" w:hanging="360"/>
      </w:pPr>
      <w:rPr>
        <w:rFonts w:hint="default" w:ascii="Wingdings" w:hAnsi="Wingdings"/>
      </w:rPr>
    </w:lvl>
  </w:abstractNum>
  <w:abstractNum w:abstractNumId="1">
    <w:nsid w:val="2B9AA2AE"/>
    <w:multiLevelType w:val="multilevel"/>
    <w:tmpl w:val="2B9AA2AE"/>
    <w:lvl w:ilvl="0" w:tentative="0">
      <w:start w:val="1"/>
      <w:numFmt w:val="decimal"/>
      <w:lvlText w:val="%1"/>
      <w:lvlJc w:val="left"/>
      <w:pPr>
        <w:tabs>
          <w:tab w:val="left" w:pos="432"/>
        </w:tabs>
        <w:ind w:left="432" w:hanging="432"/>
      </w:pPr>
      <w:rPr>
        <w:rFonts w:hint="eastAsia"/>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3119"/>
        </w:tabs>
        <w:ind w:left="2989" w:hanging="720"/>
      </w:pPr>
      <w:rPr>
        <w:rFonts w:hint="default" w:ascii="宋体" w:hAnsi="宋体" w:eastAsia="宋体" w:cs="宋体"/>
        <w:color w:val="auto"/>
        <w:sz w:val="24"/>
        <w:szCs w:val="24"/>
      </w:rPr>
    </w:lvl>
    <w:lvl w:ilvl="3" w:tentative="0">
      <w:start w:val="1"/>
      <w:numFmt w:val="decimal"/>
      <w:pStyle w:val="5"/>
      <w:lvlText w:val="%1.%2.%3.%4"/>
      <w:lvlJc w:val="left"/>
      <w:pPr>
        <w:tabs>
          <w:tab w:val="left" w:pos="2708"/>
        </w:tabs>
        <w:ind w:left="2708"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47D15015"/>
    <w:multiLevelType w:val="multilevel"/>
    <w:tmpl w:val="47D15015"/>
    <w:lvl w:ilvl="0" w:tentative="0">
      <w:start w:val="1"/>
      <w:numFmt w:val="decimal"/>
      <w:suff w:val="space"/>
      <w:lvlText w:val="%1"/>
      <w:lvlJc w:val="left"/>
      <w:pPr>
        <w:ind w:left="0" w:firstLine="0"/>
      </w:pPr>
      <w:rPr>
        <w:rFonts w:hint="eastAsia" w:ascii="黑体" w:eastAsia="黑体"/>
        <w:b w:val="0"/>
        <w:i w:val="0"/>
        <w:sz w:val="32"/>
      </w:rPr>
    </w:lvl>
    <w:lvl w:ilvl="1" w:tentative="0">
      <w:start w:val="1"/>
      <w:numFmt w:val="decimal"/>
      <w:pStyle w:val="3"/>
      <w:suff w:val="space"/>
      <w:lvlText w:val="%1.%2"/>
      <w:lvlJc w:val="left"/>
      <w:pPr>
        <w:ind w:left="0" w:firstLine="0"/>
      </w:pPr>
      <w:rPr>
        <w:rFonts w:hint="eastAsia" w:ascii="黑体" w:eastAsia="黑体"/>
        <w:b w:val="0"/>
        <w:i w:val="0"/>
        <w:sz w:val="28"/>
      </w:rPr>
    </w:lvl>
    <w:lvl w:ilvl="2" w:tentative="0">
      <w:start w:val="1"/>
      <w:numFmt w:val="decimal"/>
      <w:suff w:val="space"/>
      <w:lvlText w:val="%1.%2.%3"/>
      <w:lvlJc w:val="left"/>
      <w:pPr>
        <w:ind w:left="0" w:firstLine="0"/>
      </w:pPr>
      <w:rPr>
        <w:rFonts w:hint="eastAsia" w:ascii="黑体" w:hAnsi="宋体" w:eastAsia="黑体"/>
        <w:b w:val="0"/>
        <w:i w:val="0"/>
        <w:sz w:val="24"/>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668BE267"/>
    <w:multiLevelType w:val="singleLevel"/>
    <w:tmpl w:val="668BE267"/>
    <w:lvl w:ilvl="0" w:tentative="0">
      <w:start w:val="1"/>
      <w:numFmt w:val="decimal"/>
      <w:suff w:val="nothing"/>
      <w:lvlText w:val="%1、"/>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I2NTVkMDg1NmUwODRlOTk3YzY2NzhjYjkzM2ZlZDUifQ=="/>
  </w:docVars>
  <w:rsids>
    <w:rsidRoot w:val="414D1218"/>
    <w:rsid w:val="00003A58"/>
    <w:rsid w:val="00003C55"/>
    <w:rsid w:val="00047C6F"/>
    <w:rsid w:val="00051A76"/>
    <w:rsid w:val="000558D9"/>
    <w:rsid w:val="00061054"/>
    <w:rsid w:val="000637C9"/>
    <w:rsid w:val="000713FE"/>
    <w:rsid w:val="000A0416"/>
    <w:rsid w:val="000C29B7"/>
    <w:rsid w:val="000D2328"/>
    <w:rsid w:val="000E79ED"/>
    <w:rsid w:val="00103A4B"/>
    <w:rsid w:val="00104662"/>
    <w:rsid w:val="00111781"/>
    <w:rsid w:val="00136983"/>
    <w:rsid w:val="001477A8"/>
    <w:rsid w:val="00152589"/>
    <w:rsid w:val="00153432"/>
    <w:rsid w:val="00157586"/>
    <w:rsid w:val="00165A52"/>
    <w:rsid w:val="001775B6"/>
    <w:rsid w:val="00186C5F"/>
    <w:rsid w:val="001B60F7"/>
    <w:rsid w:val="001C2E14"/>
    <w:rsid w:val="001C4E6F"/>
    <w:rsid w:val="001D0580"/>
    <w:rsid w:val="001D2E9C"/>
    <w:rsid w:val="002203F3"/>
    <w:rsid w:val="00221AA1"/>
    <w:rsid w:val="002264D4"/>
    <w:rsid w:val="002268B2"/>
    <w:rsid w:val="00227738"/>
    <w:rsid w:val="0023305D"/>
    <w:rsid w:val="00234A18"/>
    <w:rsid w:val="00235822"/>
    <w:rsid w:val="00244A46"/>
    <w:rsid w:val="0025347D"/>
    <w:rsid w:val="00253491"/>
    <w:rsid w:val="002771D7"/>
    <w:rsid w:val="00280E3E"/>
    <w:rsid w:val="00287023"/>
    <w:rsid w:val="00287E58"/>
    <w:rsid w:val="002A34B6"/>
    <w:rsid w:val="002A3918"/>
    <w:rsid w:val="002C27EE"/>
    <w:rsid w:val="002C31B6"/>
    <w:rsid w:val="002C63FF"/>
    <w:rsid w:val="002D4781"/>
    <w:rsid w:val="003231EC"/>
    <w:rsid w:val="003262D8"/>
    <w:rsid w:val="00334AB6"/>
    <w:rsid w:val="00337951"/>
    <w:rsid w:val="00354735"/>
    <w:rsid w:val="00354C09"/>
    <w:rsid w:val="00371418"/>
    <w:rsid w:val="00374541"/>
    <w:rsid w:val="00384DB5"/>
    <w:rsid w:val="0039778E"/>
    <w:rsid w:val="003A60B5"/>
    <w:rsid w:val="003B0D9B"/>
    <w:rsid w:val="003C2E1E"/>
    <w:rsid w:val="003D6017"/>
    <w:rsid w:val="003E5779"/>
    <w:rsid w:val="003F28D0"/>
    <w:rsid w:val="003F473F"/>
    <w:rsid w:val="00400E36"/>
    <w:rsid w:val="004025F9"/>
    <w:rsid w:val="00406E3D"/>
    <w:rsid w:val="0043776F"/>
    <w:rsid w:val="00450B8F"/>
    <w:rsid w:val="004630E8"/>
    <w:rsid w:val="00471019"/>
    <w:rsid w:val="00483743"/>
    <w:rsid w:val="0048735E"/>
    <w:rsid w:val="00492E93"/>
    <w:rsid w:val="004A714F"/>
    <w:rsid w:val="004B55CC"/>
    <w:rsid w:val="004D2261"/>
    <w:rsid w:val="00514BDE"/>
    <w:rsid w:val="005212BD"/>
    <w:rsid w:val="00533403"/>
    <w:rsid w:val="005423CA"/>
    <w:rsid w:val="0054614E"/>
    <w:rsid w:val="005557FE"/>
    <w:rsid w:val="00567625"/>
    <w:rsid w:val="00585D47"/>
    <w:rsid w:val="005A6D5C"/>
    <w:rsid w:val="005C6062"/>
    <w:rsid w:val="005D5716"/>
    <w:rsid w:val="005E33C5"/>
    <w:rsid w:val="005E5DFA"/>
    <w:rsid w:val="005E7664"/>
    <w:rsid w:val="00605D37"/>
    <w:rsid w:val="00607692"/>
    <w:rsid w:val="00614E86"/>
    <w:rsid w:val="00640640"/>
    <w:rsid w:val="0064616C"/>
    <w:rsid w:val="00665E00"/>
    <w:rsid w:val="00684C95"/>
    <w:rsid w:val="00686ECF"/>
    <w:rsid w:val="00695EA1"/>
    <w:rsid w:val="006A418A"/>
    <w:rsid w:val="006B187F"/>
    <w:rsid w:val="006B74D0"/>
    <w:rsid w:val="006C1CB0"/>
    <w:rsid w:val="006D7198"/>
    <w:rsid w:val="006E1EC1"/>
    <w:rsid w:val="006E2AFD"/>
    <w:rsid w:val="006E6EF9"/>
    <w:rsid w:val="006F2847"/>
    <w:rsid w:val="00710267"/>
    <w:rsid w:val="00711A95"/>
    <w:rsid w:val="00731A6D"/>
    <w:rsid w:val="00733B09"/>
    <w:rsid w:val="007505D6"/>
    <w:rsid w:val="00752F3F"/>
    <w:rsid w:val="00757B1B"/>
    <w:rsid w:val="00761954"/>
    <w:rsid w:val="00767BB6"/>
    <w:rsid w:val="00770393"/>
    <w:rsid w:val="00776FCD"/>
    <w:rsid w:val="00780AB3"/>
    <w:rsid w:val="00790B72"/>
    <w:rsid w:val="007A4E46"/>
    <w:rsid w:val="007B5C66"/>
    <w:rsid w:val="007C3BD9"/>
    <w:rsid w:val="007C558A"/>
    <w:rsid w:val="007E2381"/>
    <w:rsid w:val="00803866"/>
    <w:rsid w:val="00804A41"/>
    <w:rsid w:val="00807202"/>
    <w:rsid w:val="00814990"/>
    <w:rsid w:val="00832D5E"/>
    <w:rsid w:val="008366DC"/>
    <w:rsid w:val="00846C2C"/>
    <w:rsid w:val="00851793"/>
    <w:rsid w:val="008A68B0"/>
    <w:rsid w:val="008B6956"/>
    <w:rsid w:val="008C19D6"/>
    <w:rsid w:val="008C5C3A"/>
    <w:rsid w:val="008C631C"/>
    <w:rsid w:val="008C7EAC"/>
    <w:rsid w:val="008D2661"/>
    <w:rsid w:val="008D41AD"/>
    <w:rsid w:val="008D4EE0"/>
    <w:rsid w:val="00920CEA"/>
    <w:rsid w:val="00932309"/>
    <w:rsid w:val="00937415"/>
    <w:rsid w:val="0094343C"/>
    <w:rsid w:val="00947278"/>
    <w:rsid w:val="00951F41"/>
    <w:rsid w:val="00953F88"/>
    <w:rsid w:val="00971095"/>
    <w:rsid w:val="009838D3"/>
    <w:rsid w:val="00984619"/>
    <w:rsid w:val="009A1561"/>
    <w:rsid w:val="009A555F"/>
    <w:rsid w:val="009D3CD3"/>
    <w:rsid w:val="009D65A9"/>
    <w:rsid w:val="009E0364"/>
    <w:rsid w:val="009F4386"/>
    <w:rsid w:val="00A15A80"/>
    <w:rsid w:val="00A173DB"/>
    <w:rsid w:val="00A24DBE"/>
    <w:rsid w:val="00A55D39"/>
    <w:rsid w:val="00A61B27"/>
    <w:rsid w:val="00A83649"/>
    <w:rsid w:val="00AA403A"/>
    <w:rsid w:val="00AC186C"/>
    <w:rsid w:val="00AD4469"/>
    <w:rsid w:val="00AD730B"/>
    <w:rsid w:val="00AE0E9A"/>
    <w:rsid w:val="00AE4C1A"/>
    <w:rsid w:val="00AF79D3"/>
    <w:rsid w:val="00B12456"/>
    <w:rsid w:val="00B145CD"/>
    <w:rsid w:val="00B24507"/>
    <w:rsid w:val="00B500FB"/>
    <w:rsid w:val="00B64741"/>
    <w:rsid w:val="00B9584C"/>
    <w:rsid w:val="00BB25EC"/>
    <w:rsid w:val="00BC4E86"/>
    <w:rsid w:val="00BE0B1C"/>
    <w:rsid w:val="00BE367B"/>
    <w:rsid w:val="00C03BEF"/>
    <w:rsid w:val="00C04033"/>
    <w:rsid w:val="00C075AB"/>
    <w:rsid w:val="00C07C49"/>
    <w:rsid w:val="00C153C7"/>
    <w:rsid w:val="00C24D01"/>
    <w:rsid w:val="00C30B61"/>
    <w:rsid w:val="00C37AE6"/>
    <w:rsid w:val="00C41B3D"/>
    <w:rsid w:val="00C44AFC"/>
    <w:rsid w:val="00C52C00"/>
    <w:rsid w:val="00C534CD"/>
    <w:rsid w:val="00C578E7"/>
    <w:rsid w:val="00C635F0"/>
    <w:rsid w:val="00C636AB"/>
    <w:rsid w:val="00C722A7"/>
    <w:rsid w:val="00C726CF"/>
    <w:rsid w:val="00C72F75"/>
    <w:rsid w:val="00C80A51"/>
    <w:rsid w:val="00C91DD1"/>
    <w:rsid w:val="00C96133"/>
    <w:rsid w:val="00CD7CAB"/>
    <w:rsid w:val="00CE3633"/>
    <w:rsid w:val="00CE6B66"/>
    <w:rsid w:val="00CF01AB"/>
    <w:rsid w:val="00CF0430"/>
    <w:rsid w:val="00CF2415"/>
    <w:rsid w:val="00CF5776"/>
    <w:rsid w:val="00D24388"/>
    <w:rsid w:val="00D64ECF"/>
    <w:rsid w:val="00D72F41"/>
    <w:rsid w:val="00D74ACA"/>
    <w:rsid w:val="00D76623"/>
    <w:rsid w:val="00D776B6"/>
    <w:rsid w:val="00D92D83"/>
    <w:rsid w:val="00D95849"/>
    <w:rsid w:val="00DA0006"/>
    <w:rsid w:val="00DA6195"/>
    <w:rsid w:val="00DA7506"/>
    <w:rsid w:val="00DF2240"/>
    <w:rsid w:val="00E06E93"/>
    <w:rsid w:val="00E13633"/>
    <w:rsid w:val="00E1364D"/>
    <w:rsid w:val="00E21214"/>
    <w:rsid w:val="00E278C8"/>
    <w:rsid w:val="00E35DF1"/>
    <w:rsid w:val="00E36D0F"/>
    <w:rsid w:val="00E422C1"/>
    <w:rsid w:val="00E42D01"/>
    <w:rsid w:val="00E61F55"/>
    <w:rsid w:val="00E62FE1"/>
    <w:rsid w:val="00E67AB3"/>
    <w:rsid w:val="00E80D60"/>
    <w:rsid w:val="00E836E6"/>
    <w:rsid w:val="00E947E5"/>
    <w:rsid w:val="00EA28E8"/>
    <w:rsid w:val="00EC5408"/>
    <w:rsid w:val="00ED1901"/>
    <w:rsid w:val="00ED1AD5"/>
    <w:rsid w:val="00EE20FB"/>
    <w:rsid w:val="00EE46ED"/>
    <w:rsid w:val="00EE7AEF"/>
    <w:rsid w:val="00EF25DA"/>
    <w:rsid w:val="00F02084"/>
    <w:rsid w:val="00F04C5A"/>
    <w:rsid w:val="00F04D5B"/>
    <w:rsid w:val="00F32290"/>
    <w:rsid w:val="00F403B7"/>
    <w:rsid w:val="00F45C37"/>
    <w:rsid w:val="00F508F4"/>
    <w:rsid w:val="00F60EAF"/>
    <w:rsid w:val="00F665E0"/>
    <w:rsid w:val="00F72355"/>
    <w:rsid w:val="00F74DBC"/>
    <w:rsid w:val="00F75265"/>
    <w:rsid w:val="00F93169"/>
    <w:rsid w:val="00FA2D10"/>
    <w:rsid w:val="00FA3A03"/>
    <w:rsid w:val="00FA7C6C"/>
    <w:rsid w:val="00FB746C"/>
    <w:rsid w:val="00FE43ED"/>
    <w:rsid w:val="00FE455E"/>
    <w:rsid w:val="00FF3C88"/>
    <w:rsid w:val="00FF4006"/>
    <w:rsid w:val="01280279"/>
    <w:rsid w:val="021F4265"/>
    <w:rsid w:val="02DC0282"/>
    <w:rsid w:val="03710AF1"/>
    <w:rsid w:val="037519BB"/>
    <w:rsid w:val="03914CEF"/>
    <w:rsid w:val="039B791C"/>
    <w:rsid w:val="04F93F42"/>
    <w:rsid w:val="051E0BD4"/>
    <w:rsid w:val="053F4905"/>
    <w:rsid w:val="0721638A"/>
    <w:rsid w:val="07C04573"/>
    <w:rsid w:val="08E27D9B"/>
    <w:rsid w:val="0A3F4C7A"/>
    <w:rsid w:val="0C62487F"/>
    <w:rsid w:val="0D7D62E4"/>
    <w:rsid w:val="0E2833D8"/>
    <w:rsid w:val="0F7A2ADB"/>
    <w:rsid w:val="0FE42366"/>
    <w:rsid w:val="10B244F7"/>
    <w:rsid w:val="11291BB0"/>
    <w:rsid w:val="117B2B3A"/>
    <w:rsid w:val="11C307EF"/>
    <w:rsid w:val="11EC57E6"/>
    <w:rsid w:val="12244F80"/>
    <w:rsid w:val="13E231BB"/>
    <w:rsid w:val="141F5A69"/>
    <w:rsid w:val="144A3CB7"/>
    <w:rsid w:val="15093CA9"/>
    <w:rsid w:val="15211C4B"/>
    <w:rsid w:val="15860295"/>
    <w:rsid w:val="15BF3A3B"/>
    <w:rsid w:val="15C13D04"/>
    <w:rsid w:val="17A6541A"/>
    <w:rsid w:val="18155A97"/>
    <w:rsid w:val="185540E5"/>
    <w:rsid w:val="18E44A63"/>
    <w:rsid w:val="1A845156"/>
    <w:rsid w:val="1AA255DC"/>
    <w:rsid w:val="1AF851FC"/>
    <w:rsid w:val="1B157B5C"/>
    <w:rsid w:val="1B3F565A"/>
    <w:rsid w:val="1BAD1BB0"/>
    <w:rsid w:val="1D5A3F4C"/>
    <w:rsid w:val="1D9531D6"/>
    <w:rsid w:val="1E825B73"/>
    <w:rsid w:val="1ECF32EB"/>
    <w:rsid w:val="1F3252CE"/>
    <w:rsid w:val="1F6D61B8"/>
    <w:rsid w:val="1FC2352D"/>
    <w:rsid w:val="20347538"/>
    <w:rsid w:val="20E165FA"/>
    <w:rsid w:val="21830DBB"/>
    <w:rsid w:val="21BB7D67"/>
    <w:rsid w:val="22EB4553"/>
    <w:rsid w:val="230E7CB2"/>
    <w:rsid w:val="23532C10"/>
    <w:rsid w:val="236C7026"/>
    <w:rsid w:val="2392443F"/>
    <w:rsid w:val="24DA393D"/>
    <w:rsid w:val="24F27ED5"/>
    <w:rsid w:val="25761B3F"/>
    <w:rsid w:val="26396DF4"/>
    <w:rsid w:val="26CF1507"/>
    <w:rsid w:val="27B170B8"/>
    <w:rsid w:val="27D47C00"/>
    <w:rsid w:val="284F2742"/>
    <w:rsid w:val="29B669AE"/>
    <w:rsid w:val="2B192C3D"/>
    <w:rsid w:val="2D1C5D6D"/>
    <w:rsid w:val="2D7D380F"/>
    <w:rsid w:val="2D8C1F00"/>
    <w:rsid w:val="2DD25340"/>
    <w:rsid w:val="2E102511"/>
    <w:rsid w:val="2EA66FF1"/>
    <w:rsid w:val="2EAB2859"/>
    <w:rsid w:val="2EB37960"/>
    <w:rsid w:val="2F3C1703"/>
    <w:rsid w:val="2FD82CDA"/>
    <w:rsid w:val="303A052C"/>
    <w:rsid w:val="30AC28B9"/>
    <w:rsid w:val="30C23E8A"/>
    <w:rsid w:val="3102072B"/>
    <w:rsid w:val="31B0527C"/>
    <w:rsid w:val="31E71DFA"/>
    <w:rsid w:val="32024E86"/>
    <w:rsid w:val="32430CC6"/>
    <w:rsid w:val="328533C1"/>
    <w:rsid w:val="33977850"/>
    <w:rsid w:val="346946DD"/>
    <w:rsid w:val="347D3C45"/>
    <w:rsid w:val="357D67AE"/>
    <w:rsid w:val="374B4BD9"/>
    <w:rsid w:val="38B14253"/>
    <w:rsid w:val="39B330D3"/>
    <w:rsid w:val="3ACD2999"/>
    <w:rsid w:val="3BFD1116"/>
    <w:rsid w:val="3DF22F5F"/>
    <w:rsid w:val="3E6D3687"/>
    <w:rsid w:val="3EC80FBD"/>
    <w:rsid w:val="3FCE2E4F"/>
    <w:rsid w:val="40D95004"/>
    <w:rsid w:val="40DB0FEF"/>
    <w:rsid w:val="414D1218"/>
    <w:rsid w:val="414D4F14"/>
    <w:rsid w:val="4261659E"/>
    <w:rsid w:val="428C4396"/>
    <w:rsid w:val="42ED2FE9"/>
    <w:rsid w:val="42FE3484"/>
    <w:rsid w:val="43603FC4"/>
    <w:rsid w:val="44F87A23"/>
    <w:rsid w:val="46130FB8"/>
    <w:rsid w:val="46534F71"/>
    <w:rsid w:val="470C1E5A"/>
    <w:rsid w:val="47B44C13"/>
    <w:rsid w:val="47CB2259"/>
    <w:rsid w:val="4A151842"/>
    <w:rsid w:val="4A426AF1"/>
    <w:rsid w:val="4B35377F"/>
    <w:rsid w:val="4BFC44E7"/>
    <w:rsid w:val="4C57401A"/>
    <w:rsid w:val="4EA76A91"/>
    <w:rsid w:val="4EAC76A6"/>
    <w:rsid w:val="4F2C4FC8"/>
    <w:rsid w:val="504B75A0"/>
    <w:rsid w:val="50C54C2D"/>
    <w:rsid w:val="5160707C"/>
    <w:rsid w:val="51F31C9E"/>
    <w:rsid w:val="51FA569C"/>
    <w:rsid w:val="5253098E"/>
    <w:rsid w:val="529730D8"/>
    <w:rsid w:val="54922F12"/>
    <w:rsid w:val="54B204FE"/>
    <w:rsid w:val="553934A4"/>
    <w:rsid w:val="5540344C"/>
    <w:rsid w:val="56837A94"/>
    <w:rsid w:val="56905D0D"/>
    <w:rsid w:val="58502EE9"/>
    <w:rsid w:val="58D2260D"/>
    <w:rsid w:val="599E6993"/>
    <w:rsid w:val="59E22D24"/>
    <w:rsid w:val="5AFF16B3"/>
    <w:rsid w:val="5B173103"/>
    <w:rsid w:val="5BDC1DE6"/>
    <w:rsid w:val="5CE05840"/>
    <w:rsid w:val="5D845EA0"/>
    <w:rsid w:val="5E2E2659"/>
    <w:rsid w:val="5E677C9B"/>
    <w:rsid w:val="5FB32A6C"/>
    <w:rsid w:val="60BA70DC"/>
    <w:rsid w:val="61937A43"/>
    <w:rsid w:val="61B2747F"/>
    <w:rsid w:val="630008E2"/>
    <w:rsid w:val="6345731B"/>
    <w:rsid w:val="658F4B0B"/>
    <w:rsid w:val="662730D2"/>
    <w:rsid w:val="685C0145"/>
    <w:rsid w:val="687A0CCA"/>
    <w:rsid w:val="6CEE3336"/>
    <w:rsid w:val="6D174F33"/>
    <w:rsid w:val="6D617984"/>
    <w:rsid w:val="6D9A77E2"/>
    <w:rsid w:val="6DE21561"/>
    <w:rsid w:val="6DEB73CE"/>
    <w:rsid w:val="6ECB392F"/>
    <w:rsid w:val="726408A9"/>
    <w:rsid w:val="7362559D"/>
    <w:rsid w:val="73C3376E"/>
    <w:rsid w:val="74287C07"/>
    <w:rsid w:val="747607E0"/>
    <w:rsid w:val="74917DE0"/>
    <w:rsid w:val="74E474F8"/>
    <w:rsid w:val="757A105B"/>
    <w:rsid w:val="759B5268"/>
    <w:rsid w:val="75D21122"/>
    <w:rsid w:val="77F56CE2"/>
    <w:rsid w:val="787E7C6D"/>
    <w:rsid w:val="78947902"/>
    <w:rsid w:val="78F87A16"/>
    <w:rsid w:val="7A286B0C"/>
    <w:rsid w:val="7B4E1237"/>
    <w:rsid w:val="7BD21F60"/>
    <w:rsid w:val="7C06244A"/>
    <w:rsid w:val="7C6D41A4"/>
    <w:rsid w:val="7D174CB4"/>
    <w:rsid w:val="7D6733BC"/>
    <w:rsid w:val="7E215319"/>
    <w:rsid w:val="7E524C3B"/>
    <w:rsid w:val="7F5D68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qFormat/>
    <w:uiPriority w:val="0"/>
    <w:pPr>
      <w:keepNext/>
      <w:keepLines/>
      <w:numPr>
        <w:ilvl w:val="1"/>
        <w:numId w:val="1"/>
      </w:numPr>
      <w:spacing w:before="200" w:after="200" w:line="360" w:lineRule="auto"/>
      <w:jc w:val="left"/>
      <w:outlineLvl w:val="1"/>
    </w:pPr>
    <w:rPr>
      <w:rFonts w:ascii="黑体" w:hAnsi="黑体" w:eastAsia="黑体"/>
      <w:bCs/>
      <w:sz w:val="28"/>
      <w:szCs w:val="32"/>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paragraph" w:styleId="5">
    <w:name w:val="heading 4"/>
    <w:basedOn w:val="1"/>
    <w:next w:val="1"/>
    <w:qFormat/>
    <w:uiPriority w:val="0"/>
    <w:pPr>
      <w:keepNext/>
      <w:keepLines/>
      <w:numPr>
        <w:ilvl w:val="3"/>
        <w:numId w:val="2"/>
      </w:numPr>
      <w:pBdr>
        <w:top w:val="none" w:color="auto" w:sz="0" w:space="4"/>
        <w:left w:val="none" w:color="auto" w:sz="0" w:space="4"/>
        <w:bottom w:val="none" w:color="auto" w:sz="0" w:space="1"/>
        <w:right w:val="none" w:color="auto" w:sz="0" w:space="4"/>
      </w:pBdr>
      <w:tabs>
        <w:tab w:val="left" w:pos="315"/>
        <w:tab w:val="left" w:pos="432"/>
        <w:tab w:val="left" w:pos="525"/>
        <w:tab w:val="left" w:pos="630"/>
        <w:tab w:val="left" w:pos="864"/>
      </w:tabs>
      <w:adjustRightInd w:val="0"/>
      <w:snapToGrid w:val="0"/>
      <w:spacing w:before="50" w:beforeLines="50" w:after="50" w:afterLines="50"/>
      <w:ind w:left="0" w:firstLine="0"/>
      <w:textAlignment w:val="top"/>
      <w:outlineLvl w:val="3"/>
    </w:pPr>
    <w:rPr>
      <w:b/>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autoRedefine/>
    <w:qFormat/>
    <w:uiPriority w:val="0"/>
    <w:pPr>
      <w:ind w:left="1400" w:leftChars="1400"/>
    </w:pPr>
  </w:style>
  <w:style w:type="paragraph" w:styleId="7">
    <w:name w:val="Normal Indent"/>
    <w:basedOn w:val="1"/>
    <w:next w:val="8"/>
    <w:qFormat/>
    <w:uiPriority w:val="0"/>
    <w:pPr>
      <w:ind w:firstLine="602"/>
    </w:pPr>
    <w:rPr>
      <w:sz w:val="28"/>
      <w:szCs w:val="20"/>
    </w:rPr>
  </w:style>
  <w:style w:type="paragraph" w:customStyle="1" w:styleId="8">
    <w:name w:val="样式 正文文本 + 首行缩进:  2 字符"/>
    <w:autoRedefine/>
    <w:qFormat/>
    <w:uiPriority w:val="99"/>
    <w:pPr>
      <w:spacing w:after="200" w:line="480" w:lineRule="exact"/>
      <w:ind w:firstLine="480" w:firstLineChars="200"/>
      <w:jc w:val="center"/>
    </w:pPr>
    <w:rPr>
      <w:rFonts w:ascii="宋体" w:hAnsi="宋体" w:eastAsia="Calibri" w:cs="Times New Roman"/>
      <w:sz w:val="24"/>
      <w:szCs w:val="22"/>
      <w:lang w:val="en-US" w:eastAsia="zh-CN" w:bidi="ar-SA"/>
    </w:rPr>
  </w:style>
  <w:style w:type="paragraph" w:styleId="9">
    <w:name w:val="caption"/>
    <w:basedOn w:val="1"/>
    <w:next w:val="1"/>
    <w:qFormat/>
    <w:uiPriority w:val="99"/>
    <w:pPr>
      <w:spacing w:line="500" w:lineRule="exact"/>
      <w:jc w:val="center"/>
    </w:pPr>
    <w:rPr>
      <w:rFonts w:ascii="黑体" w:hAnsi="黑体" w:eastAsia="黑体"/>
      <w:szCs w:val="20"/>
    </w:rPr>
  </w:style>
  <w:style w:type="paragraph" w:styleId="10">
    <w:name w:val="annotation text"/>
    <w:basedOn w:val="1"/>
    <w:link w:val="62"/>
    <w:qFormat/>
    <w:uiPriority w:val="0"/>
    <w:pPr>
      <w:jc w:val="left"/>
    </w:pPr>
  </w:style>
  <w:style w:type="paragraph" w:styleId="11">
    <w:name w:val="Body Text"/>
    <w:basedOn w:val="1"/>
    <w:next w:val="12"/>
    <w:link w:val="66"/>
    <w:qFormat/>
    <w:uiPriority w:val="0"/>
    <w:pPr>
      <w:widowControl/>
      <w:snapToGrid w:val="0"/>
      <w:spacing w:before="60" w:after="160" w:line="259" w:lineRule="auto"/>
      <w:ind w:right="113"/>
    </w:pPr>
    <w:rPr>
      <w:kern w:val="0"/>
      <w:szCs w:val="18"/>
    </w:rPr>
  </w:style>
  <w:style w:type="paragraph" w:styleId="12">
    <w:name w:val="List Bullet 5"/>
    <w:basedOn w:val="1"/>
    <w:qFormat/>
    <w:uiPriority w:val="0"/>
    <w:pPr>
      <w:numPr>
        <w:ilvl w:val="0"/>
        <w:numId w:val="3"/>
      </w:numPr>
    </w:pPr>
  </w:style>
  <w:style w:type="paragraph" w:styleId="13">
    <w:name w:val="Body Text Indent"/>
    <w:basedOn w:val="1"/>
    <w:qFormat/>
    <w:uiPriority w:val="99"/>
    <w:pPr>
      <w:spacing w:line="360" w:lineRule="auto"/>
      <w:ind w:firstLine="495"/>
    </w:pPr>
    <w:rPr>
      <w:rFonts w:ascii="宋体" w:hAnsi="宋体"/>
      <w:sz w:val="24"/>
    </w:rPr>
  </w:style>
  <w:style w:type="paragraph" w:styleId="14">
    <w:name w:val="Body Text Indent 2"/>
    <w:basedOn w:val="1"/>
    <w:link w:val="81"/>
    <w:qFormat/>
    <w:uiPriority w:val="0"/>
    <w:pPr>
      <w:spacing w:after="120" w:line="480" w:lineRule="auto"/>
      <w:ind w:left="420" w:leftChars="200"/>
    </w:pPr>
  </w:style>
  <w:style w:type="paragraph" w:styleId="15">
    <w:name w:val="footer"/>
    <w:basedOn w:val="1"/>
    <w:qFormat/>
    <w:uiPriority w:val="99"/>
    <w:pPr>
      <w:tabs>
        <w:tab w:val="center" w:pos="4153"/>
        <w:tab w:val="right" w:pos="8306"/>
      </w:tabs>
      <w:snapToGrid w:val="0"/>
      <w:jc w:val="left"/>
    </w:pPr>
    <w:rPr>
      <w:sz w:val="18"/>
      <w:szCs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7">
    <w:name w:val="toc 1"/>
    <w:basedOn w:val="1"/>
    <w:next w:val="1"/>
    <w:autoRedefine/>
    <w:qFormat/>
    <w:uiPriority w:val="39"/>
  </w:style>
  <w:style w:type="paragraph" w:styleId="18">
    <w:name w:val="index heading"/>
    <w:basedOn w:val="1"/>
    <w:next w:val="19"/>
    <w:qFormat/>
    <w:uiPriority w:val="0"/>
    <w:rPr>
      <w:rFonts w:hint="eastAsia" w:ascii="Cambria" w:hAnsi="Cambria"/>
      <w:b/>
    </w:rPr>
  </w:style>
  <w:style w:type="paragraph" w:styleId="19">
    <w:name w:val="index 1"/>
    <w:basedOn w:val="1"/>
    <w:next w:val="1"/>
    <w:qFormat/>
    <w:uiPriority w:val="0"/>
  </w:style>
  <w:style w:type="paragraph" w:styleId="20">
    <w:name w:val="List"/>
    <w:basedOn w:val="1"/>
    <w:qFormat/>
    <w:uiPriority w:val="0"/>
    <w:pPr>
      <w:ind w:left="200" w:hanging="200" w:hangingChars="200"/>
      <w:contextualSpacing/>
    </w:pPr>
  </w:style>
  <w:style w:type="paragraph" w:styleId="21">
    <w:name w:val="toc 2"/>
    <w:basedOn w:val="1"/>
    <w:next w:val="1"/>
    <w:unhideWhenUsed/>
    <w:qFormat/>
    <w:uiPriority w:val="39"/>
    <w:pPr>
      <w:spacing w:before="120"/>
      <w:ind w:left="210"/>
      <w:jc w:val="left"/>
    </w:pPr>
    <w:rPr>
      <w:rFonts w:ascii="Calibri" w:hAnsi="Calibri" w:cs="Calibri"/>
      <w:i/>
      <w:iCs/>
      <w:sz w:val="20"/>
    </w:rPr>
  </w:style>
  <w:style w:type="paragraph" w:styleId="22">
    <w:name w:val="Body Text 2"/>
    <w:basedOn w:val="1"/>
    <w:qFormat/>
    <w:uiPriority w:val="0"/>
    <w:pPr>
      <w:spacing w:after="120" w:line="480" w:lineRule="auto"/>
    </w:pPr>
  </w:style>
  <w:style w:type="paragraph" w:styleId="23">
    <w:name w:val="Normal (Web)"/>
    <w:basedOn w:val="1"/>
    <w:qFormat/>
    <w:uiPriority w:val="0"/>
    <w:pPr>
      <w:widowControl/>
      <w:spacing w:before="100" w:beforeAutospacing="1" w:after="100" w:afterAutospacing="1"/>
      <w:jc w:val="left"/>
    </w:pPr>
    <w:rPr>
      <w:rFonts w:ascii="宋体" w:hAnsi="宋体"/>
      <w:kern w:val="0"/>
      <w:sz w:val="24"/>
    </w:rPr>
  </w:style>
  <w:style w:type="paragraph" w:styleId="24">
    <w:name w:val="annotation subject"/>
    <w:basedOn w:val="10"/>
    <w:next w:val="10"/>
    <w:link w:val="63"/>
    <w:qFormat/>
    <w:uiPriority w:val="0"/>
    <w:rPr>
      <w:b/>
      <w:bCs/>
    </w:rPr>
  </w:style>
  <w:style w:type="paragraph" w:styleId="25">
    <w:name w:val="Body Text First Indent"/>
    <w:basedOn w:val="11"/>
    <w:qFormat/>
    <w:uiPriority w:val="0"/>
    <w:pPr>
      <w:widowControl w:val="0"/>
      <w:snapToGrid/>
      <w:spacing w:before="0" w:after="120" w:line="240" w:lineRule="auto"/>
      <w:ind w:right="0" w:firstLine="420" w:firstLineChars="100"/>
    </w:pPr>
    <w:rPr>
      <w:kern w:val="2"/>
      <w:szCs w:val="24"/>
    </w:rPr>
  </w:style>
  <w:style w:type="paragraph" w:styleId="26">
    <w:name w:val="Body Text First Indent 2"/>
    <w:basedOn w:val="13"/>
    <w:qFormat/>
    <w:uiPriority w:val="99"/>
    <w:pPr>
      <w:ind w:firstLine="420" w:firstLineChars="200"/>
    </w:pPr>
    <w:rPr>
      <w:sz w:val="21"/>
    </w:r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qFormat/>
    <w:uiPriority w:val="0"/>
  </w:style>
  <w:style w:type="character" w:styleId="31">
    <w:name w:val="Hyperlink"/>
    <w:basedOn w:val="29"/>
    <w:unhideWhenUsed/>
    <w:qFormat/>
    <w:uiPriority w:val="99"/>
    <w:rPr>
      <w:color w:val="0563C1" w:themeColor="hyperlink"/>
      <w:u w:val="single"/>
      <w14:textFill>
        <w14:solidFill>
          <w14:schemeClr w14:val="hlink"/>
        </w14:solidFill>
      </w14:textFill>
    </w:rPr>
  </w:style>
  <w:style w:type="character" w:styleId="32">
    <w:name w:val="annotation reference"/>
    <w:basedOn w:val="29"/>
    <w:qFormat/>
    <w:uiPriority w:val="0"/>
    <w:rPr>
      <w:sz w:val="21"/>
      <w:szCs w:val="21"/>
    </w:rPr>
  </w:style>
  <w:style w:type="paragraph" w:customStyle="1" w:styleId="33">
    <w:name w:val="表格内容5.21"/>
    <w:basedOn w:val="1"/>
    <w:link w:val="34"/>
    <w:autoRedefine/>
    <w:qFormat/>
    <w:uiPriority w:val="0"/>
    <w:pPr>
      <w:widowControl/>
      <w:snapToGrid w:val="0"/>
      <w:ind w:left="-105" w:leftChars="-50" w:right="-105" w:rightChars="-50"/>
      <w:jc w:val="center"/>
      <w:textAlignment w:val="center"/>
    </w:pPr>
    <w:rPr>
      <w:kern w:val="0"/>
      <w:szCs w:val="21"/>
    </w:rPr>
  </w:style>
  <w:style w:type="character" w:customStyle="1" w:styleId="34">
    <w:name w:val="表格内容5.21 字符"/>
    <w:link w:val="33"/>
    <w:autoRedefine/>
    <w:qFormat/>
    <w:uiPriority w:val="0"/>
    <w:rPr>
      <w:sz w:val="21"/>
      <w:szCs w:val="21"/>
    </w:rPr>
  </w:style>
  <w:style w:type="paragraph" w:customStyle="1" w:styleId="35">
    <w:name w:val="d正文"/>
    <w:basedOn w:val="1"/>
    <w:qFormat/>
    <w:uiPriority w:val="0"/>
    <w:pPr>
      <w:autoSpaceDE w:val="0"/>
      <w:autoSpaceDN w:val="0"/>
      <w:adjustRightInd w:val="0"/>
      <w:snapToGrid w:val="0"/>
      <w:spacing w:line="520" w:lineRule="exact"/>
      <w:ind w:firstLine="480" w:firstLineChars="200"/>
    </w:pPr>
    <w:rPr>
      <w:rFonts w:hint="eastAsia"/>
      <w:sz w:val="24"/>
      <w:szCs w:val="21"/>
    </w:rPr>
  </w:style>
  <w:style w:type="paragraph" w:customStyle="1" w:styleId="36">
    <w:name w:val="d表头"/>
    <w:basedOn w:val="26"/>
    <w:next w:val="37"/>
    <w:qFormat/>
    <w:uiPriority w:val="0"/>
    <w:pPr>
      <w:autoSpaceDE w:val="0"/>
      <w:autoSpaceDN w:val="0"/>
      <w:adjustRightInd w:val="0"/>
      <w:snapToGrid w:val="0"/>
      <w:spacing w:line="520" w:lineRule="exact"/>
      <w:jc w:val="center"/>
    </w:pPr>
    <w:rPr>
      <w:rFonts w:hint="eastAsia" w:ascii="Times New Roman" w:hAnsi="Times New Roman" w:eastAsia="黑体" w:cs="黑体"/>
      <w:kern w:val="0"/>
    </w:rPr>
  </w:style>
  <w:style w:type="paragraph" w:customStyle="1" w:styleId="37">
    <w:name w:val="d表格字体"/>
    <w:basedOn w:val="38"/>
    <w:qFormat/>
    <w:uiPriority w:val="0"/>
    <w:pPr>
      <w:jc w:val="center"/>
    </w:pPr>
    <w:rPr>
      <w:rFonts w:eastAsia="Times New Roman"/>
    </w:rPr>
  </w:style>
  <w:style w:type="paragraph" w:customStyle="1" w:styleId="38">
    <w:name w:val="表格内"/>
    <w:basedOn w:val="1"/>
    <w:qFormat/>
    <w:uiPriority w:val="0"/>
    <w:pPr>
      <w:snapToGrid w:val="0"/>
    </w:pPr>
    <w:rPr>
      <w:szCs w:val="21"/>
    </w:rPr>
  </w:style>
  <w:style w:type="paragraph" w:customStyle="1" w:styleId="39">
    <w:name w:val="d表头字"/>
    <w:basedOn w:val="1"/>
    <w:qFormat/>
    <w:uiPriority w:val="0"/>
    <w:pPr>
      <w:autoSpaceDE w:val="0"/>
      <w:autoSpaceDN w:val="0"/>
      <w:adjustRightInd w:val="0"/>
      <w:snapToGrid w:val="0"/>
      <w:spacing w:line="520" w:lineRule="exact"/>
      <w:ind w:left="420" w:leftChars="100"/>
      <w:jc w:val="center"/>
    </w:pPr>
    <w:rPr>
      <w:rFonts w:eastAsia="黑体"/>
      <w:sz w:val="24"/>
      <w:szCs w:val="22"/>
    </w:rPr>
  </w:style>
  <w:style w:type="paragraph" w:customStyle="1" w:styleId="40">
    <w:name w:val="预案正文"/>
    <w:basedOn w:val="1"/>
    <w:qFormat/>
    <w:uiPriority w:val="0"/>
    <w:rPr>
      <w:rFonts w:hint="eastAsia" w:ascii="仿宋" w:hAnsi="仿宋" w:eastAsia="仿宋" w:cs="仿宋"/>
      <w:sz w:val="28"/>
      <w:szCs w:val="22"/>
    </w:rPr>
  </w:style>
  <w:style w:type="paragraph" w:customStyle="1" w:styleId="41">
    <w:name w:val="样式 正文文本缩进 + 行距: 1.5 倍行距"/>
    <w:basedOn w:val="1"/>
    <w:qFormat/>
    <w:uiPriority w:val="0"/>
    <w:pPr>
      <w:spacing w:after="120" w:line="360" w:lineRule="auto"/>
      <w:ind w:left="32" w:leftChars="32" w:firstLine="200" w:firstLineChars="200"/>
    </w:pPr>
    <w:rPr>
      <w:rFonts w:cs="宋体"/>
    </w:rPr>
  </w:style>
  <w:style w:type="paragraph" w:customStyle="1" w:styleId="42">
    <w:name w:val="表格"/>
    <w:basedOn w:val="7"/>
    <w:next w:val="22"/>
    <w:autoRedefine/>
    <w:qFormat/>
    <w:uiPriority w:val="0"/>
    <w:pPr>
      <w:adjustRightInd w:val="0"/>
      <w:snapToGrid w:val="0"/>
      <w:spacing w:beforeLines="10" w:afterLines="10" w:line="259" w:lineRule="auto"/>
      <w:jc w:val="center"/>
    </w:pPr>
    <w:rPr>
      <w:rFonts w:ascii="宋体"/>
      <w:kern w:val="0"/>
      <w:sz w:val="20"/>
      <w:szCs w:val="21"/>
    </w:rPr>
  </w:style>
  <w:style w:type="paragraph" w:customStyle="1" w:styleId="43">
    <w:name w:val="MEL正文*"/>
    <w:basedOn w:val="1"/>
    <w:qFormat/>
    <w:uiPriority w:val="0"/>
    <w:pPr>
      <w:spacing w:line="500" w:lineRule="exact"/>
      <w:ind w:firstLine="200" w:firstLineChars="200"/>
    </w:pPr>
    <w:rPr>
      <w:rFonts w:ascii="宋体" w:hAnsi="宋体"/>
      <w:kern w:val="0"/>
      <w:sz w:val="24"/>
    </w:rPr>
  </w:style>
  <w:style w:type="paragraph" w:customStyle="1" w:styleId="44">
    <w:name w:val="MEL表字-书"/>
    <w:basedOn w:val="1"/>
    <w:qFormat/>
    <w:uiPriority w:val="0"/>
    <w:pPr>
      <w:spacing w:line="300" w:lineRule="exact"/>
      <w:jc w:val="center"/>
    </w:pPr>
    <w:rPr>
      <w:rFonts w:ascii="宋体" w:hAnsi="宋体"/>
      <w:kern w:val="0"/>
      <w:szCs w:val="21"/>
    </w:rPr>
  </w:style>
  <w:style w:type="paragraph" w:customStyle="1" w:styleId="45">
    <w:name w:val="YJ-正文"/>
    <w:basedOn w:val="46"/>
    <w:qFormat/>
    <w:uiPriority w:val="0"/>
    <w:pPr>
      <w:ind w:firstLine="200" w:firstLineChars="200"/>
    </w:pPr>
    <w:rPr>
      <w:sz w:val="24"/>
    </w:rPr>
  </w:style>
  <w:style w:type="paragraph" w:customStyle="1" w:styleId="46">
    <w:name w:val="YJ-表标题1"/>
    <w:basedOn w:val="1"/>
    <w:qFormat/>
    <w:uiPriority w:val="0"/>
    <w:pPr>
      <w:widowControl/>
      <w:spacing w:line="520" w:lineRule="exact"/>
      <w:jc w:val="left"/>
      <w:outlineLvl w:val="1"/>
    </w:pPr>
    <w:rPr>
      <w:b/>
      <w:kern w:val="0"/>
      <w:sz w:val="30"/>
      <w:szCs w:val="22"/>
    </w:rPr>
  </w:style>
  <w:style w:type="paragraph" w:customStyle="1" w:styleId="47">
    <w:name w:val="YJ正文*"/>
    <w:basedOn w:val="1"/>
    <w:qFormat/>
    <w:uiPriority w:val="0"/>
    <w:pPr>
      <w:spacing w:line="500" w:lineRule="exact"/>
      <w:ind w:firstLine="200" w:firstLineChars="200"/>
    </w:pPr>
    <w:rPr>
      <w:rFonts w:ascii="宋体" w:hAnsi="宋体"/>
      <w:sz w:val="24"/>
    </w:rPr>
  </w:style>
  <w:style w:type="paragraph" w:customStyle="1" w:styleId="48">
    <w:name w:val="Table Paragraph"/>
    <w:basedOn w:val="1"/>
    <w:qFormat/>
    <w:uiPriority w:val="0"/>
    <w:pPr>
      <w:autoSpaceDE w:val="0"/>
      <w:autoSpaceDN w:val="0"/>
      <w:adjustRightInd w:val="0"/>
      <w:jc w:val="center"/>
    </w:pPr>
    <w:rPr>
      <w:rFonts w:eastAsia="等线"/>
      <w:kern w:val="0"/>
      <w:sz w:val="24"/>
    </w:rPr>
  </w:style>
  <w:style w:type="table" w:customStyle="1" w:styleId="49">
    <w:name w:val="网格型1"/>
    <w:basedOn w:val="27"/>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0">
    <w:name w:val="表内文字"/>
    <w:basedOn w:val="1"/>
    <w:qFormat/>
    <w:uiPriority w:val="0"/>
    <w:pPr>
      <w:adjustRightInd w:val="0"/>
      <w:snapToGrid w:val="0"/>
      <w:spacing w:line="300" w:lineRule="atLeast"/>
      <w:jc w:val="center"/>
    </w:pPr>
    <w:rPr>
      <w:rFonts w:ascii="宋体"/>
      <w:szCs w:val="21"/>
    </w:rPr>
  </w:style>
  <w:style w:type="character" w:customStyle="1" w:styleId="51">
    <w:name w:val="font31"/>
    <w:qFormat/>
    <w:uiPriority w:val="0"/>
    <w:rPr>
      <w:rFonts w:hint="default" w:ascii="Times New Roman" w:hAnsi="Times New Roman" w:cs="Times New Roman"/>
      <w:color w:val="000000"/>
      <w:sz w:val="24"/>
      <w:szCs w:val="24"/>
      <w:u w:val="none"/>
    </w:rPr>
  </w:style>
  <w:style w:type="paragraph" w:customStyle="1" w:styleId="52">
    <w:name w:val="表字-书"/>
    <w:basedOn w:val="1"/>
    <w:qFormat/>
    <w:uiPriority w:val="0"/>
    <w:pPr>
      <w:spacing w:line="240" w:lineRule="exact"/>
      <w:jc w:val="center"/>
    </w:pPr>
    <w:rPr>
      <w:rFonts w:ascii="宋体" w:hAnsi="宋体"/>
      <w:kern w:val="0"/>
      <w:szCs w:val="20"/>
    </w:rPr>
  </w:style>
  <w:style w:type="paragraph" w:customStyle="1" w:styleId="53">
    <w:name w:val="标题1"/>
    <w:basedOn w:val="1"/>
    <w:qFormat/>
    <w:uiPriority w:val="0"/>
    <w:pPr>
      <w:widowControl/>
      <w:snapToGrid w:val="0"/>
      <w:spacing w:line="520" w:lineRule="exact"/>
      <w:jc w:val="left"/>
      <w:outlineLvl w:val="1"/>
    </w:pPr>
    <w:rPr>
      <w:rFonts w:ascii="宋体" w:hAnsi="宋体"/>
      <w:b/>
      <w:kern w:val="0"/>
      <w:sz w:val="30"/>
      <w:szCs w:val="22"/>
    </w:rPr>
  </w:style>
  <w:style w:type="paragraph" w:customStyle="1" w:styleId="54">
    <w:name w:val="正文01"/>
    <w:basedOn w:val="1"/>
    <w:qFormat/>
    <w:uiPriority w:val="99"/>
    <w:pPr>
      <w:spacing w:before="60" w:line="460" w:lineRule="exact"/>
      <w:ind w:firstLine="200" w:firstLineChars="200"/>
    </w:pPr>
    <w:rPr>
      <w:rFonts w:ascii="等线" w:hAnsi="等线"/>
      <w:bCs/>
      <w:sz w:val="24"/>
    </w:rPr>
  </w:style>
  <w:style w:type="paragraph" w:customStyle="1" w:styleId="55">
    <w:name w:val="报告书正文"/>
    <w:basedOn w:val="25"/>
    <w:qFormat/>
    <w:uiPriority w:val="0"/>
    <w:pPr>
      <w:widowControl/>
      <w:adjustRightInd w:val="0"/>
      <w:snapToGrid w:val="0"/>
      <w:spacing w:before="60" w:line="360" w:lineRule="atLeast"/>
      <w:ind w:right="113"/>
    </w:pPr>
    <w:rPr>
      <w:rFonts w:ascii="等线" w:hAnsi="等线"/>
      <w:kern w:val="0"/>
      <w:sz w:val="24"/>
    </w:rPr>
  </w:style>
  <w:style w:type="paragraph" w:customStyle="1" w:styleId="56">
    <w:name w:val="正文26"/>
    <w:basedOn w:val="1"/>
    <w:link w:val="72"/>
    <w:autoRedefine/>
    <w:qFormat/>
    <w:uiPriority w:val="0"/>
    <w:pPr>
      <w:adjustRightInd w:val="0"/>
      <w:snapToGrid w:val="0"/>
      <w:spacing w:line="520" w:lineRule="exact"/>
      <w:jc w:val="center"/>
      <w:textAlignment w:val="baseline"/>
    </w:pPr>
    <w:rPr>
      <w:rFonts w:ascii="楷体" w:hAnsi="楷体" w:eastAsia="楷体" w:cs="宋体"/>
      <w:b/>
      <w:bCs/>
      <w:snapToGrid w:val="0"/>
      <w:sz w:val="36"/>
      <w:szCs w:val="36"/>
    </w:rPr>
  </w:style>
  <w:style w:type="paragraph" w:customStyle="1" w:styleId="57">
    <w:name w:val="正文26-5.21"/>
    <w:basedOn w:val="1"/>
    <w:link w:val="73"/>
    <w:qFormat/>
    <w:uiPriority w:val="0"/>
    <w:pPr>
      <w:adjustRightInd w:val="0"/>
      <w:snapToGrid w:val="0"/>
      <w:spacing w:line="520" w:lineRule="exact"/>
      <w:ind w:firstLine="480" w:firstLineChars="200"/>
      <w:textAlignment w:val="baseline"/>
    </w:pPr>
    <w:rPr>
      <w:rFonts w:cs="宋体"/>
      <w:snapToGrid w:val="0"/>
      <w:sz w:val="24"/>
    </w:rPr>
  </w:style>
  <w:style w:type="paragraph" w:customStyle="1" w:styleId="58">
    <w:name w:val="正文(首行缩进)"/>
    <w:basedOn w:val="1"/>
    <w:next w:val="1"/>
    <w:autoRedefine/>
    <w:qFormat/>
    <w:uiPriority w:val="0"/>
    <w:pPr>
      <w:adjustRightInd w:val="0"/>
      <w:snapToGrid w:val="0"/>
      <w:spacing w:line="360" w:lineRule="auto"/>
      <w:ind w:firstLine="482" w:firstLineChars="200"/>
    </w:pPr>
    <w:rPr>
      <w:rFonts w:hAnsi="宋体"/>
      <w:b/>
      <w:bCs/>
      <w:color w:val="000000"/>
      <w:sz w:val="24"/>
      <w:szCs w:val="28"/>
    </w:rPr>
  </w:style>
  <w:style w:type="paragraph" w:customStyle="1" w:styleId="59">
    <w:name w:val="表格标题1"/>
    <w:basedOn w:val="56"/>
    <w:autoRedefine/>
    <w:qFormat/>
    <w:uiPriority w:val="0"/>
    <w:pPr>
      <w:spacing w:line="240" w:lineRule="auto"/>
    </w:pPr>
    <w:rPr>
      <w:rFonts w:ascii="黑体" w:hAnsi="黑体" w:eastAsia="黑体"/>
      <w:kern w:val="0"/>
    </w:rPr>
  </w:style>
  <w:style w:type="paragraph" w:customStyle="1" w:styleId="60">
    <w:name w:val="表格内容1"/>
    <w:basedOn w:val="1"/>
    <w:link w:val="97"/>
    <w:autoRedefine/>
    <w:qFormat/>
    <w:uiPriority w:val="0"/>
    <w:pPr>
      <w:widowControl/>
      <w:jc w:val="center"/>
    </w:pPr>
    <w:rPr>
      <w:rFonts w:cs="宋体"/>
      <w:color w:val="FF0000"/>
      <w:kern w:val="0"/>
      <w:szCs w:val="21"/>
    </w:rPr>
  </w:style>
  <w:style w:type="paragraph" w:customStyle="1" w:styleId="61">
    <w:name w:val="正文 楷体"/>
    <w:basedOn w:val="1"/>
    <w:qFormat/>
    <w:uiPriority w:val="0"/>
    <w:pPr>
      <w:spacing w:line="500" w:lineRule="exact"/>
      <w:ind w:firstLine="200" w:firstLineChars="200"/>
    </w:pPr>
    <w:rPr>
      <w:rFonts w:ascii="宋体" w:hAnsi="宋体"/>
      <w:kern w:val="0"/>
      <w:sz w:val="24"/>
      <w:lang w:val="zh-CN"/>
    </w:rPr>
  </w:style>
  <w:style w:type="character" w:customStyle="1" w:styleId="62">
    <w:name w:val="批注文字 字符"/>
    <w:basedOn w:val="29"/>
    <w:link w:val="10"/>
    <w:qFormat/>
    <w:uiPriority w:val="0"/>
    <w:rPr>
      <w:kern w:val="2"/>
      <w:sz w:val="21"/>
      <w:szCs w:val="24"/>
    </w:rPr>
  </w:style>
  <w:style w:type="character" w:customStyle="1" w:styleId="63">
    <w:name w:val="批注主题 字符"/>
    <w:basedOn w:val="62"/>
    <w:link w:val="24"/>
    <w:qFormat/>
    <w:uiPriority w:val="0"/>
    <w:rPr>
      <w:b/>
      <w:bCs/>
      <w:kern w:val="2"/>
      <w:sz w:val="21"/>
      <w:szCs w:val="24"/>
    </w:rPr>
  </w:style>
  <w:style w:type="paragraph" w:styleId="64">
    <w:name w:val="List Paragraph"/>
    <w:basedOn w:val="1"/>
    <w:qFormat/>
    <w:uiPriority w:val="1"/>
    <w:pPr>
      <w:autoSpaceDE w:val="0"/>
      <w:autoSpaceDN w:val="0"/>
      <w:ind w:left="311" w:right="328" w:firstLine="600"/>
      <w:jc w:val="left"/>
    </w:pPr>
    <w:rPr>
      <w:rFonts w:ascii="仿宋" w:hAnsi="仿宋" w:eastAsia="仿宋" w:cs="仿宋"/>
      <w:kern w:val="0"/>
      <w:sz w:val="22"/>
      <w:szCs w:val="22"/>
      <w:lang w:val="zh-CN" w:bidi="zh-CN"/>
    </w:rPr>
  </w:style>
  <w:style w:type="paragraph" w:customStyle="1" w:styleId="65">
    <w:name w:val="标题2"/>
    <w:basedOn w:val="1"/>
    <w:autoRedefine/>
    <w:qFormat/>
    <w:uiPriority w:val="0"/>
    <w:pPr>
      <w:adjustRightInd w:val="0"/>
      <w:snapToGrid w:val="0"/>
      <w:spacing w:line="520" w:lineRule="exact"/>
      <w:ind w:firstLine="480" w:firstLineChars="200"/>
    </w:pPr>
    <w:rPr>
      <w:rFonts w:ascii="宋体" w:hAnsi="宋体"/>
      <w:b/>
      <w:sz w:val="24"/>
    </w:rPr>
  </w:style>
  <w:style w:type="character" w:customStyle="1" w:styleId="66">
    <w:name w:val="正文文本 字符"/>
    <w:link w:val="11"/>
    <w:autoRedefine/>
    <w:qFormat/>
    <w:locked/>
    <w:uiPriority w:val="0"/>
    <w:rPr>
      <w:kern w:val="0"/>
      <w:szCs w:val="18"/>
    </w:rPr>
  </w:style>
  <w:style w:type="paragraph" w:customStyle="1" w:styleId="67">
    <w:name w:val="d表内字体"/>
    <w:basedOn w:val="68"/>
    <w:qFormat/>
    <w:uiPriority w:val="0"/>
  </w:style>
  <w:style w:type="paragraph" w:customStyle="1" w:styleId="68">
    <w:name w:val="d表格"/>
    <w:basedOn w:val="69"/>
    <w:qFormat/>
    <w:uiPriority w:val="0"/>
    <w:rPr>
      <w:rFonts w:ascii="Times New Roman" w:hAnsi="Times New Roman" w:cs="Times New Roman"/>
    </w:rPr>
  </w:style>
  <w:style w:type="paragraph" w:customStyle="1" w:styleId="69">
    <w:name w:val="d表格内"/>
    <w:basedOn w:val="37"/>
    <w:qFormat/>
    <w:uiPriority w:val="0"/>
    <w:rPr>
      <w:rFonts w:ascii="宋体" w:hAnsi="宋体" w:eastAsia="宋体" w:cs="宋体"/>
    </w:rPr>
  </w:style>
  <w:style w:type="paragraph" w:customStyle="1" w:styleId="70">
    <w:name w:val="WPSOffice手动目录 1"/>
    <w:qFormat/>
    <w:uiPriority w:val="0"/>
    <w:rPr>
      <w:rFonts w:ascii="Times New Roman" w:hAnsi="Times New Roman" w:eastAsia="宋体" w:cs="Times New Roman"/>
      <w:lang w:val="en-US" w:eastAsia="zh-CN" w:bidi="ar-SA"/>
    </w:rPr>
  </w:style>
  <w:style w:type="paragraph" w:customStyle="1" w:styleId="71">
    <w:name w:val="dd标题1"/>
    <w:basedOn w:val="2"/>
    <w:next w:val="1"/>
    <w:qFormat/>
    <w:uiPriority w:val="0"/>
    <w:pPr>
      <w:keepNext w:val="0"/>
      <w:keepLines w:val="0"/>
      <w:spacing w:before="120" w:after="120" w:line="360" w:lineRule="auto"/>
      <w:jc w:val="center"/>
    </w:pPr>
    <w:rPr>
      <w:rFonts w:cs="宋体"/>
      <w:kern w:val="0"/>
      <w:sz w:val="32"/>
      <w:szCs w:val="28"/>
      <w:lang w:val="zh-CN" w:bidi="zh-CN"/>
    </w:rPr>
  </w:style>
  <w:style w:type="character" w:customStyle="1" w:styleId="72">
    <w:name w:val="正文26 字符"/>
    <w:link w:val="56"/>
    <w:autoRedefine/>
    <w:qFormat/>
    <w:uiPriority w:val="0"/>
    <w:rPr>
      <w:rFonts w:ascii="楷体" w:hAnsi="楷体" w:eastAsia="楷体" w:cs="宋体"/>
      <w:b/>
      <w:bCs/>
      <w:snapToGrid w:val="0"/>
      <w:kern w:val="2"/>
      <w:sz w:val="36"/>
      <w:szCs w:val="36"/>
    </w:rPr>
  </w:style>
  <w:style w:type="character" w:customStyle="1" w:styleId="73">
    <w:name w:val="正文26-5.21 字符"/>
    <w:link w:val="57"/>
    <w:autoRedefine/>
    <w:qFormat/>
    <w:uiPriority w:val="0"/>
    <w:rPr>
      <w:rFonts w:cs="宋体"/>
      <w:snapToGrid w:val="0"/>
      <w:kern w:val="2"/>
      <w:sz w:val="24"/>
      <w:szCs w:val="24"/>
    </w:rPr>
  </w:style>
  <w:style w:type="paragraph" w:customStyle="1" w:styleId="74">
    <w:name w:val="Default"/>
    <w:basedOn w:val="1"/>
    <w:next w:val="20"/>
    <w:autoRedefine/>
    <w:qFormat/>
    <w:uiPriority w:val="0"/>
    <w:pPr>
      <w:autoSpaceDE w:val="0"/>
      <w:autoSpaceDN w:val="0"/>
      <w:adjustRightInd w:val="0"/>
    </w:pPr>
    <w:rPr>
      <w:rFonts w:ascii="宋体"/>
      <w:color w:val="000000"/>
      <w:sz w:val="24"/>
    </w:rPr>
  </w:style>
  <w:style w:type="character" w:customStyle="1" w:styleId="75">
    <w:name w:val="表格标题-锰渣 字符"/>
    <w:link w:val="76"/>
    <w:autoRedefine/>
    <w:qFormat/>
    <w:uiPriority w:val="0"/>
    <w:rPr>
      <w:rFonts w:eastAsia="黑体"/>
      <w:kern w:val="2"/>
      <w:sz w:val="24"/>
      <w:szCs w:val="24"/>
    </w:rPr>
  </w:style>
  <w:style w:type="paragraph" w:customStyle="1" w:styleId="76">
    <w:name w:val="表格标题-锰渣"/>
    <w:basedOn w:val="1"/>
    <w:link w:val="75"/>
    <w:autoRedefine/>
    <w:unhideWhenUsed/>
    <w:qFormat/>
    <w:uiPriority w:val="0"/>
    <w:pPr>
      <w:keepNext/>
      <w:spacing w:line="400" w:lineRule="exact"/>
      <w:jc w:val="center"/>
    </w:pPr>
    <w:rPr>
      <w:rFonts w:eastAsia="黑体"/>
      <w:sz w:val="24"/>
    </w:rPr>
  </w:style>
  <w:style w:type="table" w:customStyle="1" w:styleId="77">
    <w:name w:val="哈工大常用"/>
    <w:basedOn w:val="27"/>
    <w:autoRedefine/>
    <w:qFormat/>
    <w:uiPriority w:val="0"/>
    <w:pPr>
      <w:jc w:val="center"/>
      <w:textAlignment w:val="center"/>
    </w:pPr>
    <w:rPr>
      <w:rFonts w:ascii="Calibri" w:hAnsi="Calibri" w:cs="Calibri"/>
      <w:kern w:val="21"/>
      <w:sz w:val="21"/>
      <w:szCs w:val="21"/>
    </w:rPr>
    <w:tblPr>
      <w:tblBorders>
        <w:top w:val="single" w:color="000000" w:sz="12" w:space="0"/>
        <w:bottom w:val="single" w:color="000000" w:sz="12" w:space="0"/>
        <w:insideH w:val="single" w:color="000000" w:sz="4" w:space="0"/>
        <w:insideV w:val="single" w:color="000000" w:sz="4" w:space="0"/>
      </w:tblBorders>
    </w:tblPr>
  </w:style>
  <w:style w:type="paragraph" w:customStyle="1" w:styleId="78">
    <w:name w:val="图标题"/>
    <w:basedOn w:val="1"/>
    <w:link w:val="79"/>
    <w:autoRedefine/>
    <w:qFormat/>
    <w:uiPriority w:val="0"/>
    <w:pPr>
      <w:ind w:firstLine="480" w:firstLineChars="200"/>
      <w:jc w:val="center"/>
    </w:pPr>
    <w:rPr>
      <w:b/>
      <w:bCs/>
      <w:sz w:val="24"/>
    </w:rPr>
  </w:style>
  <w:style w:type="character" w:customStyle="1" w:styleId="79">
    <w:name w:val="图标题 字符"/>
    <w:link w:val="78"/>
    <w:autoRedefine/>
    <w:qFormat/>
    <w:uiPriority w:val="0"/>
    <w:rPr>
      <w:b/>
      <w:bCs/>
      <w:kern w:val="2"/>
      <w:sz w:val="24"/>
      <w:szCs w:val="24"/>
    </w:rPr>
  </w:style>
  <w:style w:type="paragraph" w:customStyle="1" w:styleId="80">
    <w:name w:val="C 表内容"/>
    <w:basedOn w:val="1"/>
    <w:autoRedefine/>
    <w:qFormat/>
    <w:uiPriority w:val="0"/>
    <w:pPr>
      <w:widowControl/>
      <w:adjustRightInd w:val="0"/>
      <w:snapToGrid w:val="0"/>
      <w:spacing w:line="240" w:lineRule="exact"/>
      <w:jc w:val="center"/>
      <w:textAlignment w:val="baseline"/>
    </w:pPr>
    <w:rPr>
      <w:rFonts w:ascii="宋体"/>
      <w:kern w:val="0"/>
      <w:szCs w:val="18"/>
    </w:rPr>
  </w:style>
  <w:style w:type="character" w:customStyle="1" w:styleId="81">
    <w:name w:val="正文文本缩进 2 字符"/>
    <w:basedOn w:val="29"/>
    <w:link w:val="14"/>
    <w:qFormat/>
    <w:uiPriority w:val="0"/>
    <w:rPr>
      <w:kern w:val="2"/>
      <w:sz w:val="21"/>
      <w:szCs w:val="24"/>
    </w:rPr>
  </w:style>
  <w:style w:type="character" w:customStyle="1" w:styleId="82">
    <w:name w:val="font161"/>
    <w:basedOn w:val="29"/>
    <w:qFormat/>
    <w:uiPriority w:val="0"/>
    <w:rPr>
      <w:rFonts w:hint="eastAsia" w:ascii="宋体" w:hAnsi="宋体" w:eastAsia="宋体"/>
      <w:color w:val="000000"/>
      <w:sz w:val="30"/>
      <w:szCs w:val="30"/>
      <w:u w:val="none"/>
    </w:rPr>
  </w:style>
  <w:style w:type="character" w:customStyle="1" w:styleId="83">
    <w:name w:val="font171"/>
    <w:basedOn w:val="29"/>
    <w:qFormat/>
    <w:uiPriority w:val="0"/>
    <w:rPr>
      <w:rFonts w:hint="eastAsia" w:ascii="宋体" w:hAnsi="宋体" w:eastAsia="宋体"/>
      <w:color w:val="204030"/>
      <w:sz w:val="30"/>
      <w:szCs w:val="30"/>
      <w:u w:val="none"/>
    </w:rPr>
  </w:style>
  <w:style w:type="character" w:customStyle="1" w:styleId="84">
    <w:name w:val="font41"/>
    <w:basedOn w:val="29"/>
    <w:qFormat/>
    <w:uiPriority w:val="0"/>
    <w:rPr>
      <w:rFonts w:hint="eastAsia" w:ascii="宋体" w:hAnsi="宋体" w:eastAsia="宋体"/>
      <w:color w:val="608050"/>
      <w:sz w:val="30"/>
      <w:szCs w:val="30"/>
      <w:u w:val="none"/>
    </w:rPr>
  </w:style>
  <w:style w:type="character" w:customStyle="1" w:styleId="85">
    <w:name w:val="font51"/>
    <w:basedOn w:val="29"/>
    <w:qFormat/>
    <w:uiPriority w:val="0"/>
    <w:rPr>
      <w:rFonts w:hint="eastAsia" w:ascii="宋体" w:hAnsi="宋体" w:eastAsia="宋体"/>
      <w:color w:val="001030"/>
      <w:sz w:val="30"/>
      <w:szCs w:val="30"/>
      <w:u w:val="none"/>
    </w:rPr>
  </w:style>
  <w:style w:type="character" w:customStyle="1" w:styleId="86">
    <w:name w:val="font181"/>
    <w:basedOn w:val="29"/>
    <w:qFormat/>
    <w:uiPriority w:val="0"/>
    <w:rPr>
      <w:rFonts w:hint="eastAsia" w:ascii="宋体" w:hAnsi="宋体" w:eastAsia="宋体"/>
      <w:color w:val="305050"/>
      <w:sz w:val="30"/>
      <w:szCs w:val="30"/>
      <w:u w:val="none"/>
    </w:rPr>
  </w:style>
  <w:style w:type="character" w:customStyle="1" w:styleId="87">
    <w:name w:val="font71"/>
    <w:basedOn w:val="29"/>
    <w:qFormat/>
    <w:uiPriority w:val="0"/>
    <w:rPr>
      <w:rFonts w:hint="eastAsia" w:ascii="宋体" w:hAnsi="宋体" w:eastAsia="宋体"/>
      <w:color w:val="203040"/>
      <w:sz w:val="30"/>
      <w:szCs w:val="30"/>
      <w:u w:val="none"/>
    </w:rPr>
  </w:style>
  <w:style w:type="character" w:customStyle="1" w:styleId="88">
    <w:name w:val="font91"/>
    <w:basedOn w:val="29"/>
    <w:qFormat/>
    <w:uiPriority w:val="0"/>
    <w:rPr>
      <w:rFonts w:hint="eastAsia" w:ascii="宋体" w:hAnsi="宋体" w:eastAsia="宋体"/>
      <w:color w:val="709050"/>
      <w:sz w:val="30"/>
      <w:szCs w:val="30"/>
      <w:u w:val="none"/>
    </w:rPr>
  </w:style>
  <w:style w:type="character" w:customStyle="1" w:styleId="89">
    <w:name w:val="font191"/>
    <w:basedOn w:val="29"/>
    <w:qFormat/>
    <w:uiPriority w:val="0"/>
    <w:rPr>
      <w:rFonts w:hint="eastAsia" w:ascii="宋体" w:hAnsi="宋体" w:eastAsia="宋体"/>
      <w:color w:val="000000"/>
      <w:sz w:val="30"/>
      <w:szCs w:val="30"/>
      <w:u w:val="single"/>
    </w:rPr>
  </w:style>
  <w:style w:type="character" w:customStyle="1" w:styleId="90">
    <w:name w:val="font111"/>
    <w:basedOn w:val="29"/>
    <w:qFormat/>
    <w:uiPriority w:val="0"/>
    <w:rPr>
      <w:rFonts w:hint="eastAsia" w:ascii="宋体" w:hAnsi="宋体" w:eastAsia="宋体"/>
      <w:color w:val="609060"/>
      <w:sz w:val="30"/>
      <w:szCs w:val="30"/>
      <w:u w:val="none"/>
    </w:rPr>
  </w:style>
  <w:style w:type="character" w:customStyle="1" w:styleId="91">
    <w:name w:val="font201"/>
    <w:basedOn w:val="29"/>
    <w:qFormat/>
    <w:uiPriority w:val="0"/>
    <w:rPr>
      <w:rFonts w:hint="eastAsia" w:ascii="宋体" w:hAnsi="宋体" w:eastAsia="宋体"/>
      <w:color w:val="103030"/>
      <w:sz w:val="30"/>
      <w:szCs w:val="30"/>
      <w:u w:val="none"/>
    </w:rPr>
  </w:style>
  <w:style w:type="character" w:customStyle="1" w:styleId="92">
    <w:name w:val="font131"/>
    <w:basedOn w:val="29"/>
    <w:qFormat/>
    <w:uiPriority w:val="0"/>
    <w:rPr>
      <w:rFonts w:hint="eastAsia" w:ascii="宋体" w:hAnsi="宋体" w:eastAsia="宋体"/>
      <w:color w:val="103050"/>
      <w:sz w:val="30"/>
      <w:szCs w:val="30"/>
      <w:u w:val="none"/>
    </w:rPr>
  </w:style>
  <w:style w:type="character" w:customStyle="1" w:styleId="93">
    <w:name w:val="font151"/>
    <w:basedOn w:val="29"/>
    <w:qFormat/>
    <w:uiPriority w:val="0"/>
    <w:rPr>
      <w:rFonts w:hint="eastAsia" w:ascii="宋体" w:hAnsi="宋体" w:eastAsia="宋体"/>
      <w:color w:val="709090"/>
      <w:sz w:val="30"/>
      <w:szCs w:val="30"/>
      <w:u w:val="none"/>
    </w:rPr>
  </w:style>
  <w:style w:type="character" w:customStyle="1" w:styleId="94">
    <w:name w:val="font211"/>
    <w:basedOn w:val="29"/>
    <w:qFormat/>
    <w:uiPriority w:val="0"/>
    <w:rPr>
      <w:rFonts w:hint="eastAsia" w:ascii="宋体" w:hAnsi="宋体" w:eastAsia="宋体"/>
      <w:color w:val="001020"/>
      <w:sz w:val="30"/>
      <w:szCs w:val="30"/>
      <w:u w:val="none"/>
    </w:rPr>
  </w:style>
  <w:style w:type="paragraph" w:customStyle="1" w:styleId="95">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color w:val="000000"/>
      <w:kern w:val="0"/>
      <w:sz w:val="19"/>
      <w:szCs w:val="19"/>
    </w:rPr>
  </w:style>
  <w:style w:type="table" w:customStyle="1" w:styleId="96">
    <w:name w:val="Table Normal"/>
    <w:basedOn w:val="27"/>
    <w:qFormat/>
    <w:uiPriority w:val="0"/>
    <w:rPr>
      <w:rFonts w:ascii="Times New Roman" w:hAnsi="Times New Roman" w:eastAsia="Times New Roman" w:cs="Times New Roman"/>
    </w:rPr>
    <w:tblPr>
      <w:tblCellMar>
        <w:left w:w="0" w:type="dxa"/>
        <w:right w:w="0" w:type="dxa"/>
      </w:tblCellMar>
    </w:tblPr>
  </w:style>
  <w:style w:type="character" w:customStyle="1" w:styleId="97">
    <w:name w:val="表格内容1 字符"/>
    <w:link w:val="60"/>
    <w:qFormat/>
    <w:uiPriority w:val="0"/>
    <w:rPr>
      <w:rFonts w:ascii="Times New Roman" w:hAnsi="Times New Roman" w:eastAsia="宋体" w:cs="宋体"/>
      <w:color w:val="FF0000"/>
      <w:sz w:val="21"/>
      <w:szCs w:val="21"/>
    </w:rPr>
  </w:style>
  <w:style w:type="paragraph" w:customStyle="1" w:styleId="98">
    <w:name w:val="表格标题"/>
    <w:basedOn w:val="1"/>
    <w:next w:val="1"/>
    <w:qFormat/>
    <w:uiPriority w:val="0"/>
    <w:pPr>
      <w:spacing w:before="50" w:beforeLines="50"/>
      <w:jc w:val="center"/>
    </w:pPr>
    <w:rPr>
      <w:rFonts w:eastAsia="黑体"/>
      <w:kern w:val="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416ec3f5-1d0d-4897-9e35-edd3a5d1dcb1</errorID>
      <errorWord>有效地</errorWord>
      <group>L1_Word</group>
      <groupName>字词问题</groupName>
      <ability>L2_Typo</ability>
      <abilityName>字词错误</abilityName>
      <candidateList>
        <item>有效</item>
      </candidateList>
      <explain/>
      <paraID>3328AE4D</paraID>
      <start>161</start>
      <end>163</end>
      <status>modified</status>
      <modifiedWord>有效</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567191-70A3-4DBF-967D-5ADAE21BA265}">
  <ds:schemaRefs/>
</ds:datastoreItem>
</file>

<file path=customXml/itemProps3.xml><?xml version="1.0" encoding="utf-8"?>
<ds:datastoreItem xmlns:ds="http://schemas.openxmlformats.org/officeDocument/2006/customXml" ds:itemID="{65a34b58-75fe-4fb1-8869-6b5a01dc711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3029</Words>
  <Characters>3255</Characters>
  <Lines>90</Lines>
  <Paragraphs>25</Paragraphs>
  <TotalTime>15</TotalTime>
  <ScaleCrop>false</ScaleCrop>
  <LinksUpToDate>false</LinksUpToDate>
  <CharactersWithSpaces>3272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2026-10-08T08:24:00Z</dcterms:created>
  <dc:creator>Administrator</dc:creator>
  <cp:lastModifiedBy>ℳ๓₯㎕.老街。</cp:lastModifiedBy>
  <cp:lastPrinted>2025-03-24T08:39:00Z</cp:lastPrinted>
  <dcterms:modified xsi:type="dcterms:W3CDTF">2026-10-10T02:43:16Z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827599A6B87142158AD353733E25224B_13</vt:lpwstr>
  </property>
  <property fmtid="{D5CDD505-2E9C-101B-9397-08002B2CF9AE}" pid="4" name="KSOTemplateDocerSaveRecord">
    <vt:lpwstr>eyJoZGlkIjoiMDE5MzY4NTVmNWNkM2FiOTE3MzcxMWViN2E1MTkyMzYiLCJ1c2VySWQiOiI1MDc3ODA1MzIifQ==</vt:lpwstr>
  </property>
</Properties>
</file>