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300" w:afterAutospacing="0"/>
        <w:ind w:left="0" w:right="0" w:firstLine="0"/>
        <w:jc w:val="center"/>
        <w:rPr>
          <w:rFonts w:ascii="Segoe UI" w:hAnsi="Segoe UI" w:eastAsia="Segoe UI" w:cs="Segoe UI"/>
          <w:i w:val="0"/>
          <w:caps w:val="0"/>
          <w:color w:val="666666"/>
          <w:spacing w:val="0"/>
          <w:sz w:val="36"/>
          <w:szCs w:val="36"/>
        </w:rPr>
      </w:pPr>
      <w:r>
        <w:rPr>
          <w:rFonts w:hint="default" w:ascii="Segoe UI" w:hAnsi="Segoe UI" w:eastAsia="Segoe UI" w:cs="Segoe UI"/>
          <w:i w:val="0"/>
          <w:caps w:val="0"/>
          <w:color w:val="666666"/>
          <w:spacing w:val="0"/>
          <w:kern w:val="0"/>
          <w:sz w:val="36"/>
          <w:szCs w:val="36"/>
          <w:shd w:val="clear" w:fill="FFFFFF"/>
          <w:lang w:val="en-US" w:eastAsia="zh-CN" w:bidi="ar"/>
        </w:rPr>
        <w:t>关于公布鄯善县集体建设用地定级与基准地价成果的公告</w:t>
      </w:r>
    </w:p>
    <w:p>
      <w:pPr>
        <w:keepNext w:val="0"/>
        <w:keepLines w:val="0"/>
        <w:widowControl/>
        <w:suppressLineNumbers w:val="0"/>
        <w:pBdr>
          <w:top w:val="none" w:color="auto" w:sz="0" w:space="0"/>
          <w:left w:val="none" w:color="auto" w:sz="0" w:space="0"/>
          <w:bottom w:val="single" w:color="auto" w:sz="6" w:space="15"/>
          <w:right w:val="none" w:color="auto" w:sz="0" w:space="0"/>
        </w:pBdr>
        <w:shd w:val="clear" w:fill="FFFFFF"/>
        <w:spacing w:before="0" w:beforeAutospacing="0" w:after="300" w:afterAutospacing="0"/>
        <w:ind w:left="0" w:right="0" w:firstLine="0"/>
        <w:jc w:val="center"/>
        <w:rPr>
          <w:rFonts w:hint="default" w:ascii="Segoe UI" w:hAnsi="Segoe UI" w:eastAsia="Segoe UI" w:cs="Segoe UI"/>
          <w:i w:val="0"/>
          <w:caps w:val="0"/>
          <w:color w:val="888888"/>
          <w:spacing w:val="0"/>
          <w:sz w:val="21"/>
          <w:szCs w:val="21"/>
        </w:rPr>
      </w:pPr>
      <w:bookmarkStart w:id="0" w:name="_GoBack"/>
      <w:bookmarkEnd w:id="0"/>
      <w:r>
        <w:rPr>
          <w:rFonts w:hint="default" w:ascii="Segoe UI" w:hAnsi="Segoe UI" w:eastAsia="Segoe UI" w:cs="Segoe UI"/>
          <w:i w:val="0"/>
          <w:caps w:val="0"/>
          <w:color w:val="888888"/>
          <w:spacing w:val="0"/>
          <w:kern w:val="0"/>
          <w:sz w:val="21"/>
          <w:szCs w:val="21"/>
          <w:shd w:val="clear" w:fill="FFFFFF"/>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00"/>
        <w:jc w:val="both"/>
        <w:rPr>
          <w:rFonts w:ascii="Calibri" w:hAnsi="Calibri" w:cs="Calibri"/>
          <w:sz w:val="21"/>
          <w:szCs w:val="21"/>
        </w:rPr>
      </w:pPr>
      <w:r>
        <w:rPr>
          <w:rFonts w:hint="eastAsia" w:ascii="宋体" w:hAnsi="宋体" w:eastAsia="宋体" w:cs="宋体"/>
          <w:i w:val="0"/>
          <w:caps w:val="0"/>
          <w:color w:val="666666"/>
          <w:spacing w:val="0"/>
          <w:sz w:val="20"/>
          <w:szCs w:val="20"/>
          <w:shd w:val="clear" w:fill="FFFFFF"/>
        </w:rPr>
        <w:t>为了全面掌握鄯善县集体建设用地质量及利用状况，科学管理和合理利用农村集体建设用地，规范农村集体土地价格评估，促进城乡统一土地市场建设，支持城乡融合发展与乡村振兴战略，为制定农村集体建设用地流转等各项土地政策和调控措施提供科学依据，按照《国土资源部办公厅关于加强公示地价体系建设和管理有关问题的通知》（国土资厅发〔2017〕27号）、自然资源部办公厅印发的《自然资源部办公厅关于做好2021年度自然资源评价评估有关工作的通知》（自然资办发〔2021〕39号），鄯善县集体建设用地定级与基准地价评估报告成果已经自治区自然资源厅验收通过，经县人民政府同意，现将制定的集体建设用地基准地价予以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00"/>
        <w:jc w:val="both"/>
        <w:rPr>
          <w:rFonts w:hint="default" w:ascii="Calibri" w:hAnsi="Calibri" w:cs="Calibri"/>
          <w:sz w:val="21"/>
          <w:szCs w:val="21"/>
        </w:rPr>
      </w:pPr>
      <w:r>
        <w:rPr>
          <w:rFonts w:hint="eastAsia" w:ascii="宋体" w:hAnsi="宋体" w:eastAsia="宋体" w:cs="宋体"/>
          <w:i w:val="0"/>
          <w:caps w:val="0"/>
          <w:color w:val="666666"/>
          <w:spacing w:val="0"/>
          <w:sz w:val="20"/>
          <w:szCs w:val="20"/>
          <w:shd w:val="clear" w:fill="FFFFFF"/>
        </w:rPr>
        <w:t>一、鄯善县集体建设用地基准地价内涵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00"/>
        <w:jc w:val="both"/>
        <w:rPr>
          <w:rFonts w:hint="default" w:ascii="Calibri" w:hAnsi="Calibri" w:cs="Calibri"/>
          <w:sz w:val="21"/>
          <w:szCs w:val="21"/>
        </w:rPr>
      </w:pPr>
      <w:r>
        <w:rPr>
          <w:rFonts w:hint="eastAsia" w:ascii="宋体" w:hAnsi="宋体" w:eastAsia="宋体" w:cs="宋体"/>
          <w:i w:val="0"/>
          <w:caps w:val="0"/>
          <w:color w:val="666666"/>
          <w:spacing w:val="0"/>
          <w:sz w:val="20"/>
          <w:szCs w:val="20"/>
          <w:shd w:val="clear" w:fill="FFFFFF"/>
        </w:rPr>
        <w:t>鄯善县集体建设用地基准地价内涵：在基准日2022年12月31日，各级别土地或均质地域内的平均土地开发程度为四通一平（通上水、通电、通讯、通路，宗地内场地平整），商业、住宅、工业、公共服务项目用地平均容积率为1.0，公开市场条件下法定最高出让年限商业40年、住宅70年、工业50年、公共服务项目用地50年完整土地使用权区域平均价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00"/>
        <w:jc w:val="both"/>
        <w:rPr>
          <w:rFonts w:hint="default" w:ascii="Calibri" w:hAnsi="Calibri" w:cs="Calibri"/>
          <w:sz w:val="21"/>
          <w:szCs w:val="21"/>
        </w:rPr>
      </w:pPr>
      <w:r>
        <w:rPr>
          <w:rFonts w:hint="eastAsia" w:ascii="宋体" w:hAnsi="宋体" w:eastAsia="宋体" w:cs="宋体"/>
          <w:i w:val="0"/>
          <w:caps w:val="0"/>
          <w:color w:val="666666"/>
          <w:spacing w:val="0"/>
          <w:sz w:val="20"/>
          <w:szCs w:val="20"/>
          <w:shd w:val="clear" w:fill="FFFFFF"/>
        </w:rPr>
        <w:t>二、鄯善县集体建设用地基准地价表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hint="eastAsia" w:ascii="宋体" w:hAnsi="宋体" w:eastAsia="宋体" w:cs="宋体"/>
          <w:b/>
          <w:i w:val="0"/>
          <w:caps w:val="0"/>
          <w:color w:val="666666"/>
          <w:spacing w:val="0"/>
          <w:sz w:val="20"/>
          <w:szCs w:val="2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hint="eastAsia" w:ascii="宋体" w:hAnsi="宋体" w:eastAsia="宋体" w:cs="宋体"/>
          <w:b/>
          <w:i w:val="0"/>
          <w:caps w:val="0"/>
          <w:color w:val="666666"/>
          <w:spacing w:val="0"/>
          <w:sz w:val="20"/>
          <w:szCs w:val="2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jc w:val="center"/>
        <w:rPr>
          <w:rFonts w:hint="eastAsia" w:ascii="宋体" w:hAnsi="宋体" w:eastAsia="宋体" w:cs="宋体"/>
          <w:b/>
          <w:i w:val="0"/>
          <w:caps w:val="0"/>
          <w:color w:val="666666"/>
          <w:spacing w:val="0"/>
          <w:sz w:val="20"/>
          <w:szCs w:val="2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i w:val="0"/>
          <w:caps w:val="0"/>
          <w:color w:val="666666"/>
          <w:spacing w:val="0"/>
          <w:sz w:val="20"/>
          <w:szCs w:val="2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Calibri" w:hAnsi="Calibri" w:cs="Calibri"/>
          <w:i w:val="0"/>
          <w:caps w:val="0"/>
          <w:color w:val="666666"/>
          <w:spacing w:val="0"/>
          <w:sz w:val="21"/>
          <w:szCs w:val="21"/>
        </w:rPr>
      </w:pPr>
      <w:r>
        <w:rPr>
          <w:rFonts w:hint="eastAsia" w:ascii="宋体" w:hAnsi="宋体" w:eastAsia="宋体" w:cs="宋体"/>
          <w:b/>
          <w:i w:val="0"/>
          <w:caps w:val="0"/>
          <w:color w:val="666666"/>
          <w:spacing w:val="0"/>
          <w:sz w:val="20"/>
          <w:szCs w:val="20"/>
          <w:shd w:val="clear" w:fill="FFFFFF"/>
        </w:rPr>
        <w:t>鄯善县集体建设用地基准地价表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Calibri" w:hAnsi="Calibri" w:cs="Calibri"/>
          <w:i w:val="0"/>
          <w:caps w:val="0"/>
          <w:color w:val="666666"/>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Calibri" w:hAnsi="Calibri" w:cs="Calibri"/>
          <w:i w:val="0"/>
          <w:caps w:val="0"/>
          <w:color w:val="666666"/>
          <w:spacing w:val="0"/>
          <w:sz w:val="21"/>
          <w:szCs w:val="21"/>
        </w:rPr>
      </w:pPr>
      <w:r>
        <w:rPr>
          <w:rFonts w:hint="default" w:ascii="Calibri" w:hAnsi="Calibri" w:cs="Calibri"/>
          <w:i w:val="0"/>
          <w:caps w:val="0"/>
          <w:color w:val="666666"/>
          <w:spacing w:val="0"/>
          <w:sz w:val="21"/>
          <w:szCs w:val="21"/>
          <w:shd w:val="clear" w:fill="FFFFFF"/>
        </w:rPr>
        <w:t> </w:t>
      </w:r>
    </w:p>
    <w:tbl>
      <w:tblPr>
        <w:tblStyle w:val="3"/>
        <w:tblpPr w:leftFromText="180" w:rightFromText="180" w:vertAnchor="text" w:horzAnchor="page" w:tblpX="116" w:tblpY="1362"/>
        <w:tblOverlap w:val="never"/>
        <w:tblW w:w="167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2321"/>
        <w:gridCol w:w="2064"/>
        <w:gridCol w:w="9094"/>
        <w:gridCol w:w="3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707" w:hRule="atLeast"/>
        </w:trPr>
        <w:tc>
          <w:tcPr>
            <w:tcW w:w="2321" w:type="dxa"/>
            <w:vMerge w:val="restart"/>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i w:val="0"/>
                <w:caps w:val="0"/>
                <w:color w:val="666666"/>
                <w:spacing w:val="0"/>
                <w:sz w:val="20"/>
                <w:szCs w:val="20"/>
              </w:rPr>
              <w:t>类别</w:t>
            </w:r>
          </w:p>
        </w:tc>
        <w:tc>
          <w:tcPr>
            <w:tcW w:w="14419" w:type="dxa"/>
            <w:gridSpan w:val="3"/>
            <w:tcBorders>
              <w:top w:val="single" w:color="auto" w:sz="8" w:space="0"/>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i w:val="0"/>
                <w:caps w:val="0"/>
                <w:color w:val="666666"/>
                <w:spacing w:val="0"/>
                <w:sz w:val="20"/>
                <w:szCs w:val="20"/>
              </w:rPr>
              <w:t>级别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91" w:hRule="atLeast"/>
        </w:trPr>
        <w:tc>
          <w:tcPr>
            <w:tcW w:w="2321" w:type="dxa"/>
            <w:vMerge w:val="continue"/>
            <w:tcBorders>
              <w:top w:val="single" w:color="000000" w:sz="8" w:space="0"/>
              <w:left w:val="single" w:color="000000" w:sz="8" w:space="0"/>
              <w:bottom w:val="single" w:color="000000" w:sz="8" w:space="0"/>
              <w:right w:val="single" w:color="000000" w:sz="8" w:space="0"/>
            </w:tcBorders>
            <w:shd w:val="clear" w:color="auto" w:fill="FFFFFF"/>
            <w:noWrap/>
            <w:tcMar>
              <w:left w:w="108" w:type="dxa"/>
              <w:right w:w="108" w:type="dxa"/>
            </w:tcMar>
            <w:vAlign w:val="center"/>
          </w:tcPr>
          <w:p>
            <w:pPr>
              <w:rPr>
                <w:rFonts w:hint="eastAsia" w:ascii="Segoe UI" w:hAnsi="Segoe UI" w:eastAsia="Segoe UI" w:cs="Segoe UI"/>
                <w:i w:val="0"/>
                <w:caps w:val="0"/>
                <w:color w:val="666666"/>
                <w:spacing w:val="0"/>
                <w:sz w:val="24"/>
                <w:szCs w:val="24"/>
              </w:rPr>
            </w:pPr>
          </w:p>
        </w:tc>
        <w:tc>
          <w:tcPr>
            <w:tcW w:w="2064"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i w:val="0"/>
                <w:caps w:val="0"/>
                <w:color w:val="666666"/>
                <w:spacing w:val="0"/>
                <w:sz w:val="20"/>
                <w:szCs w:val="20"/>
              </w:rPr>
              <w:t>Ⅰ 级</w:t>
            </w:r>
          </w:p>
        </w:tc>
        <w:tc>
          <w:tcPr>
            <w:tcW w:w="9094"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i w:val="0"/>
                <w:caps w:val="0"/>
                <w:color w:val="666666"/>
                <w:spacing w:val="0"/>
                <w:sz w:val="20"/>
                <w:szCs w:val="20"/>
              </w:rPr>
              <w:t>Ⅱ级</w:t>
            </w:r>
          </w:p>
        </w:tc>
        <w:tc>
          <w:tcPr>
            <w:tcW w:w="3261"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b/>
                <w:i w:val="0"/>
                <w:caps w:val="0"/>
                <w:color w:val="666666"/>
                <w:spacing w:val="0"/>
                <w:sz w:val="20"/>
                <w:szCs w:val="20"/>
              </w:rPr>
              <w:t>Ⅲ级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2321"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集体商服用地</w:t>
            </w:r>
          </w:p>
        </w:tc>
        <w:tc>
          <w:tcPr>
            <w:tcW w:w="2064"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260</w:t>
            </w:r>
          </w:p>
        </w:tc>
        <w:tc>
          <w:tcPr>
            <w:tcW w:w="9094"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195</w:t>
            </w:r>
          </w:p>
        </w:tc>
        <w:tc>
          <w:tcPr>
            <w:tcW w:w="3261"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2321"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集体住宅用地</w:t>
            </w:r>
          </w:p>
        </w:tc>
        <w:tc>
          <w:tcPr>
            <w:tcW w:w="2064"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180</w:t>
            </w:r>
          </w:p>
        </w:tc>
        <w:tc>
          <w:tcPr>
            <w:tcW w:w="9094"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135</w:t>
            </w:r>
          </w:p>
        </w:tc>
        <w:tc>
          <w:tcPr>
            <w:tcW w:w="3261"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2321"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集体工业用地</w:t>
            </w:r>
          </w:p>
        </w:tc>
        <w:tc>
          <w:tcPr>
            <w:tcW w:w="2064"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110</w:t>
            </w:r>
          </w:p>
        </w:tc>
        <w:tc>
          <w:tcPr>
            <w:tcW w:w="9094"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90</w:t>
            </w:r>
          </w:p>
        </w:tc>
        <w:tc>
          <w:tcPr>
            <w:tcW w:w="3261"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8" w:hRule="atLeast"/>
        </w:trPr>
        <w:tc>
          <w:tcPr>
            <w:tcW w:w="2321"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集体公共服务项目用地</w:t>
            </w:r>
          </w:p>
        </w:tc>
        <w:tc>
          <w:tcPr>
            <w:tcW w:w="2064"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130</w:t>
            </w:r>
          </w:p>
        </w:tc>
        <w:tc>
          <w:tcPr>
            <w:tcW w:w="9094"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110</w:t>
            </w:r>
          </w:p>
        </w:tc>
        <w:tc>
          <w:tcPr>
            <w:tcW w:w="3261"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sz w:val="21"/>
                <w:szCs w:val="21"/>
              </w:rPr>
            </w:pPr>
            <w:r>
              <w:rPr>
                <w:rFonts w:hint="eastAsia" w:ascii="宋体" w:hAnsi="宋体" w:eastAsia="宋体" w:cs="宋体"/>
                <w:i w:val="0"/>
                <w:caps w:val="0"/>
                <w:color w:val="666666"/>
                <w:spacing w:val="0"/>
                <w:sz w:val="20"/>
                <w:szCs w:val="20"/>
              </w:rPr>
              <w:t>95</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E249D7"/>
    <w:rsid w:val="3A4F4DF0"/>
    <w:rsid w:val="3C24581C"/>
    <w:rsid w:val="7B305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2026-09-15T12:24:00Z</dcterms:created>
  <dc:creator>Administrator</dc:creator>
  <cp:lastModifiedBy>Administrator</cp:lastModifiedBy>
  <dcterms:modified xsi:type="dcterms:W3CDTF">2026-09-15T13:30:11Z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A9350190AE0F445098C143AEC581DC69</vt:lpwstr>
  </property>
</Properties>
</file>