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内墙涂料</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rFonts w:hint="eastAsia"/>
          <w:color w:val="000000"/>
          <w:szCs w:val="21"/>
          <w:lang w:val="en-US" w:eastAsia="zh-CN"/>
        </w:rPr>
        <w:t>每批次抽取样品数量不得少于 3 kg 的样品2 份，1 份为检验样品，1 份为备用样品。当独立包装产品质量≤5 kg 时，应尽量整包装抽取，避免分装。有多组分的样品应按照产品配比抽取相应的多组分。。</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adjustRightInd w:val="0"/>
        <w:snapToGrid w:val="0"/>
        <w:spacing w:line="440" w:lineRule="exact"/>
        <w:jc w:val="center"/>
        <w:rPr>
          <w:rFonts w:hint="default" w:eastAsia="宋体"/>
          <w:szCs w:val="21"/>
          <w:lang w:val="en-US" w:eastAsia="zh-CN"/>
        </w:rPr>
      </w:pPr>
      <w:r>
        <w:rPr>
          <w:rFonts w:hint="eastAsia" w:ascii="Times New Roman" w:hAnsi="Times New Roman" w:eastAsia="宋体" w:cs="Times New Roman"/>
          <w:b/>
          <w:bCs/>
          <w:color w:val="auto"/>
          <w:szCs w:val="21"/>
          <w:lang w:val="en-US" w:eastAsia="zh-CN"/>
        </w:rPr>
        <w:t>表1</w:t>
      </w:r>
      <w:r>
        <w:rPr>
          <w:szCs w:val="21"/>
        </w:rPr>
        <w:t xml:space="preserve"> </w:t>
      </w:r>
      <w:r>
        <w:rPr>
          <w:rFonts w:hint="eastAsia" w:ascii="Times New Roman" w:hAnsi="Times New Roman" w:eastAsia="宋体" w:cs="Times New Roman"/>
          <w:b/>
          <w:bCs/>
          <w:color w:val="auto"/>
          <w:szCs w:val="21"/>
          <w:lang w:val="en-US" w:eastAsia="zh-CN"/>
        </w:rPr>
        <w:t>内墙涂料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10"/>
        <w:gridCol w:w="3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color w:val="000000"/>
                <w:szCs w:val="21"/>
              </w:rPr>
            </w:pPr>
            <w:r>
              <w:rPr>
                <w:color w:val="000000"/>
                <w:szCs w:val="21"/>
              </w:rPr>
              <w:t>序号</w:t>
            </w:r>
          </w:p>
        </w:tc>
        <w:tc>
          <w:tcPr>
            <w:tcW w:w="4110" w:type="dxa"/>
            <w:noWrap w:val="0"/>
            <w:vAlign w:val="center"/>
          </w:tcPr>
          <w:p>
            <w:pPr>
              <w:snapToGrid w:val="0"/>
              <w:spacing w:line="440" w:lineRule="exact"/>
              <w:jc w:val="center"/>
              <w:rPr>
                <w:color w:val="000000"/>
                <w:szCs w:val="21"/>
              </w:rPr>
            </w:pPr>
            <w:r>
              <w:rPr>
                <w:color w:val="000000"/>
                <w:szCs w:val="21"/>
              </w:rPr>
              <w:t>检验项目</w:t>
            </w:r>
          </w:p>
        </w:tc>
        <w:tc>
          <w:tcPr>
            <w:tcW w:w="3473" w:type="dxa"/>
            <w:noWrap w:val="0"/>
            <w:vAlign w:val="center"/>
          </w:tcPr>
          <w:p>
            <w:pPr>
              <w:snapToGrid w:val="0"/>
              <w:spacing w:line="440" w:lineRule="exact"/>
              <w:jc w:val="center"/>
              <w:rPr>
                <w:color w:val="000000"/>
                <w:szCs w:val="21"/>
              </w:rPr>
            </w:pPr>
            <w:r>
              <w:rPr>
                <w:rFonts w:hint="eastAsia"/>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color w:val="000000"/>
                <w:szCs w:val="21"/>
              </w:rPr>
            </w:pPr>
            <w:r>
              <w:rPr>
                <w:rFonts w:hint="eastAsia"/>
                <w:color w:val="000000"/>
                <w:szCs w:val="21"/>
              </w:rPr>
              <w:t>1</w:t>
            </w:r>
          </w:p>
        </w:tc>
        <w:tc>
          <w:tcPr>
            <w:tcW w:w="4110" w:type="dxa"/>
            <w:noWrap w:val="0"/>
            <w:vAlign w:val="center"/>
          </w:tcPr>
          <w:p>
            <w:pPr>
              <w:adjustRightInd w:val="0"/>
              <w:snapToGrid w:val="0"/>
              <w:jc w:val="center"/>
              <w:rPr>
                <w:rFonts w:hint="eastAsia"/>
              </w:rPr>
            </w:pPr>
            <w:r>
              <w:t>苯系物总和含量[限苯、甲苯、二甲苯（含乙苯）]</w:t>
            </w:r>
          </w:p>
        </w:tc>
        <w:tc>
          <w:tcPr>
            <w:tcW w:w="3473" w:type="dxa"/>
            <w:noWrap w:val="0"/>
            <w:vAlign w:val="center"/>
          </w:tcPr>
          <w:p>
            <w:pPr>
              <w:adjustRightInd w:val="0"/>
              <w:snapToGrid w:val="0"/>
              <w:jc w:val="center"/>
            </w:pPr>
            <w:r>
              <w:t>GB/T 23990</w:t>
            </w:r>
            <w:r>
              <w:rPr>
                <w:rFonts w:hint="eastAsia"/>
              </w:rPr>
              <w:t>-</w:t>
            </w:r>
            <w: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2</w:t>
            </w:r>
          </w:p>
        </w:tc>
        <w:tc>
          <w:tcPr>
            <w:tcW w:w="4110" w:type="dxa"/>
            <w:noWrap w:val="0"/>
            <w:vAlign w:val="center"/>
          </w:tcPr>
          <w:p>
            <w:pPr>
              <w:adjustRightInd w:val="0"/>
              <w:snapToGrid w:val="0"/>
              <w:spacing w:line="300" w:lineRule="exact"/>
              <w:jc w:val="center"/>
            </w:pPr>
            <w:r>
              <w:t>甲醛含量</w:t>
            </w:r>
          </w:p>
        </w:tc>
        <w:tc>
          <w:tcPr>
            <w:tcW w:w="3473" w:type="dxa"/>
            <w:noWrap w:val="0"/>
            <w:vAlign w:val="center"/>
          </w:tcPr>
          <w:p>
            <w:pPr>
              <w:adjustRightInd w:val="0"/>
              <w:snapToGrid w:val="0"/>
              <w:spacing w:line="300" w:lineRule="exact"/>
              <w:jc w:val="center"/>
            </w:pPr>
            <w:r>
              <w:t>GB/T 23993</w:t>
            </w:r>
            <w:r>
              <w:rPr>
                <w:rFonts w:hint="eastAsia"/>
              </w:rPr>
              <w:t>-</w:t>
            </w:r>
            <w: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3</w:t>
            </w:r>
          </w:p>
        </w:tc>
        <w:tc>
          <w:tcPr>
            <w:tcW w:w="4110" w:type="dxa"/>
            <w:noWrap w:val="0"/>
            <w:vAlign w:val="center"/>
          </w:tcPr>
          <w:p>
            <w:pPr>
              <w:adjustRightInd w:val="0"/>
              <w:snapToGrid w:val="0"/>
              <w:spacing w:line="300" w:lineRule="exact"/>
              <w:jc w:val="center"/>
            </w:pPr>
            <w:r>
              <w:t>总铅（Pb）含量（限色漆）</w:t>
            </w:r>
          </w:p>
        </w:tc>
        <w:tc>
          <w:tcPr>
            <w:tcW w:w="3473" w:type="dxa"/>
            <w:noWrap w:val="0"/>
            <w:vAlign w:val="center"/>
          </w:tcPr>
          <w:p>
            <w:pPr>
              <w:adjustRightInd w:val="0"/>
              <w:snapToGrid w:val="0"/>
              <w:spacing w:line="300" w:lineRule="exact"/>
              <w:jc w:val="center"/>
            </w:pPr>
            <w:r>
              <w:t>GB/T 30647</w:t>
            </w:r>
            <w:r>
              <w:rPr>
                <w:rFonts w:hint="eastAsia"/>
                <w:szCs w:val="21"/>
              </w:rPr>
              <w:t>-</w:t>
            </w:r>
            <w: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4</w:t>
            </w:r>
          </w:p>
        </w:tc>
        <w:tc>
          <w:tcPr>
            <w:tcW w:w="4110" w:type="dxa"/>
            <w:noWrap w:val="0"/>
            <w:vAlign w:val="center"/>
          </w:tcPr>
          <w:p>
            <w:pPr>
              <w:adjustRightInd w:val="0"/>
              <w:snapToGrid w:val="0"/>
              <w:spacing w:line="300" w:lineRule="exact"/>
              <w:jc w:val="center"/>
            </w:pPr>
            <w:r>
              <w:t>可溶性重金属含量（镉、铬、汞）（限色漆）</w:t>
            </w:r>
          </w:p>
        </w:tc>
        <w:tc>
          <w:tcPr>
            <w:tcW w:w="3473" w:type="dxa"/>
            <w:noWrap w:val="0"/>
            <w:vAlign w:val="center"/>
          </w:tcPr>
          <w:p>
            <w:pPr>
              <w:adjustRightInd w:val="0"/>
              <w:snapToGrid w:val="0"/>
              <w:spacing w:line="300" w:lineRule="exact"/>
              <w:jc w:val="center"/>
            </w:pPr>
            <w:r>
              <w:t>GB/T 23991</w:t>
            </w:r>
            <w:r>
              <w:rPr>
                <w:rFonts w:hint="eastAsia"/>
                <w:szCs w:val="21"/>
              </w:rPr>
              <w:t>-</w:t>
            </w:r>
            <w: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5</w:t>
            </w:r>
          </w:p>
        </w:tc>
        <w:tc>
          <w:tcPr>
            <w:tcW w:w="4110" w:type="dxa"/>
            <w:noWrap w:val="0"/>
            <w:vAlign w:val="center"/>
          </w:tcPr>
          <w:p>
            <w:pPr>
              <w:widowControl/>
              <w:jc w:val="center"/>
              <w:textAlignment w:val="center"/>
            </w:pPr>
            <w:r>
              <w:rPr>
                <w:rFonts w:hint="eastAsia" w:ascii="宋体" w:hAnsi="宋体" w:cs="宋体"/>
                <w:color w:val="000000"/>
                <w:kern w:val="0"/>
                <w:sz w:val="20"/>
                <w:szCs w:val="20"/>
                <w:lang w:bidi="ar"/>
              </w:rPr>
              <w:t>低温稳定性（3次循环）</w:t>
            </w:r>
          </w:p>
        </w:tc>
        <w:tc>
          <w:tcPr>
            <w:tcW w:w="3473" w:type="dxa"/>
            <w:noWrap w:val="0"/>
            <w:vAlign w:val="center"/>
          </w:tcPr>
          <w:p>
            <w:pPr>
              <w:adjustRightInd w:val="0"/>
              <w:snapToGrid w:val="0"/>
              <w:spacing w:line="300" w:lineRule="exact"/>
              <w:jc w:val="center"/>
            </w:pPr>
            <w:r>
              <w:t xml:space="preserve">GB/T </w:t>
            </w:r>
            <w:r>
              <w:rPr>
                <w:rFonts w:hint="eastAsia"/>
              </w:rPr>
              <w:t>9268-2008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6</w:t>
            </w:r>
          </w:p>
        </w:tc>
        <w:tc>
          <w:tcPr>
            <w:tcW w:w="4110" w:type="dxa"/>
            <w:noWrap w:val="0"/>
            <w:vAlign w:val="center"/>
          </w:tcPr>
          <w:p>
            <w:pPr>
              <w:widowControl/>
              <w:jc w:val="center"/>
              <w:textAlignment w:val="center"/>
            </w:pPr>
            <w:r>
              <w:rPr>
                <w:rFonts w:hint="eastAsia" w:ascii="宋体" w:hAnsi="宋体" w:cs="宋体"/>
                <w:color w:val="000000"/>
                <w:kern w:val="0"/>
                <w:sz w:val="20"/>
                <w:szCs w:val="20"/>
                <w:lang w:bidi="ar"/>
              </w:rPr>
              <w:t>低温成膜性</w:t>
            </w:r>
          </w:p>
        </w:tc>
        <w:tc>
          <w:tcPr>
            <w:tcW w:w="3473" w:type="dxa"/>
            <w:noWrap w:val="0"/>
            <w:vAlign w:val="center"/>
          </w:tcPr>
          <w:p>
            <w:pPr>
              <w:adjustRightInd w:val="0"/>
              <w:snapToGrid w:val="0"/>
              <w:spacing w:line="300" w:lineRule="exact"/>
              <w:jc w:val="center"/>
              <w:rPr>
                <w:rFonts w:hint="eastAsia"/>
              </w:rPr>
            </w:pPr>
            <w:r>
              <w:t>GB/T 9755</w:t>
            </w:r>
            <w:r>
              <w:rPr>
                <w:rFonts w:hint="eastAsia"/>
                <w:szCs w:val="21"/>
              </w:rPr>
              <w:t>-</w:t>
            </w:r>
            <w:r>
              <w:t>2024</w:t>
            </w:r>
            <w:r>
              <w:rPr>
                <w:rFonts w:hint="eastAsia"/>
              </w:rPr>
              <w:t>、</w:t>
            </w:r>
            <w:r>
              <w:t>GB/T 1728</w:t>
            </w:r>
            <w:r>
              <w:rPr>
                <w:rFonts w:hint="eastAsia"/>
                <w:szCs w:val="21"/>
              </w:rPr>
              <w:t>-</w:t>
            </w:r>
            <w:r>
              <w:t>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7</w:t>
            </w:r>
          </w:p>
        </w:tc>
        <w:tc>
          <w:tcPr>
            <w:tcW w:w="4110" w:type="dxa"/>
            <w:noWrap w:val="0"/>
            <w:vAlign w:val="center"/>
          </w:tcPr>
          <w:p>
            <w:pPr>
              <w:widowControl/>
              <w:jc w:val="center"/>
              <w:textAlignment w:val="center"/>
            </w:pPr>
            <w:r>
              <w:rPr>
                <w:rFonts w:hint="eastAsia" w:ascii="宋体" w:hAnsi="宋体" w:cs="宋体"/>
                <w:color w:val="000000"/>
                <w:kern w:val="0"/>
                <w:sz w:val="20"/>
                <w:szCs w:val="20"/>
                <w:lang w:bidi="ar"/>
              </w:rPr>
              <w:t>对比率（白色和浅色）</w:t>
            </w:r>
          </w:p>
        </w:tc>
        <w:tc>
          <w:tcPr>
            <w:tcW w:w="3473" w:type="dxa"/>
            <w:noWrap w:val="0"/>
            <w:vAlign w:val="center"/>
          </w:tcPr>
          <w:p>
            <w:pPr>
              <w:widowControl/>
              <w:jc w:val="center"/>
              <w:textAlignment w:val="center"/>
            </w:pPr>
            <w:r>
              <w:rPr>
                <w:rFonts w:hint="eastAsia"/>
              </w:rPr>
              <w:t>GB/T 23981.1-2019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8</w:t>
            </w:r>
          </w:p>
        </w:tc>
        <w:tc>
          <w:tcPr>
            <w:tcW w:w="4110" w:type="dxa"/>
            <w:noWrap w:val="0"/>
            <w:vAlign w:val="center"/>
          </w:tcPr>
          <w:p>
            <w:pPr>
              <w:widowControl/>
              <w:jc w:val="center"/>
              <w:textAlignment w:val="center"/>
            </w:pPr>
            <w:r>
              <w:rPr>
                <w:rFonts w:hint="eastAsia" w:ascii="宋体" w:hAnsi="宋体" w:cs="宋体"/>
                <w:color w:val="000000"/>
                <w:kern w:val="0"/>
                <w:sz w:val="20"/>
                <w:szCs w:val="20"/>
                <w:lang w:bidi="ar"/>
              </w:rPr>
              <w:t>耐碱性</w:t>
            </w:r>
          </w:p>
        </w:tc>
        <w:tc>
          <w:tcPr>
            <w:tcW w:w="3473" w:type="dxa"/>
            <w:noWrap w:val="0"/>
            <w:vAlign w:val="center"/>
          </w:tcPr>
          <w:p>
            <w:pPr>
              <w:adjustRightInd w:val="0"/>
              <w:snapToGrid w:val="0"/>
              <w:spacing w:line="300" w:lineRule="exact"/>
              <w:jc w:val="center"/>
            </w:pPr>
            <w:r>
              <w:t>GB/T 9755</w:t>
            </w:r>
            <w:r>
              <w:rPr>
                <w:rFonts w:hint="eastAsia"/>
              </w:rPr>
              <w:t>-</w:t>
            </w:r>
            <w: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color w:val="000000"/>
                <w:szCs w:val="21"/>
              </w:rPr>
            </w:pPr>
            <w:r>
              <w:rPr>
                <w:rFonts w:hint="eastAsia"/>
                <w:color w:val="000000"/>
                <w:szCs w:val="21"/>
              </w:rPr>
              <w:t>9</w:t>
            </w:r>
          </w:p>
        </w:tc>
        <w:tc>
          <w:tcPr>
            <w:tcW w:w="4110" w:type="dxa"/>
            <w:noWrap w:val="0"/>
            <w:vAlign w:val="center"/>
          </w:tcPr>
          <w:p>
            <w:pPr>
              <w:widowControl/>
              <w:jc w:val="center"/>
              <w:textAlignment w:val="center"/>
              <w:rPr>
                <w:rFonts w:hint="eastAsia"/>
                <w:color w:val="000000"/>
                <w:szCs w:val="21"/>
              </w:rPr>
            </w:pPr>
            <w:r>
              <w:rPr>
                <w:rFonts w:hint="eastAsia" w:ascii="宋体" w:hAnsi="宋体" w:cs="宋体"/>
                <w:color w:val="000000"/>
                <w:kern w:val="0"/>
                <w:sz w:val="20"/>
                <w:szCs w:val="20"/>
                <w:lang w:bidi="ar"/>
              </w:rPr>
              <w:t>耐洗刷性</w:t>
            </w:r>
          </w:p>
        </w:tc>
        <w:tc>
          <w:tcPr>
            <w:tcW w:w="3473" w:type="dxa"/>
            <w:noWrap w:val="0"/>
            <w:vAlign w:val="center"/>
          </w:tcPr>
          <w:p>
            <w:pPr>
              <w:adjustRightInd w:val="0"/>
              <w:snapToGrid w:val="0"/>
              <w:spacing w:line="300" w:lineRule="exact"/>
              <w:jc w:val="center"/>
            </w:pPr>
            <w:r>
              <w:t>GB/T 9755</w:t>
            </w:r>
            <w:r>
              <w:rPr>
                <w:rFonts w:hint="eastAsia"/>
                <w:szCs w:val="21"/>
              </w:rPr>
              <w:t>-</w:t>
            </w:r>
            <w:r>
              <w:t>2024</w:t>
            </w:r>
          </w:p>
          <w:p>
            <w:pPr>
              <w:widowControl/>
              <w:jc w:val="center"/>
              <w:textAlignment w:val="center"/>
              <w:rPr>
                <w:color w:val="000000"/>
                <w:szCs w:val="21"/>
              </w:rPr>
            </w:pPr>
            <w:r>
              <w:t>GB/T 9266</w:t>
            </w:r>
            <w:r>
              <w:rPr>
                <w:rFonts w:hint="eastAsia"/>
                <w:szCs w:val="21"/>
              </w:rPr>
              <w:t>-</w:t>
            </w:r>
            <w: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522" w:type="dxa"/>
            <w:gridSpan w:val="3"/>
            <w:noWrap w:val="0"/>
            <w:vAlign w:val="center"/>
          </w:tcPr>
          <w:p>
            <w:pPr>
              <w:adjustRightInd w:val="0"/>
              <w:snapToGrid w:val="0"/>
              <w:spacing w:line="300" w:lineRule="exact"/>
              <w:rPr>
                <w:szCs w:val="21"/>
              </w:rPr>
            </w:pPr>
            <w:r>
              <w:rPr>
                <w:rFonts w:hint="eastAsia"/>
                <w:szCs w:val="21"/>
              </w:rPr>
              <w:t>备注：以实际抽查产品种类开展项目</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GB/T 9755-2024《合成树脂乳液墙面涂料》</w:t>
      </w:r>
    </w:p>
    <w:p>
      <w:pPr>
        <w:spacing w:line="440" w:lineRule="exact"/>
        <w:ind w:firstLine="420" w:firstLineChars="200"/>
        <w:rPr>
          <w:rFonts w:hint="eastAsia" w:cs="宋体"/>
          <w:szCs w:val="21"/>
        </w:rPr>
      </w:pPr>
      <w:r>
        <w:rPr>
          <w:rFonts w:hint="eastAsia" w:cs="宋体"/>
          <w:szCs w:val="21"/>
        </w:rPr>
        <w:t>GB 30981.1-2025《涂料中有害物质限量 第1部分：建筑涂料》</w:t>
      </w:r>
    </w:p>
    <w:p>
      <w:pPr>
        <w:spacing w:line="440" w:lineRule="exact"/>
        <w:ind w:firstLine="420" w:firstLineChars="200"/>
        <w:rPr>
          <w:rFonts w:hint="eastAsia" w:cs="宋体"/>
          <w:szCs w:val="21"/>
        </w:rPr>
      </w:pPr>
      <w:r>
        <w:rPr>
          <w:rFonts w:hint="eastAsia" w:cs="宋体"/>
          <w:szCs w:val="21"/>
        </w:rPr>
        <w:t>GB 18582-2020《建筑用墙面涂料中有害物质限量》</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1B4BB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A337A"/>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BB6706"/>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2C636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7F510F"/>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 w:type="character" w:customStyle="1" w:styleId="2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676</Words>
  <Characters>761</Characters>
  <Lines>5</Lines>
  <Paragraphs>1</Paragraphs>
  <TotalTime>0</TotalTime>
  <ScaleCrop>false</ScaleCrop>
  <LinksUpToDate>false</LinksUpToDate>
  <CharactersWithSpaces>771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2026-07-22T11:43:38Z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181CCAE37DCC49958E69339CAB7D2C14_13</vt:lpwstr>
  </property>
  <property fmtid="{D5CDD505-2E9C-101B-9397-08002B2CF9AE}" pid="4" name="KSOTemplateDocerSaveRecord">
    <vt:lpwstr>eyJoZGlkIjoiZjFmZWIzNDg2MmIzZjExOTIzMmViNTBmYTMwYTk0ZWYiLCJ1c2VySWQiOiIzOTg1Njg2NDcifQ==</vt:lpwstr>
  </property>
</Properties>
</file>