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吐鲁番市商品煤</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color w:val="000000"/>
          <w:szCs w:val="21"/>
          <w:lang w:val="en-US" w:eastAsia="zh-CN"/>
        </w:rPr>
      </w:pPr>
      <w:r>
        <w:rPr>
          <w:color w:val="000000"/>
          <w:szCs w:val="21"/>
        </w:rPr>
        <w:t>每批次产品抽取</w:t>
      </w:r>
      <w:r>
        <w:rPr>
          <w:rFonts w:hint="eastAsia"/>
          <w:color w:val="000000"/>
          <w:szCs w:val="21"/>
          <w:lang w:val="en-US" w:eastAsia="zh-CN"/>
        </w:rPr>
        <w:t>数量见下述及表1。</w:t>
      </w:r>
    </w:p>
    <w:p>
      <w:pPr>
        <w:spacing w:line="440" w:lineRule="exact"/>
        <w:ind w:firstLine="420" w:firstLineChars="200"/>
        <w:rPr>
          <w:rFonts w:hint="eastAsia"/>
          <w:color w:val="000000"/>
          <w:szCs w:val="21"/>
        </w:rPr>
      </w:pPr>
      <w:r>
        <w:rPr>
          <w:rFonts w:hint="eastAsia"/>
          <w:color w:val="000000"/>
          <w:szCs w:val="21"/>
        </w:rPr>
        <w:t>（1）民用散煤的采样数量</w:t>
      </w:r>
    </w:p>
    <w:p>
      <w:pPr>
        <w:spacing w:line="440" w:lineRule="exact"/>
        <w:ind w:firstLine="420" w:firstLineChars="200"/>
        <w:rPr>
          <w:rFonts w:hint="eastAsia"/>
          <w:color w:val="000000"/>
          <w:szCs w:val="21"/>
        </w:rPr>
      </w:pPr>
      <w:r>
        <w:rPr>
          <w:rFonts w:hint="eastAsia"/>
          <w:color w:val="000000"/>
          <w:szCs w:val="21"/>
        </w:rPr>
        <w:t>抽样数量应满足 GB/T 475-2008 或 GB/T 19494.1-2004 中总样的最小质量要求。</w:t>
      </w:r>
    </w:p>
    <w:p>
      <w:pPr>
        <w:spacing w:line="440" w:lineRule="exact"/>
        <w:ind w:firstLine="420" w:firstLineChars="200"/>
        <w:rPr>
          <w:rFonts w:hint="eastAsia"/>
          <w:color w:val="000000"/>
          <w:szCs w:val="21"/>
        </w:rPr>
      </w:pPr>
      <w:r>
        <w:rPr>
          <w:rFonts w:hint="eastAsia"/>
          <w:color w:val="000000"/>
          <w:szCs w:val="21"/>
        </w:rPr>
        <w:t>按 GB/T 475-2008《商品煤样人工采取方法》、GB/T 19494.1-2004《煤炭机械化采样  第1部分：采样方法》的规定取样，在备注栏注明样品煤的粒度，注明是机械采样或人工采样。 抽样数量根据该批煤的标称最大粒度确定 ，按照下表执行。</w:t>
      </w:r>
    </w:p>
    <w:p>
      <w:pPr>
        <w:spacing w:line="440" w:lineRule="exact"/>
        <w:ind w:firstLine="421" w:firstLineChars="200"/>
        <w:jc w:val="center"/>
        <w:rPr>
          <w:b/>
          <w:bCs/>
          <w:color w:val="000000"/>
          <w:szCs w:val="21"/>
        </w:rPr>
      </w:pPr>
      <w:r>
        <w:rPr>
          <w:b/>
          <w:bCs/>
          <w:color w:val="000000"/>
          <w:szCs w:val="21"/>
        </w:rPr>
        <w:t xml:space="preserve">表 </w:t>
      </w:r>
      <w:r>
        <w:rPr>
          <w:rFonts w:hint="eastAsia"/>
          <w:b/>
          <w:bCs/>
          <w:color w:val="000000"/>
          <w:szCs w:val="21"/>
          <w:lang w:val="en-US" w:eastAsia="zh-CN"/>
        </w:rPr>
        <w:t>1</w:t>
      </w:r>
      <w:r>
        <w:rPr>
          <w:b/>
          <w:bCs/>
          <w:color w:val="000000"/>
          <w:szCs w:val="21"/>
        </w:rPr>
        <w:t xml:space="preserve">  抽样数量</w:t>
      </w:r>
    </w:p>
    <w:tbl>
      <w:tblPr>
        <w:tblStyle w:val="10"/>
        <w:tblW w:w="6646" w:type="dxa"/>
        <w:tblInd w:w="772"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3355"/>
        <w:gridCol w:w="3291"/>
      </w:tblGrid>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61" w:hRule="atLeast"/>
        </w:trPr>
        <w:tc>
          <w:tcPr>
            <w:tcW w:w="3355" w:type="dxa"/>
            <w:noWrap w:val="0"/>
            <w:vAlign w:val="top"/>
          </w:tcPr>
          <w:p>
            <w:pPr>
              <w:spacing w:line="440" w:lineRule="exact"/>
              <w:ind w:firstLine="420" w:firstLineChars="200"/>
              <w:jc w:val="center"/>
              <w:rPr>
                <w:color w:val="000000"/>
                <w:szCs w:val="21"/>
              </w:rPr>
            </w:pPr>
            <w:r>
              <w:rPr>
                <w:color w:val="000000"/>
                <w:szCs w:val="21"/>
              </w:rPr>
              <w:t>标称最大粒度（mm）</w:t>
            </w:r>
          </w:p>
        </w:tc>
        <w:tc>
          <w:tcPr>
            <w:tcW w:w="3291" w:type="dxa"/>
            <w:noWrap w:val="0"/>
            <w:vAlign w:val="top"/>
          </w:tcPr>
          <w:p>
            <w:pPr>
              <w:spacing w:line="440" w:lineRule="exact"/>
              <w:ind w:firstLine="420" w:firstLineChars="200"/>
              <w:jc w:val="center"/>
              <w:rPr>
                <w:color w:val="000000"/>
                <w:szCs w:val="21"/>
              </w:rPr>
            </w:pPr>
            <w:r>
              <w:rPr>
                <w:color w:val="000000"/>
                <w:szCs w:val="21"/>
              </w:rPr>
              <w:t>抽取最小质量（kg）</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49" w:hRule="atLeast"/>
        </w:trPr>
        <w:tc>
          <w:tcPr>
            <w:tcW w:w="3355" w:type="dxa"/>
            <w:noWrap w:val="0"/>
            <w:vAlign w:val="top"/>
          </w:tcPr>
          <w:p>
            <w:pPr>
              <w:spacing w:line="440" w:lineRule="exact"/>
              <w:ind w:firstLine="420" w:firstLineChars="200"/>
              <w:jc w:val="center"/>
              <w:rPr>
                <w:color w:val="000000"/>
                <w:szCs w:val="21"/>
              </w:rPr>
            </w:pPr>
            <w:r>
              <w:rPr>
                <w:color w:val="000000"/>
                <w:szCs w:val="21"/>
              </w:rPr>
              <w:t>1</w:t>
            </w:r>
          </w:p>
        </w:tc>
        <w:tc>
          <w:tcPr>
            <w:tcW w:w="3291" w:type="dxa"/>
            <w:noWrap w:val="0"/>
            <w:vAlign w:val="top"/>
          </w:tcPr>
          <w:p>
            <w:pPr>
              <w:spacing w:line="440" w:lineRule="exact"/>
              <w:ind w:firstLine="420" w:firstLineChars="200"/>
              <w:jc w:val="center"/>
              <w:rPr>
                <w:color w:val="000000"/>
                <w:szCs w:val="21"/>
              </w:rPr>
            </w:pPr>
            <w:r>
              <w:rPr>
                <w:color w:val="000000"/>
                <w:szCs w:val="21"/>
              </w:rPr>
              <w:t>0.1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3</w:t>
            </w:r>
          </w:p>
        </w:tc>
        <w:tc>
          <w:tcPr>
            <w:tcW w:w="3291" w:type="dxa"/>
            <w:noWrap w:val="0"/>
            <w:vAlign w:val="top"/>
          </w:tcPr>
          <w:p>
            <w:pPr>
              <w:spacing w:line="440" w:lineRule="exact"/>
              <w:ind w:firstLine="420" w:firstLineChars="200"/>
              <w:jc w:val="center"/>
              <w:rPr>
                <w:color w:val="000000"/>
                <w:szCs w:val="21"/>
              </w:rPr>
            </w:pPr>
            <w:r>
              <w:rPr>
                <w:color w:val="000000"/>
                <w:szCs w:val="21"/>
              </w:rPr>
              <w:t>0.7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6</w:t>
            </w:r>
          </w:p>
        </w:tc>
        <w:tc>
          <w:tcPr>
            <w:tcW w:w="3291" w:type="dxa"/>
            <w:noWrap w:val="0"/>
            <w:vAlign w:val="top"/>
          </w:tcPr>
          <w:p>
            <w:pPr>
              <w:spacing w:line="440" w:lineRule="exact"/>
              <w:ind w:firstLine="420" w:firstLineChars="200"/>
              <w:jc w:val="center"/>
              <w:rPr>
                <w:color w:val="000000"/>
                <w:szCs w:val="21"/>
              </w:rPr>
            </w:pPr>
            <w:r>
              <w:rPr>
                <w:color w:val="000000"/>
                <w:szCs w:val="21"/>
              </w:rPr>
              <w:t>3.75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13</w:t>
            </w:r>
          </w:p>
        </w:tc>
        <w:tc>
          <w:tcPr>
            <w:tcW w:w="3291" w:type="dxa"/>
            <w:noWrap w:val="0"/>
            <w:vAlign w:val="top"/>
          </w:tcPr>
          <w:p>
            <w:pPr>
              <w:spacing w:line="440" w:lineRule="exact"/>
              <w:ind w:firstLine="420" w:firstLineChars="200"/>
              <w:jc w:val="center"/>
              <w:rPr>
                <w:color w:val="000000"/>
                <w:szCs w:val="21"/>
              </w:rPr>
            </w:pPr>
            <w:r>
              <w:rPr>
                <w:color w:val="000000"/>
                <w:szCs w:val="21"/>
              </w:rPr>
              <w:t>15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25</w:t>
            </w:r>
          </w:p>
        </w:tc>
        <w:tc>
          <w:tcPr>
            <w:tcW w:w="3291" w:type="dxa"/>
            <w:noWrap w:val="0"/>
            <w:vAlign w:val="top"/>
          </w:tcPr>
          <w:p>
            <w:pPr>
              <w:spacing w:line="440" w:lineRule="exact"/>
              <w:ind w:firstLine="420" w:firstLineChars="200"/>
              <w:jc w:val="center"/>
              <w:rPr>
                <w:color w:val="000000"/>
                <w:szCs w:val="21"/>
              </w:rPr>
            </w:pPr>
            <w:r>
              <w:rPr>
                <w:color w:val="000000"/>
                <w:szCs w:val="21"/>
              </w:rPr>
              <w:t>40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50</w:t>
            </w:r>
          </w:p>
        </w:tc>
        <w:tc>
          <w:tcPr>
            <w:tcW w:w="3291" w:type="dxa"/>
            <w:noWrap w:val="0"/>
            <w:vAlign w:val="top"/>
          </w:tcPr>
          <w:p>
            <w:pPr>
              <w:spacing w:line="440" w:lineRule="exact"/>
              <w:ind w:firstLine="420" w:firstLineChars="200"/>
              <w:jc w:val="center"/>
              <w:rPr>
                <w:color w:val="000000"/>
                <w:szCs w:val="21"/>
              </w:rPr>
            </w:pPr>
            <w:r>
              <w:rPr>
                <w:color w:val="000000"/>
                <w:szCs w:val="21"/>
              </w:rPr>
              <w:t>170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80</w:t>
            </w:r>
          </w:p>
        </w:tc>
        <w:tc>
          <w:tcPr>
            <w:tcW w:w="3291" w:type="dxa"/>
            <w:noWrap w:val="0"/>
            <w:vAlign w:val="top"/>
          </w:tcPr>
          <w:p>
            <w:pPr>
              <w:spacing w:line="440" w:lineRule="exact"/>
              <w:ind w:firstLine="420" w:firstLineChars="200"/>
              <w:jc w:val="center"/>
              <w:rPr>
                <w:color w:val="000000"/>
                <w:szCs w:val="21"/>
              </w:rPr>
            </w:pPr>
            <w:r>
              <w:rPr>
                <w:color w:val="000000"/>
                <w:szCs w:val="21"/>
              </w:rPr>
              <w:t>565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100</w:t>
            </w:r>
          </w:p>
        </w:tc>
        <w:tc>
          <w:tcPr>
            <w:tcW w:w="3291" w:type="dxa"/>
            <w:noWrap w:val="0"/>
            <w:vAlign w:val="top"/>
          </w:tcPr>
          <w:p>
            <w:pPr>
              <w:spacing w:line="440" w:lineRule="exact"/>
              <w:ind w:firstLine="420" w:firstLineChars="200"/>
              <w:jc w:val="center"/>
              <w:rPr>
                <w:color w:val="000000"/>
                <w:szCs w:val="21"/>
              </w:rPr>
            </w:pPr>
            <w:r>
              <w:rPr>
                <w:color w:val="000000"/>
                <w:szCs w:val="21"/>
              </w:rPr>
              <w:t>1025 ×2</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20" w:hRule="atLeast"/>
        </w:trPr>
        <w:tc>
          <w:tcPr>
            <w:tcW w:w="3355" w:type="dxa"/>
            <w:noWrap w:val="0"/>
            <w:vAlign w:val="top"/>
          </w:tcPr>
          <w:p>
            <w:pPr>
              <w:spacing w:line="440" w:lineRule="exact"/>
              <w:ind w:firstLine="420" w:firstLineChars="200"/>
              <w:jc w:val="center"/>
              <w:rPr>
                <w:color w:val="000000"/>
                <w:szCs w:val="21"/>
              </w:rPr>
            </w:pPr>
            <w:r>
              <w:rPr>
                <w:color w:val="000000"/>
                <w:szCs w:val="21"/>
              </w:rPr>
              <w:t>150</w:t>
            </w:r>
          </w:p>
        </w:tc>
        <w:tc>
          <w:tcPr>
            <w:tcW w:w="3291" w:type="dxa"/>
            <w:noWrap w:val="0"/>
            <w:vAlign w:val="top"/>
          </w:tcPr>
          <w:p>
            <w:pPr>
              <w:spacing w:line="440" w:lineRule="exact"/>
              <w:ind w:firstLine="420" w:firstLineChars="200"/>
              <w:jc w:val="center"/>
              <w:rPr>
                <w:color w:val="000000"/>
                <w:szCs w:val="21"/>
              </w:rPr>
            </w:pPr>
            <w:r>
              <w:rPr>
                <w:color w:val="000000"/>
                <w:szCs w:val="21"/>
              </w:rPr>
              <w:t>2600 ×2</w:t>
            </w:r>
          </w:p>
        </w:tc>
      </w:tr>
    </w:tbl>
    <w:p>
      <w:pPr>
        <w:spacing w:line="440" w:lineRule="exact"/>
        <w:ind w:firstLine="420" w:firstLineChars="200"/>
        <w:rPr>
          <w:rFonts w:hint="eastAsia"/>
          <w:color w:val="000000"/>
          <w:szCs w:val="21"/>
        </w:rPr>
      </w:pPr>
      <w:r>
        <w:rPr>
          <w:rFonts w:hint="eastAsia"/>
          <w:color w:val="000000"/>
          <w:szCs w:val="21"/>
        </w:rPr>
        <w:t>备注：对于抽样量较大的样品，可在抽样现场对所抽样品进行破碎缩分，缩分后的粒度与质量应符合上表中要求 ，破碎缩分过程应详细记录在抽样单上。</w:t>
      </w:r>
    </w:p>
    <w:p>
      <w:pPr>
        <w:spacing w:line="440" w:lineRule="exact"/>
        <w:ind w:firstLine="420" w:firstLineChars="200"/>
        <w:rPr>
          <w:rFonts w:hint="eastAsia"/>
          <w:color w:val="000000"/>
          <w:szCs w:val="21"/>
        </w:rPr>
      </w:pPr>
      <w:r>
        <w:rPr>
          <w:rFonts w:hint="eastAsia"/>
          <w:color w:val="000000"/>
          <w:szCs w:val="21"/>
        </w:rPr>
        <w:t>抽取的样品等量分成2份 ，一份供检验用 ，一份作备样。</w:t>
      </w:r>
    </w:p>
    <w:p>
      <w:pPr>
        <w:spacing w:line="440" w:lineRule="exact"/>
        <w:ind w:firstLine="420" w:firstLineChars="200"/>
        <w:rPr>
          <w:rFonts w:hint="eastAsia"/>
          <w:color w:val="000000"/>
          <w:szCs w:val="21"/>
        </w:rPr>
      </w:pPr>
      <w:r>
        <w:rPr>
          <w:rFonts w:hint="eastAsia"/>
          <w:color w:val="000000"/>
          <w:szCs w:val="21"/>
        </w:rPr>
        <w:t>（2） 民用型煤的采样数量</w:t>
      </w:r>
    </w:p>
    <w:p>
      <w:pPr>
        <w:spacing w:line="440" w:lineRule="exact"/>
        <w:ind w:firstLine="420" w:firstLineChars="200"/>
        <w:rPr>
          <w:rFonts w:hint="eastAsia"/>
          <w:color w:val="000000"/>
          <w:szCs w:val="21"/>
        </w:rPr>
      </w:pPr>
      <w:r>
        <w:rPr>
          <w:rFonts w:hint="eastAsia"/>
          <w:color w:val="000000"/>
          <w:szCs w:val="21"/>
        </w:rPr>
        <w:t>蜂窝煤：库房或集中存放地随机抽取5块蜂窝煤，再随机抽取其中2 块分别封存，1 块按照 GB/T 474-2008制备样品后进行质量指标试验，1块留存。</w:t>
      </w:r>
    </w:p>
    <w:p>
      <w:pPr>
        <w:spacing w:line="440" w:lineRule="exact"/>
        <w:ind w:firstLine="420" w:firstLineChars="200"/>
        <w:rPr>
          <w:rFonts w:hint="eastAsia"/>
          <w:color w:val="000000"/>
          <w:szCs w:val="21"/>
        </w:rPr>
      </w:pPr>
      <w:r>
        <w:rPr>
          <w:rFonts w:hint="eastAsia"/>
          <w:color w:val="000000"/>
          <w:szCs w:val="21"/>
        </w:rPr>
        <w:t>其他型煤：随机抽取两袋（箱）及以上样品，根据 GB/T 474-2008 规定的棋盘法或条带 截取法缩分出2 份，每份不少于4.0kg，分别封存，一份供检验用，一份作备样。备用样品封存于受检单位。</w:t>
      </w:r>
    </w:p>
    <w:p>
      <w:pPr>
        <w:spacing w:line="440" w:lineRule="exact"/>
        <w:ind w:firstLine="420" w:firstLineChars="200"/>
        <w:rPr>
          <w:rFonts w:hint="eastAsia"/>
          <w:color w:val="000000"/>
          <w:szCs w:val="21"/>
        </w:rPr>
      </w:pPr>
      <w:r>
        <w:rPr>
          <w:rFonts w:hint="eastAsia"/>
          <w:color w:val="000000"/>
          <w:szCs w:val="21"/>
        </w:rPr>
        <w:t>抽查样品基数满足抽样数量即可。</w:t>
      </w:r>
    </w:p>
    <w:p>
      <w:pPr>
        <w:spacing w:line="440" w:lineRule="exact"/>
        <w:ind w:firstLine="420" w:firstLineChars="200"/>
        <w:rPr>
          <w:rFonts w:hint="default"/>
          <w:color w:val="000000"/>
          <w:szCs w:val="21"/>
          <w:lang w:val="en-US" w:eastAsia="zh-CN"/>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2及表3</w:t>
      </w:r>
      <w:r>
        <w:rPr>
          <w:rFonts w:hint="eastAsia" w:hAnsi="宋体" w:cs="宋体"/>
          <w:szCs w:val="21"/>
        </w:rPr>
        <w:t>。</w:t>
      </w:r>
    </w:p>
    <w:p>
      <w:pPr>
        <w:spacing w:line="440" w:lineRule="exact"/>
        <w:jc w:val="center"/>
        <w:rPr>
          <w:rFonts w:hint="eastAsia" w:ascii="Times New Roman" w:hAnsi="宋体" w:eastAsia="宋体" w:cs="Times New Roman"/>
          <w:b/>
          <w:bCs/>
          <w:sz w:val="21"/>
          <w:szCs w:val="21"/>
        </w:rPr>
      </w:pPr>
      <w:r>
        <w:rPr>
          <w:rFonts w:hint="eastAsia" w:eastAsia="黑体"/>
          <w:b/>
          <w:bCs/>
          <w:color w:val="000000"/>
          <w:szCs w:val="21"/>
        </w:rPr>
        <w:t>表</w:t>
      </w:r>
      <w:r>
        <w:rPr>
          <w:rFonts w:hint="eastAsia" w:eastAsia="黑体"/>
          <w:b/>
          <w:bCs/>
          <w:color w:val="000000"/>
          <w:szCs w:val="21"/>
          <w:lang w:val="en-US" w:eastAsia="zh-CN"/>
        </w:rPr>
        <w:t>2</w:t>
      </w:r>
      <w:r>
        <w:rPr>
          <w:rFonts w:hint="eastAsia" w:eastAsia="黑体"/>
          <w:b/>
          <w:bCs/>
          <w:color w:val="000000"/>
          <w:szCs w:val="21"/>
        </w:rPr>
        <w:t xml:space="preserve"> </w:t>
      </w:r>
      <w:r>
        <w:rPr>
          <w:rFonts w:hint="eastAsia" w:ascii="Times New Roman" w:hAnsi="宋体" w:eastAsia="宋体" w:cs="Times New Roman"/>
          <w:b/>
          <w:bCs/>
          <w:sz w:val="21"/>
          <w:szCs w:val="21"/>
        </w:rPr>
        <w:t>民用散煤</w:t>
      </w:r>
    </w:p>
    <w:p>
      <w:pPr>
        <w:spacing w:line="119" w:lineRule="exact"/>
      </w:pPr>
    </w:p>
    <w:tbl>
      <w:tblPr>
        <w:tblStyle w:val="29"/>
        <w:tblW w:w="8219" w:type="dxa"/>
        <w:tblInd w:w="4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7"/>
        <w:gridCol w:w="4049"/>
        <w:gridCol w:w="3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37" w:type="dxa"/>
            <w:noWrap w:val="0"/>
            <w:vAlign w:val="center"/>
          </w:tcPr>
          <w:p>
            <w:pPr>
              <w:spacing w:line="48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序号</w:t>
            </w:r>
          </w:p>
        </w:tc>
        <w:tc>
          <w:tcPr>
            <w:tcW w:w="4049" w:type="dxa"/>
            <w:noWrap w:val="0"/>
            <w:vAlign w:val="center"/>
          </w:tcPr>
          <w:p>
            <w:pPr>
              <w:spacing w:line="48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检验项目</w:t>
            </w:r>
          </w:p>
        </w:tc>
        <w:tc>
          <w:tcPr>
            <w:tcW w:w="3233" w:type="dxa"/>
            <w:noWrap w:val="0"/>
            <w:vAlign w:val="center"/>
          </w:tcPr>
          <w:p>
            <w:pPr>
              <w:spacing w:line="48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全硫（ S</w:t>
            </w:r>
            <w:r>
              <w:rPr>
                <w:rFonts w:hint="default" w:ascii="Times New Roman" w:hAnsi="Times New Roman" w:eastAsia="宋体" w:cs="Times New Roman"/>
                <w:sz w:val="21"/>
                <w:szCs w:val="21"/>
                <w:vertAlign w:val="subscript"/>
                <w:lang w:val="en-US" w:eastAsia="zh-CN"/>
              </w:rPr>
              <w:t>t,d</w:t>
            </w:r>
            <w:r>
              <w:rPr>
                <w:rFonts w:hint="default" w:ascii="Times New Roman" w:hAnsi="Times New Roman" w:eastAsia="宋体" w:cs="Times New Roman"/>
                <w:sz w:val="21"/>
                <w:szCs w:val="21"/>
                <w:lang w:val="en-US" w:eastAsia="zh-CN"/>
              </w:rPr>
              <w:t xml:space="preserve"> ）</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214-2007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灰分(A</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212-2008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磷含量(P</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216-2003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氯含量(Cl</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3558-2014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砷含量(As</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3058-2019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汞含量(Hg</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16659-20</w:t>
            </w:r>
            <w:r>
              <w:rPr>
                <w:rFonts w:hint="eastAsia" w:ascii="Times New Roman" w:hAnsi="Times New Roman" w:eastAsia="宋体" w:cs="Times New Roman"/>
                <w:sz w:val="21"/>
                <w:szCs w:val="21"/>
                <w:lang w:val="en-US" w:eastAsia="zh-CN"/>
              </w:rPr>
              <w:t>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37"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c>
          <w:tcPr>
            <w:tcW w:w="4049"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氟含量(F</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GB/T 4633-2014</w:t>
            </w:r>
          </w:p>
        </w:tc>
      </w:tr>
    </w:tbl>
    <w:p>
      <w:pPr>
        <w:spacing w:line="440" w:lineRule="exact"/>
        <w:jc w:val="both"/>
        <w:rPr>
          <w:rFonts w:hint="eastAsia" w:ascii="Times New Roman" w:hAnsi="Times New Roman" w:eastAsia="黑体" w:cs="Times New Roman"/>
          <w:b/>
          <w:bCs/>
          <w:color w:val="000000"/>
          <w:szCs w:val="21"/>
          <w:lang w:eastAsia="zh-CN"/>
        </w:rPr>
      </w:pPr>
    </w:p>
    <w:p>
      <w:pPr>
        <w:spacing w:line="440" w:lineRule="exact"/>
        <w:jc w:val="center"/>
        <w:rPr>
          <w:rFonts w:hint="default" w:ascii="Times New Roman" w:hAnsi="Times New Roman" w:eastAsia="黑体" w:cs="Times New Roman"/>
          <w:b/>
          <w:bCs/>
          <w:color w:val="000000"/>
          <w:szCs w:val="21"/>
        </w:rPr>
      </w:pPr>
      <w:r>
        <w:rPr>
          <w:rFonts w:hint="eastAsia" w:ascii="Times New Roman" w:hAnsi="Times New Roman" w:eastAsia="黑体" w:cs="Times New Roman"/>
          <w:b/>
          <w:bCs/>
          <w:color w:val="000000"/>
          <w:szCs w:val="21"/>
        </w:rPr>
        <w:t>表</w:t>
      </w:r>
      <w:r>
        <w:rPr>
          <w:rFonts w:hint="eastAsia" w:ascii="Times New Roman" w:hAnsi="Times New Roman" w:eastAsia="黑体" w:cs="Times New Roman"/>
          <w:b/>
          <w:bCs/>
          <w:color w:val="000000"/>
          <w:szCs w:val="21"/>
          <w:lang w:val="en-US" w:eastAsia="zh-CN"/>
        </w:rPr>
        <w:t>3</w:t>
      </w:r>
      <w:r>
        <w:rPr>
          <w:rFonts w:hint="eastAsia" w:ascii="Times New Roman" w:hAnsi="Times New Roman" w:eastAsia="黑体" w:cs="Times New Roman"/>
          <w:b/>
          <w:bCs/>
          <w:color w:val="000000"/>
          <w:szCs w:val="21"/>
        </w:rPr>
        <w:t xml:space="preserve">  民用型煤</w:t>
      </w:r>
    </w:p>
    <w:tbl>
      <w:tblPr>
        <w:tblStyle w:val="29"/>
        <w:tblW w:w="8205" w:type="dxa"/>
        <w:tblInd w:w="4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0"/>
        <w:gridCol w:w="4062"/>
        <w:gridCol w:w="3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10" w:type="dxa"/>
            <w:noWrap w:val="0"/>
            <w:vAlign w:val="center"/>
          </w:tcPr>
          <w:p>
            <w:pPr>
              <w:spacing w:before="39" w:line="266" w:lineRule="exact"/>
              <w:jc w:val="center"/>
              <w:rPr>
                <w:rFonts w:hint="default" w:ascii="宋体" w:hAnsi="宋体" w:eastAsia="宋体" w:cs="宋体"/>
                <w:b w:val="0"/>
                <w:bCs w:val="0"/>
                <w:spacing w:val="18"/>
                <w:position w:val="1"/>
                <w:sz w:val="21"/>
                <w:szCs w:val="21"/>
                <w:lang w:val="en-US" w:eastAsia="zh-CN"/>
              </w:rPr>
            </w:pPr>
            <w:r>
              <w:rPr>
                <w:rFonts w:hint="default" w:ascii="宋体" w:hAnsi="宋体" w:eastAsia="宋体" w:cs="宋体"/>
                <w:b w:val="0"/>
                <w:bCs w:val="0"/>
                <w:spacing w:val="18"/>
                <w:position w:val="1"/>
                <w:sz w:val="21"/>
                <w:szCs w:val="21"/>
                <w:lang w:val="en-US" w:eastAsia="zh-CN"/>
              </w:rPr>
              <w:t>序号</w:t>
            </w:r>
          </w:p>
        </w:tc>
        <w:tc>
          <w:tcPr>
            <w:tcW w:w="4062" w:type="dxa"/>
            <w:noWrap w:val="0"/>
            <w:vAlign w:val="center"/>
          </w:tcPr>
          <w:p>
            <w:pPr>
              <w:spacing w:before="39" w:line="266" w:lineRule="exact"/>
              <w:jc w:val="center"/>
              <w:rPr>
                <w:rFonts w:hint="default" w:ascii="宋体" w:hAnsi="宋体" w:eastAsia="宋体" w:cs="宋体"/>
                <w:b w:val="0"/>
                <w:bCs w:val="0"/>
                <w:spacing w:val="18"/>
                <w:position w:val="1"/>
                <w:sz w:val="21"/>
                <w:szCs w:val="21"/>
                <w:lang w:val="en-US" w:eastAsia="zh-CN"/>
              </w:rPr>
            </w:pPr>
            <w:r>
              <w:rPr>
                <w:rFonts w:hint="default" w:ascii="宋体" w:hAnsi="宋体" w:eastAsia="宋体" w:cs="宋体"/>
                <w:b w:val="0"/>
                <w:bCs w:val="0"/>
                <w:spacing w:val="18"/>
                <w:position w:val="1"/>
                <w:sz w:val="21"/>
                <w:szCs w:val="21"/>
                <w:lang w:val="en-US" w:eastAsia="zh-CN"/>
              </w:rPr>
              <w:t>检验项目</w:t>
            </w:r>
          </w:p>
        </w:tc>
        <w:tc>
          <w:tcPr>
            <w:tcW w:w="3233" w:type="dxa"/>
            <w:noWrap w:val="0"/>
            <w:vAlign w:val="center"/>
          </w:tcPr>
          <w:p>
            <w:pPr>
              <w:spacing w:before="39" w:line="266" w:lineRule="exact"/>
              <w:jc w:val="center"/>
              <w:rPr>
                <w:rFonts w:hint="default" w:ascii="宋体" w:hAnsi="宋体" w:eastAsia="宋体" w:cs="宋体"/>
                <w:b w:val="0"/>
                <w:bCs w:val="0"/>
                <w:spacing w:val="18"/>
                <w:position w:val="1"/>
                <w:sz w:val="21"/>
                <w:szCs w:val="21"/>
                <w:lang w:val="en-US" w:eastAsia="zh-CN"/>
              </w:rPr>
            </w:pPr>
            <w:r>
              <w:rPr>
                <w:rFonts w:hint="default" w:ascii="宋体" w:hAnsi="宋体" w:eastAsia="宋体" w:cs="宋体"/>
                <w:b w:val="0"/>
                <w:bCs w:val="0"/>
                <w:spacing w:val="18"/>
                <w:position w:val="1"/>
                <w:sz w:val="21"/>
                <w:szCs w:val="21"/>
                <w:lang w:val="en-US" w:eastAsia="zh-CN"/>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全硫（S</w:t>
            </w:r>
            <w:r>
              <w:rPr>
                <w:rFonts w:hint="default" w:ascii="Times New Roman" w:hAnsi="Times New Roman" w:eastAsia="宋体" w:cs="Times New Roman"/>
                <w:sz w:val="21"/>
                <w:szCs w:val="21"/>
                <w:vertAlign w:val="subscript"/>
                <w:lang w:val="en-US" w:eastAsia="zh-CN"/>
              </w:rPr>
              <w:t>t,d</w:t>
            </w:r>
            <w:r>
              <w:rPr>
                <w:rFonts w:hint="default" w:ascii="Times New Roman" w:hAnsi="Times New Roman" w:eastAsia="宋体" w:cs="Times New Roman"/>
                <w:sz w:val="21"/>
                <w:szCs w:val="21"/>
                <w:lang w:val="en-US" w:eastAsia="zh-CN"/>
              </w:rPr>
              <w:t xml:space="preserve"> ）</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214-2007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发热量(Qgr,</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213-2008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磷含量(P</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216-2003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氯含量(Cl</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3558-2014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砷含量(As</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3058-2019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10" w:type="dxa"/>
            <w:noWrap w:val="0"/>
            <w:vAlign w:val="center"/>
          </w:tcPr>
          <w:p>
            <w:pPr>
              <w:spacing w:line="48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w:t>
            </w:r>
          </w:p>
        </w:tc>
        <w:tc>
          <w:tcPr>
            <w:tcW w:w="4062"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汞含量(Hg</w:t>
            </w:r>
            <w:r>
              <w:rPr>
                <w:rFonts w:hint="default" w:ascii="Times New Roman" w:hAnsi="Times New Roman" w:eastAsia="宋体" w:cs="Times New Roman"/>
                <w:sz w:val="21"/>
                <w:szCs w:val="21"/>
                <w:vertAlign w:val="subscript"/>
                <w:lang w:val="en-US" w:eastAsia="zh-CN"/>
              </w:rPr>
              <w:t>d</w:t>
            </w:r>
            <w:r>
              <w:rPr>
                <w:rFonts w:hint="default" w:ascii="Times New Roman" w:hAnsi="Times New Roman" w:eastAsia="宋体" w:cs="Times New Roman"/>
                <w:sz w:val="21"/>
                <w:szCs w:val="21"/>
                <w:lang w:val="en-US" w:eastAsia="zh-CN"/>
              </w:rPr>
              <w:t>)</w:t>
            </w:r>
          </w:p>
        </w:tc>
        <w:tc>
          <w:tcPr>
            <w:tcW w:w="3233" w:type="dxa"/>
            <w:noWrap w:val="0"/>
            <w:vAlign w:val="center"/>
          </w:tcPr>
          <w:p>
            <w:pPr>
              <w:spacing w:line="48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GB/T 16659-2</w:t>
            </w:r>
            <w:r>
              <w:rPr>
                <w:rFonts w:hint="eastAsia" w:ascii="Times New Roman" w:hAnsi="Times New Roman" w:eastAsia="宋体" w:cs="Times New Roman"/>
                <w:sz w:val="21"/>
                <w:szCs w:val="21"/>
                <w:lang w:val="en-US" w:eastAsia="zh-CN"/>
              </w:rPr>
              <w:t>024</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rPr>
      </w:pPr>
      <w:bookmarkStart w:id="0" w:name="_Hlk32567754"/>
      <w:r>
        <w:rPr>
          <w:rFonts w:hint="eastAsia"/>
        </w:rPr>
        <w:t>GB 34169-2017《商品煤质量 民用散煤》</w:t>
      </w:r>
    </w:p>
    <w:p>
      <w:pPr>
        <w:spacing w:line="440" w:lineRule="exact"/>
        <w:ind w:firstLine="420" w:firstLineChars="200"/>
        <w:rPr>
          <w:rFonts w:hint="eastAsia"/>
        </w:rPr>
      </w:pPr>
      <w:r>
        <w:rPr>
          <w:rFonts w:hint="eastAsia"/>
        </w:rPr>
        <w:t>GB 34170-2017《商品煤质量 民用型煤》</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1113"/>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4FD3"/>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45B11"/>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325D"/>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B672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078C"/>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DB3F34"/>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8E630C"/>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CA3694D"/>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77F91B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 w:type="table" w:customStyle="1" w:styleId="2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860</Words>
  <Characters>1088</Characters>
  <Lines>5</Lines>
  <Paragraphs>1</Paragraphs>
  <TotalTime>2</TotalTime>
  <ScaleCrop>false</ScaleCrop>
  <LinksUpToDate>false</LinksUpToDate>
  <CharactersWithSpaces>1110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2026-07-21T14:38:00Z</dcterms:created>
  <dc:creator>Legend User</dc:creator>
  <cp:lastModifiedBy> </cp:lastModifiedBy>
  <cp:lastPrinted>2020-10-08T10:52:00Z</cp:lastPrinted>
  <dcterms:modified xsi:type="dcterms:W3CDTF">2026-07-22T11:50:37Z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41DEBC7BB9A741679E029F1DFE2918BF_13</vt:lpwstr>
  </property>
  <property fmtid="{D5CDD505-2E9C-101B-9397-08002B2CF9AE}" pid="4" name="KSOTemplateDocerSaveRecord">
    <vt:lpwstr>eyJoZGlkIjoiZjFmZWIzNDg2MmIzZjExOTIzMmViNTBmYTMwYTk0ZWYiLCJ1c2VySWQiOiIzOTg1Njg2NDcifQ==</vt:lpwstr>
  </property>
</Properties>
</file>