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2026年吐鲁番市</w:t>
      </w:r>
      <w:r>
        <w:rPr>
          <w:rFonts w:hint="eastAsia" w:asciiTheme="majorEastAsia" w:hAnsiTheme="majorEastAsia" w:eastAsiaTheme="majorEastAsia" w:cstheme="majorEastAsia"/>
          <w:b/>
          <w:bCs/>
          <w:color w:val="000000"/>
          <w:sz w:val="32"/>
          <w:szCs w:val="32"/>
          <w:lang w:val="en-US" w:eastAsia="zh-CN"/>
        </w:rPr>
        <w:t>室内加热器</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heme="minorEastAsia" w:hAnsiTheme="minorEastAsia" w:eastAsiaTheme="minorEastAsia"/>
          <w:kern w:val="0"/>
          <w:sz w:val="18"/>
          <w:szCs w:val="18"/>
        </w:rPr>
      </w:pPr>
      <w:r>
        <w:rPr>
          <w:color w:val="000000"/>
          <w:szCs w:val="21"/>
        </w:rPr>
        <w:t>每批次产品抽取</w:t>
      </w:r>
      <w:r>
        <w:rPr>
          <w:rFonts w:hint="eastAsia"/>
          <w:color w:val="000000"/>
          <w:szCs w:val="21"/>
          <w:lang w:val="en-US" w:eastAsia="zh-CN"/>
        </w:rPr>
        <w:t>样品2台，其中检样1台，备样1台。</w:t>
      </w: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1</w:t>
      </w:r>
      <w:r>
        <w:rPr>
          <w:rFonts w:hint="eastAsia" w:hAnsi="宋体" w:cs="宋体"/>
          <w:szCs w:val="21"/>
        </w:rPr>
        <w:t>。</w:t>
      </w:r>
    </w:p>
    <w:p>
      <w:pPr>
        <w:tabs>
          <w:tab w:val="left" w:pos="1701"/>
          <w:tab w:val="left" w:pos="2268"/>
        </w:tabs>
        <w:snapToGrid w:val="0"/>
        <w:spacing w:line="440" w:lineRule="exact"/>
        <w:jc w:val="center"/>
        <w:rPr>
          <w:rFonts w:hint="default" w:eastAsia="宋体"/>
          <w:color w:val="000000"/>
          <w:szCs w:val="21"/>
          <w:lang w:val="en-US" w:eastAsia="zh-CN"/>
        </w:rPr>
      </w:pPr>
      <w:r>
        <w:rPr>
          <w:rFonts w:hint="eastAsia" w:ascii="Times New Roman" w:hAnsi="Times New Roman" w:eastAsia="宋体" w:cs="Times New Roman"/>
          <w:b/>
          <w:bCs/>
          <w:color w:val="auto"/>
          <w:szCs w:val="21"/>
          <w:lang w:val="en-US" w:eastAsia="zh-CN"/>
        </w:rPr>
        <w:t>表</w:t>
      </w:r>
      <w:r>
        <w:rPr>
          <w:rFonts w:hint="eastAsia" w:eastAsia="宋体" w:cs="Times New Roman"/>
          <w:b/>
          <w:bCs/>
          <w:color w:val="auto"/>
          <w:szCs w:val="21"/>
          <w:lang w:val="en-US" w:eastAsia="zh-CN"/>
        </w:rPr>
        <w:t>1</w:t>
      </w:r>
      <w:r>
        <w:rPr>
          <w:rFonts w:hint="eastAsia"/>
          <w:b/>
          <w:bCs/>
          <w:color w:val="000000"/>
          <w:szCs w:val="21"/>
        </w:rPr>
        <w:t>室内加热器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4110"/>
        <w:gridCol w:w="3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default" w:eastAsia="宋体"/>
                <w:color w:val="000000"/>
                <w:szCs w:val="21"/>
                <w:vertAlign w:val="baseline"/>
                <w:lang w:val="en-US" w:eastAsia="zh-CN"/>
              </w:rPr>
            </w:pPr>
            <w:r>
              <w:rPr>
                <w:color w:val="000000"/>
                <w:szCs w:val="21"/>
              </w:rPr>
              <w:t>序号</w:t>
            </w:r>
          </w:p>
        </w:tc>
        <w:tc>
          <w:tcPr>
            <w:tcW w:w="4110" w:type="dxa"/>
            <w:noWrap w:val="0"/>
            <w:vAlign w:val="center"/>
          </w:tcPr>
          <w:p>
            <w:pPr>
              <w:snapToGrid w:val="0"/>
              <w:spacing w:line="440" w:lineRule="exact"/>
              <w:jc w:val="center"/>
              <w:rPr>
                <w:rFonts w:hint="default" w:eastAsia="宋体"/>
                <w:color w:val="000000"/>
                <w:szCs w:val="21"/>
                <w:vertAlign w:val="baseline"/>
                <w:lang w:val="en-US" w:eastAsia="zh-CN"/>
              </w:rPr>
            </w:pPr>
            <w:r>
              <w:rPr>
                <w:color w:val="000000"/>
                <w:szCs w:val="21"/>
              </w:rPr>
              <w:t>检验项目</w:t>
            </w:r>
          </w:p>
        </w:tc>
        <w:tc>
          <w:tcPr>
            <w:tcW w:w="3473" w:type="dxa"/>
            <w:noWrap w:val="0"/>
            <w:vAlign w:val="center"/>
          </w:tcPr>
          <w:p>
            <w:pPr>
              <w:snapToGrid w:val="0"/>
              <w:spacing w:line="440" w:lineRule="exact"/>
              <w:jc w:val="center"/>
              <w:rPr>
                <w:rFonts w:hint="default" w:eastAsia="宋体"/>
                <w:color w:val="000000"/>
                <w:szCs w:val="21"/>
                <w:vertAlign w:val="baseline"/>
                <w:lang w:val="en-US" w:eastAsia="zh-CN"/>
              </w:rPr>
            </w:pPr>
            <w:r>
              <w:rPr>
                <w:rFonts w:hint="eastAsia"/>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default" w:eastAsia="宋体"/>
                <w:color w:val="000000"/>
                <w:szCs w:val="21"/>
                <w:vertAlign w:val="baseline"/>
                <w:lang w:val="en-US" w:eastAsia="zh-CN"/>
              </w:rPr>
            </w:pPr>
            <w:r>
              <w:rPr>
                <w:rFonts w:hint="eastAsia"/>
                <w:color w:val="000000"/>
                <w:szCs w:val="21"/>
                <w:vertAlign w:val="baseline"/>
                <w:lang w:val="en-US" w:eastAsia="zh-CN"/>
              </w:rPr>
              <w:t>1</w:t>
            </w:r>
          </w:p>
        </w:tc>
        <w:tc>
          <w:tcPr>
            <w:tcW w:w="4110" w:type="dxa"/>
            <w:noWrap w:val="0"/>
            <w:vAlign w:val="center"/>
          </w:tcPr>
          <w:p>
            <w:pPr>
              <w:keepNext w:val="0"/>
              <w:keepLines w:val="0"/>
              <w:widowControl/>
              <w:suppressLineNumbers w:val="0"/>
              <w:jc w:val="center"/>
              <w:textAlignment w:val="center"/>
              <w:rPr>
                <w:rFonts w:hint="eastAsia" w:ascii="Times New Roman" w:hAnsi="Times New Roman" w:eastAsia="宋体"/>
                <w:color w:val="auto"/>
                <w:kern w:val="2"/>
                <w:sz w:val="21"/>
                <w:szCs w:val="24"/>
                <w:lang w:val="en-US" w:eastAsia="zh-CN" w:bidi="ar-SA"/>
              </w:rPr>
            </w:pPr>
            <w:r>
              <w:rPr>
                <w:rFonts w:hint="eastAsia" w:ascii="宋体" w:hAnsi="宋体" w:eastAsia="宋体" w:cs="宋体"/>
                <w:i w:val="0"/>
                <w:iCs w:val="0"/>
                <w:color w:val="auto"/>
                <w:kern w:val="0"/>
                <w:sz w:val="20"/>
                <w:szCs w:val="20"/>
                <w:u w:val="none"/>
                <w:lang w:val="en-US" w:eastAsia="zh-CN" w:bidi="ar"/>
              </w:rPr>
              <w:t>对触及带电部件的防护</w:t>
            </w:r>
          </w:p>
        </w:tc>
        <w:tc>
          <w:tcPr>
            <w:tcW w:w="3473" w:type="dxa"/>
            <w:noWrap w:val="0"/>
            <w:vAlign w:val="center"/>
          </w:tcPr>
          <w:p>
            <w:pPr>
              <w:snapToGrid w:val="0"/>
              <w:spacing w:line="300" w:lineRule="exact"/>
              <w:jc w:val="center"/>
              <w:rPr>
                <w:color w:val="auto"/>
                <w:szCs w:val="21"/>
              </w:rPr>
            </w:pPr>
            <w:r>
              <w:rPr>
                <w:color w:val="auto"/>
                <w:szCs w:val="21"/>
              </w:rPr>
              <w:t>GB 4706.1—2005</w:t>
            </w:r>
          </w:p>
          <w:p>
            <w:pPr>
              <w:snapToGrid w:val="0"/>
              <w:spacing w:line="300" w:lineRule="exact"/>
              <w:jc w:val="center"/>
              <w:rPr>
                <w:color w:val="auto"/>
                <w:szCs w:val="21"/>
              </w:rPr>
            </w:pPr>
            <w:r>
              <w:rPr>
                <w:color w:val="auto"/>
                <w:szCs w:val="21"/>
              </w:rPr>
              <w:t>GB 4706.23—2007</w:t>
            </w:r>
          </w:p>
          <w:p>
            <w:pPr>
              <w:snapToGrid w:val="0"/>
              <w:spacing w:line="300" w:lineRule="exact"/>
              <w:jc w:val="center"/>
              <w:rPr>
                <w:rFonts w:hint="eastAsia"/>
                <w:color w:val="auto"/>
                <w:szCs w:val="21"/>
              </w:rPr>
            </w:pPr>
            <w:r>
              <w:rPr>
                <w:color w:val="auto"/>
                <w:szCs w:val="21"/>
              </w:rPr>
              <w:t>GB</w:t>
            </w:r>
            <w:r>
              <w:rPr>
                <w:rFonts w:hint="eastAsia"/>
                <w:color w:val="auto"/>
                <w:szCs w:val="21"/>
              </w:rPr>
              <w:t>/T</w:t>
            </w:r>
            <w:r>
              <w:rPr>
                <w:color w:val="auto"/>
                <w:szCs w:val="21"/>
              </w:rPr>
              <w:t xml:space="preserve"> 4706.1—20</w:t>
            </w:r>
            <w:r>
              <w:rPr>
                <w:rFonts w:hint="eastAsia"/>
                <w:color w:val="auto"/>
                <w:szCs w:val="21"/>
              </w:rPr>
              <w:t>24</w:t>
            </w:r>
          </w:p>
          <w:p>
            <w:pPr>
              <w:snapToGrid w:val="0"/>
              <w:spacing w:line="300" w:lineRule="exact"/>
              <w:jc w:val="center"/>
              <w:rPr>
                <w:rFonts w:hint="default" w:ascii="Times New Roman" w:hAnsi="Times New Roman" w:eastAsia="宋体"/>
                <w:color w:val="auto"/>
                <w:kern w:val="2"/>
                <w:sz w:val="21"/>
                <w:szCs w:val="24"/>
                <w:lang w:val="en-US" w:eastAsia="zh-CN" w:bidi="ar-SA"/>
              </w:rPr>
            </w:pPr>
            <w:r>
              <w:rPr>
                <w:color w:val="auto"/>
                <w:szCs w:val="21"/>
              </w:rPr>
              <w:t>GB</w:t>
            </w:r>
            <w:r>
              <w:rPr>
                <w:rFonts w:hint="eastAsia"/>
                <w:color w:val="auto"/>
                <w:szCs w:val="21"/>
              </w:rPr>
              <w:t>/T</w:t>
            </w:r>
            <w:r>
              <w:rPr>
                <w:color w:val="auto"/>
                <w:szCs w:val="21"/>
              </w:rPr>
              <w:t xml:space="preserve"> 4706.23—20</w:t>
            </w:r>
            <w:r>
              <w:rPr>
                <w:rFonts w:hint="eastAsia"/>
                <w:color w:val="auto"/>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Times New Roman" w:hAnsi="Times New Roman" w:eastAsia="宋体" w:cs="Times New Roman"/>
                <w:color w:val="000000"/>
                <w:kern w:val="2"/>
                <w:sz w:val="21"/>
                <w:szCs w:val="21"/>
                <w:vertAlign w:val="baseline"/>
                <w:lang w:val="en-US" w:eastAsia="zh-CN" w:bidi="ar-SA"/>
              </w:rPr>
            </w:pPr>
            <w:r>
              <w:rPr>
                <w:rFonts w:hint="eastAsia"/>
                <w:color w:val="000000"/>
                <w:szCs w:val="21"/>
                <w:vertAlign w:val="baseline"/>
                <w:lang w:val="en-US" w:eastAsia="zh-CN"/>
              </w:rPr>
              <w:t>2</w:t>
            </w:r>
          </w:p>
        </w:tc>
        <w:tc>
          <w:tcPr>
            <w:tcW w:w="4110" w:type="dxa"/>
            <w:noWrap w:val="0"/>
            <w:vAlign w:val="center"/>
          </w:tcPr>
          <w:p>
            <w:pPr>
              <w:keepNext w:val="0"/>
              <w:keepLines w:val="0"/>
              <w:widowControl/>
              <w:suppressLineNumbers w:val="0"/>
              <w:jc w:val="center"/>
              <w:textAlignment w:val="center"/>
              <w:rPr>
                <w:rFonts w:hint="default" w:eastAsia="宋体"/>
                <w:color w:val="auto"/>
                <w:lang w:val="en-US" w:eastAsia="zh-CN"/>
              </w:rPr>
            </w:pPr>
            <w:r>
              <w:rPr>
                <w:rFonts w:hint="eastAsia" w:ascii="宋体" w:hAnsi="宋体" w:eastAsia="宋体" w:cs="宋体"/>
                <w:i w:val="0"/>
                <w:iCs w:val="0"/>
                <w:color w:val="auto"/>
                <w:kern w:val="0"/>
                <w:sz w:val="20"/>
                <w:szCs w:val="20"/>
                <w:u w:val="none"/>
                <w:lang w:val="en-US" w:eastAsia="zh-CN" w:bidi="ar"/>
              </w:rPr>
              <w:t>输入功率和电流</w:t>
            </w:r>
          </w:p>
        </w:tc>
        <w:tc>
          <w:tcPr>
            <w:tcW w:w="3473" w:type="dxa"/>
            <w:noWrap w:val="0"/>
            <w:vAlign w:val="center"/>
          </w:tcPr>
          <w:p>
            <w:pPr>
              <w:snapToGrid w:val="0"/>
              <w:spacing w:line="300" w:lineRule="exact"/>
              <w:jc w:val="center"/>
              <w:rPr>
                <w:color w:val="auto"/>
                <w:szCs w:val="21"/>
              </w:rPr>
            </w:pPr>
            <w:r>
              <w:rPr>
                <w:color w:val="auto"/>
                <w:szCs w:val="21"/>
              </w:rPr>
              <w:t>GB 4706.1—2005</w:t>
            </w:r>
          </w:p>
          <w:p>
            <w:pPr>
              <w:snapToGrid w:val="0"/>
              <w:spacing w:line="300" w:lineRule="exact"/>
              <w:jc w:val="center"/>
              <w:rPr>
                <w:color w:val="auto"/>
                <w:szCs w:val="21"/>
              </w:rPr>
            </w:pPr>
            <w:r>
              <w:rPr>
                <w:color w:val="auto"/>
                <w:szCs w:val="21"/>
              </w:rPr>
              <w:t>GB 4706.23—2007</w:t>
            </w:r>
          </w:p>
          <w:p>
            <w:pPr>
              <w:snapToGrid w:val="0"/>
              <w:spacing w:line="300" w:lineRule="exact"/>
              <w:jc w:val="center"/>
              <w:rPr>
                <w:rFonts w:hint="eastAsia"/>
                <w:color w:val="auto"/>
                <w:szCs w:val="21"/>
              </w:rPr>
            </w:pPr>
            <w:r>
              <w:rPr>
                <w:color w:val="auto"/>
                <w:szCs w:val="21"/>
              </w:rPr>
              <w:t>GB</w:t>
            </w:r>
            <w:r>
              <w:rPr>
                <w:rFonts w:hint="eastAsia"/>
                <w:color w:val="auto"/>
                <w:szCs w:val="21"/>
              </w:rPr>
              <w:t>/T</w:t>
            </w:r>
            <w:r>
              <w:rPr>
                <w:color w:val="auto"/>
                <w:szCs w:val="21"/>
              </w:rPr>
              <w:t xml:space="preserve"> 4706.1—20</w:t>
            </w:r>
            <w:r>
              <w:rPr>
                <w:rFonts w:hint="eastAsia"/>
                <w:color w:val="auto"/>
                <w:szCs w:val="21"/>
              </w:rPr>
              <w:t>24</w:t>
            </w:r>
          </w:p>
          <w:p>
            <w:pPr>
              <w:snapToGrid w:val="0"/>
              <w:spacing w:line="300" w:lineRule="exact"/>
              <w:jc w:val="center"/>
              <w:rPr>
                <w:rFonts w:hint="default" w:eastAsia="宋体"/>
                <w:color w:val="auto"/>
                <w:lang w:val="en-US" w:eastAsia="zh-CN"/>
              </w:rPr>
            </w:pPr>
            <w:r>
              <w:rPr>
                <w:color w:val="auto"/>
                <w:szCs w:val="21"/>
              </w:rPr>
              <w:t>GB</w:t>
            </w:r>
            <w:r>
              <w:rPr>
                <w:rFonts w:hint="eastAsia"/>
                <w:color w:val="auto"/>
                <w:szCs w:val="21"/>
              </w:rPr>
              <w:t>/T</w:t>
            </w:r>
            <w:r>
              <w:rPr>
                <w:color w:val="auto"/>
                <w:szCs w:val="21"/>
              </w:rPr>
              <w:t xml:space="preserve"> 4706.23—20</w:t>
            </w:r>
            <w:r>
              <w:rPr>
                <w:rFonts w:hint="eastAsia"/>
                <w:color w:val="auto"/>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9" w:type="dxa"/>
            <w:noWrap w:val="0"/>
            <w:vAlign w:val="center"/>
          </w:tcPr>
          <w:p>
            <w:pPr>
              <w:snapToGrid w:val="0"/>
              <w:spacing w:line="440" w:lineRule="exact"/>
              <w:jc w:val="center"/>
              <w:rPr>
                <w:rFonts w:hint="eastAsia" w:ascii="Times New Roman" w:hAnsi="Times New Roman" w:eastAsia="宋体" w:cs="Times New Roman"/>
                <w:color w:val="000000"/>
                <w:kern w:val="2"/>
                <w:sz w:val="21"/>
                <w:szCs w:val="21"/>
                <w:vertAlign w:val="baseline"/>
                <w:lang w:val="en-US" w:eastAsia="zh-CN" w:bidi="ar-SA"/>
              </w:rPr>
            </w:pPr>
            <w:r>
              <w:rPr>
                <w:rFonts w:hint="eastAsia"/>
                <w:color w:val="000000"/>
                <w:szCs w:val="21"/>
                <w:vertAlign w:val="baseline"/>
                <w:lang w:val="en-US" w:eastAsia="zh-CN"/>
              </w:rPr>
              <w:t>3</w:t>
            </w:r>
          </w:p>
        </w:tc>
        <w:tc>
          <w:tcPr>
            <w:tcW w:w="4110" w:type="dxa"/>
            <w:noWrap w:val="0"/>
            <w:vAlign w:val="center"/>
          </w:tcPr>
          <w:p>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发热</w:t>
            </w:r>
          </w:p>
        </w:tc>
        <w:tc>
          <w:tcPr>
            <w:tcW w:w="3473" w:type="dxa"/>
            <w:noWrap w:val="0"/>
            <w:vAlign w:val="center"/>
          </w:tcPr>
          <w:p>
            <w:pPr>
              <w:snapToGrid w:val="0"/>
              <w:spacing w:line="300" w:lineRule="exact"/>
              <w:jc w:val="center"/>
              <w:rPr>
                <w:color w:val="auto"/>
                <w:szCs w:val="21"/>
              </w:rPr>
            </w:pPr>
            <w:r>
              <w:rPr>
                <w:color w:val="auto"/>
                <w:szCs w:val="21"/>
              </w:rPr>
              <w:t>GB 4706.1—2005</w:t>
            </w:r>
          </w:p>
          <w:p>
            <w:pPr>
              <w:snapToGrid w:val="0"/>
              <w:spacing w:line="300" w:lineRule="exact"/>
              <w:jc w:val="center"/>
              <w:rPr>
                <w:color w:val="auto"/>
                <w:szCs w:val="21"/>
              </w:rPr>
            </w:pPr>
            <w:r>
              <w:rPr>
                <w:color w:val="auto"/>
                <w:szCs w:val="21"/>
              </w:rPr>
              <w:t>GB 4706.23—2007</w:t>
            </w:r>
          </w:p>
          <w:p>
            <w:pPr>
              <w:snapToGrid w:val="0"/>
              <w:spacing w:line="300" w:lineRule="exact"/>
              <w:jc w:val="center"/>
              <w:rPr>
                <w:rFonts w:hint="eastAsia"/>
                <w:color w:val="auto"/>
                <w:szCs w:val="21"/>
              </w:rPr>
            </w:pPr>
            <w:r>
              <w:rPr>
                <w:color w:val="auto"/>
                <w:szCs w:val="21"/>
              </w:rPr>
              <w:t>GB</w:t>
            </w:r>
            <w:r>
              <w:rPr>
                <w:rFonts w:hint="eastAsia"/>
                <w:color w:val="auto"/>
                <w:szCs w:val="21"/>
              </w:rPr>
              <w:t>/T</w:t>
            </w:r>
            <w:r>
              <w:rPr>
                <w:color w:val="auto"/>
                <w:szCs w:val="21"/>
              </w:rPr>
              <w:t xml:space="preserve"> 4706.1—20</w:t>
            </w:r>
            <w:r>
              <w:rPr>
                <w:rFonts w:hint="eastAsia"/>
                <w:color w:val="auto"/>
                <w:szCs w:val="21"/>
              </w:rPr>
              <w:t>24</w:t>
            </w:r>
          </w:p>
          <w:p>
            <w:pPr>
              <w:snapToGrid w:val="0"/>
              <w:spacing w:line="300" w:lineRule="exact"/>
              <w:jc w:val="center"/>
              <w:rPr>
                <w:color w:val="auto"/>
              </w:rPr>
            </w:pPr>
            <w:r>
              <w:rPr>
                <w:color w:val="auto"/>
                <w:szCs w:val="21"/>
              </w:rPr>
              <w:t>GB</w:t>
            </w:r>
            <w:r>
              <w:rPr>
                <w:rFonts w:hint="eastAsia"/>
                <w:color w:val="auto"/>
                <w:szCs w:val="21"/>
              </w:rPr>
              <w:t>/T</w:t>
            </w:r>
            <w:r>
              <w:rPr>
                <w:color w:val="auto"/>
                <w:szCs w:val="21"/>
              </w:rPr>
              <w:t xml:space="preserve"> 4706.23—20</w:t>
            </w:r>
            <w:r>
              <w:rPr>
                <w:rFonts w:hint="eastAsia"/>
                <w:color w:val="auto"/>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Times New Roman" w:hAnsi="Times New Roman" w:eastAsia="宋体" w:cs="Times New Roman"/>
                <w:color w:val="000000"/>
                <w:kern w:val="2"/>
                <w:sz w:val="21"/>
                <w:szCs w:val="21"/>
                <w:vertAlign w:val="baseline"/>
                <w:lang w:val="en-US" w:eastAsia="zh-CN" w:bidi="ar-SA"/>
              </w:rPr>
            </w:pPr>
            <w:r>
              <w:rPr>
                <w:rFonts w:hint="eastAsia"/>
                <w:color w:val="000000"/>
                <w:szCs w:val="21"/>
                <w:vertAlign w:val="baseline"/>
                <w:lang w:val="en-US" w:eastAsia="zh-CN"/>
              </w:rPr>
              <w:t>4</w:t>
            </w:r>
          </w:p>
        </w:tc>
        <w:tc>
          <w:tcPr>
            <w:tcW w:w="4110" w:type="dxa"/>
            <w:noWrap w:val="0"/>
            <w:vAlign w:val="center"/>
          </w:tcPr>
          <w:p>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工作温度下的泄漏电流和电气强度</w:t>
            </w:r>
          </w:p>
        </w:tc>
        <w:tc>
          <w:tcPr>
            <w:tcW w:w="3473" w:type="dxa"/>
            <w:noWrap w:val="0"/>
            <w:vAlign w:val="center"/>
          </w:tcPr>
          <w:p>
            <w:pPr>
              <w:snapToGrid w:val="0"/>
              <w:spacing w:line="300" w:lineRule="exact"/>
              <w:jc w:val="center"/>
              <w:rPr>
                <w:color w:val="auto"/>
                <w:szCs w:val="21"/>
              </w:rPr>
            </w:pPr>
            <w:r>
              <w:rPr>
                <w:color w:val="auto"/>
                <w:szCs w:val="21"/>
              </w:rPr>
              <w:t>GB 4706.1—2005</w:t>
            </w:r>
          </w:p>
          <w:p>
            <w:pPr>
              <w:snapToGrid w:val="0"/>
              <w:spacing w:line="300" w:lineRule="exact"/>
              <w:jc w:val="center"/>
              <w:rPr>
                <w:color w:val="auto"/>
                <w:szCs w:val="21"/>
              </w:rPr>
            </w:pPr>
            <w:r>
              <w:rPr>
                <w:color w:val="auto"/>
                <w:szCs w:val="21"/>
              </w:rPr>
              <w:t>GB 4706.23—2007</w:t>
            </w:r>
          </w:p>
          <w:p>
            <w:pPr>
              <w:snapToGrid w:val="0"/>
              <w:spacing w:line="300" w:lineRule="exact"/>
              <w:jc w:val="center"/>
              <w:rPr>
                <w:rFonts w:hint="eastAsia"/>
                <w:color w:val="auto"/>
                <w:szCs w:val="21"/>
              </w:rPr>
            </w:pPr>
            <w:r>
              <w:rPr>
                <w:color w:val="auto"/>
                <w:szCs w:val="21"/>
              </w:rPr>
              <w:t>GB</w:t>
            </w:r>
            <w:r>
              <w:rPr>
                <w:rFonts w:hint="eastAsia"/>
                <w:color w:val="auto"/>
                <w:szCs w:val="21"/>
              </w:rPr>
              <w:t>/T</w:t>
            </w:r>
            <w:r>
              <w:rPr>
                <w:color w:val="auto"/>
                <w:szCs w:val="21"/>
              </w:rPr>
              <w:t xml:space="preserve"> 4706.1—20</w:t>
            </w:r>
            <w:r>
              <w:rPr>
                <w:rFonts w:hint="eastAsia"/>
                <w:color w:val="auto"/>
                <w:szCs w:val="21"/>
              </w:rPr>
              <w:t>24</w:t>
            </w:r>
          </w:p>
          <w:p>
            <w:pPr>
              <w:snapToGrid w:val="0"/>
              <w:spacing w:line="300" w:lineRule="exact"/>
              <w:jc w:val="center"/>
              <w:rPr>
                <w:color w:val="auto"/>
              </w:rPr>
            </w:pPr>
            <w:r>
              <w:rPr>
                <w:color w:val="auto"/>
                <w:szCs w:val="21"/>
              </w:rPr>
              <w:t>GB</w:t>
            </w:r>
            <w:r>
              <w:rPr>
                <w:rFonts w:hint="eastAsia"/>
                <w:color w:val="auto"/>
                <w:szCs w:val="21"/>
              </w:rPr>
              <w:t>/T</w:t>
            </w:r>
            <w:r>
              <w:rPr>
                <w:color w:val="auto"/>
                <w:szCs w:val="21"/>
              </w:rPr>
              <w:t xml:space="preserve"> 4706.23—20</w:t>
            </w:r>
            <w:r>
              <w:rPr>
                <w:rFonts w:hint="eastAsia"/>
                <w:color w:val="auto"/>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Times New Roman" w:hAnsi="Times New Roman" w:eastAsia="宋体" w:cs="Times New Roman"/>
                <w:color w:val="000000"/>
                <w:kern w:val="2"/>
                <w:sz w:val="21"/>
                <w:szCs w:val="21"/>
                <w:vertAlign w:val="baseline"/>
                <w:lang w:val="en-US" w:eastAsia="zh-CN" w:bidi="ar-SA"/>
              </w:rPr>
            </w:pPr>
            <w:r>
              <w:rPr>
                <w:rFonts w:hint="eastAsia"/>
                <w:color w:val="000000"/>
                <w:szCs w:val="21"/>
                <w:vertAlign w:val="baseline"/>
                <w:lang w:val="en-US" w:eastAsia="zh-CN"/>
              </w:rPr>
              <w:t>5</w:t>
            </w:r>
          </w:p>
        </w:tc>
        <w:tc>
          <w:tcPr>
            <w:tcW w:w="4110" w:type="dxa"/>
            <w:noWrap w:val="0"/>
            <w:vAlign w:val="center"/>
          </w:tcPr>
          <w:p>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内部布线</w:t>
            </w:r>
          </w:p>
        </w:tc>
        <w:tc>
          <w:tcPr>
            <w:tcW w:w="3473" w:type="dxa"/>
            <w:noWrap w:val="0"/>
            <w:vAlign w:val="center"/>
          </w:tcPr>
          <w:p>
            <w:pPr>
              <w:snapToGrid w:val="0"/>
              <w:spacing w:line="300" w:lineRule="exact"/>
              <w:jc w:val="center"/>
              <w:rPr>
                <w:color w:val="auto"/>
                <w:szCs w:val="21"/>
              </w:rPr>
            </w:pPr>
            <w:r>
              <w:rPr>
                <w:color w:val="auto"/>
                <w:szCs w:val="21"/>
              </w:rPr>
              <w:t>GB 4706.1—2005</w:t>
            </w:r>
          </w:p>
          <w:p>
            <w:pPr>
              <w:snapToGrid w:val="0"/>
              <w:spacing w:line="300" w:lineRule="exact"/>
              <w:jc w:val="center"/>
              <w:rPr>
                <w:color w:val="auto"/>
                <w:szCs w:val="21"/>
              </w:rPr>
            </w:pPr>
            <w:r>
              <w:rPr>
                <w:color w:val="auto"/>
                <w:szCs w:val="21"/>
              </w:rPr>
              <w:t>GB 4706.23—2007</w:t>
            </w:r>
          </w:p>
          <w:p>
            <w:pPr>
              <w:snapToGrid w:val="0"/>
              <w:spacing w:line="300" w:lineRule="exact"/>
              <w:jc w:val="center"/>
              <w:rPr>
                <w:rFonts w:hint="eastAsia"/>
                <w:color w:val="auto"/>
                <w:szCs w:val="21"/>
              </w:rPr>
            </w:pPr>
            <w:r>
              <w:rPr>
                <w:color w:val="auto"/>
                <w:szCs w:val="21"/>
              </w:rPr>
              <w:t>GB</w:t>
            </w:r>
            <w:r>
              <w:rPr>
                <w:rFonts w:hint="eastAsia"/>
                <w:color w:val="auto"/>
                <w:szCs w:val="21"/>
              </w:rPr>
              <w:t>/T</w:t>
            </w:r>
            <w:r>
              <w:rPr>
                <w:color w:val="auto"/>
                <w:szCs w:val="21"/>
              </w:rPr>
              <w:t xml:space="preserve"> 4706.1—20</w:t>
            </w:r>
            <w:r>
              <w:rPr>
                <w:rFonts w:hint="eastAsia"/>
                <w:color w:val="auto"/>
                <w:szCs w:val="21"/>
              </w:rPr>
              <w:t>24</w:t>
            </w:r>
          </w:p>
          <w:p>
            <w:pPr>
              <w:snapToGrid w:val="0"/>
              <w:spacing w:line="300" w:lineRule="exact"/>
              <w:jc w:val="center"/>
              <w:rPr>
                <w:rFonts w:hint="default" w:eastAsia="宋体"/>
                <w:color w:val="auto"/>
                <w:lang w:val="en-US" w:eastAsia="zh-CN"/>
              </w:rPr>
            </w:pPr>
            <w:r>
              <w:rPr>
                <w:color w:val="auto"/>
                <w:szCs w:val="21"/>
              </w:rPr>
              <w:t>GB</w:t>
            </w:r>
            <w:r>
              <w:rPr>
                <w:rFonts w:hint="eastAsia"/>
                <w:color w:val="auto"/>
                <w:szCs w:val="21"/>
              </w:rPr>
              <w:t>/T</w:t>
            </w:r>
            <w:r>
              <w:rPr>
                <w:color w:val="auto"/>
                <w:szCs w:val="21"/>
              </w:rPr>
              <w:t xml:space="preserve"> 4706.23—20</w:t>
            </w:r>
            <w:r>
              <w:rPr>
                <w:rFonts w:hint="eastAsia"/>
                <w:color w:val="auto"/>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Times New Roman" w:hAnsi="Times New Roman" w:eastAsia="宋体" w:cs="Times New Roman"/>
                <w:color w:val="000000"/>
                <w:kern w:val="2"/>
                <w:sz w:val="21"/>
                <w:szCs w:val="21"/>
                <w:vertAlign w:val="baseline"/>
                <w:lang w:val="en-US" w:eastAsia="zh-CN" w:bidi="ar-SA"/>
              </w:rPr>
            </w:pPr>
            <w:r>
              <w:rPr>
                <w:rFonts w:hint="eastAsia"/>
                <w:color w:val="000000"/>
                <w:szCs w:val="21"/>
                <w:vertAlign w:val="baseline"/>
                <w:lang w:val="en-US" w:eastAsia="zh-CN"/>
              </w:rPr>
              <w:t>6</w:t>
            </w:r>
          </w:p>
        </w:tc>
        <w:tc>
          <w:tcPr>
            <w:tcW w:w="4110" w:type="dxa"/>
            <w:noWrap w:val="0"/>
            <w:vAlign w:val="center"/>
          </w:tcPr>
          <w:p>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稳定性和机械危险</w:t>
            </w:r>
          </w:p>
        </w:tc>
        <w:tc>
          <w:tcPr>
            <w:tcW w:w="3473" w:type="dxa"/>
            <w:noWrap w:val="0"/>
            <w:vAlign w:val="center"/>
          </w:tcPr>
          <w:p>
            <w:pPr>
              <w:snapToGrid w:val="0"/>
              <w:spacing w:line="300" w:lineRule="exact"/>
              <w:jc w:val="center"/>
              <w:rPr>
                <w:color w:val="auto"/>
                <w:szCs w:val="21"/>
              </w:rPr>
            </w:pPr>
            <w:r>
              <w:rPr>
                <w:color w:val="auto"/>
                <w:szCs w:val="21"/>
              </w:rPr>
              <w:t>GB 4706.1—2005</w:t>
            </w:r>
          </w:p>
          <w:p>
            <w:pPr>
              <w:snapToGrid w:val="0"/>
              <w:spacing w:line="300" w:lineRule="exact"/>
              <w:jc w:val="center"/>
              <w:rPr>
                <w:color w:val="auto"/>
                <w:szCs w:val="21"/>
              </w:rPr>
            </w:pPr>
            <w:r>
              <w:rPr>
                <w:color w:val="auto"/>
                <w:szCs w:val="21"/>
              </w:rPr>
              <w:t>GB 4706.23—2007</w:t>
            </w:r>
          </w:p>
          <w:p>
            <w:pPr>
              <w:snapToGrid w:val="0"/>
              <w:spacing w:line="300" w:lineRule="exact"/>
              <w:jc w:val="center"/>
              <w:rPr>
                <w:rFonts w:hint="eastAsia"/>
                <w:color w:val="auto"/>
                <w:szCs w:val="21"/>
              </w:rPr>
            </w:pPr>
            <w:r>
              <w:rPr>
                <w:color w:val="auto"/>
                <w:szCs w:val="21"/>
              </w:rPr>
              <w:t>GB</w:t>
            </w:r>
            <w:r>
              <w:rPr>
                <w:rFonts w:hint="eastAsia"/>
                <w:color w:val="auto"/>
                <w:szCs w:val="21"/>
              </w:rPr>
              <w:t>/T</w:t>
            </w:r>
            <w:r>
              <w:rPr>
                <w:color w:val="auto"/>
                <w:szCs w:val="21"/>
              </w:rPr>
              <w:t xml:space="preserve"> 4706.1—20</w:t>
            </w:r>
            <w:r>
              <w:rPr>
                <w:rFonts w:hint="eastAsia"/>
                <w:color w:val="auto"/>
                <w:szCs w:val="21"/>
              </w:rPr>
              <w:t>24</w:t>
            </w:r>
          </w:p>
          <w:p>
            <w:pPr>
              <w:snapToGrid w:val="0"/>
              <w:spacing w:line="300" w:lineRule="exact"/>
              <w:jc w:val="center"/>
              <w:rPr>
                <w:rFonts w:hint="eastAsia" w:eastAsia="宋体"/>
                <w:color w:val="auto"/>
                <w:lang w:eastAsia="zh-CN"/>
              </w:rPr>
            </w:pPr>
            <w:r>
              <w:rPr>
                <w:color w:val="auto"/>
                <w:szCs w:val="21"/>
              </w:rPr>
              <w:t>GB</w:t>
            </w:r>
            <w:r>
              <w:rPr>
                <w:rFonts w:hint="eastAsia"/>
                <w:color w:val="auto"/>
                <w:szCs w:val="21"/>
              </w:rPr>
              <w:t>/T</w:t>
            </w:r>
            <w:r>
              <w:rPr>
                <w:color w:val="auto"/>
                <w:szCs w:val="21"/>
              </w:rPr>
              <w:t xml:space="preserve"> 4706.23—20</w:t>
            </w:r>
            <w:r>
              <w:rPr>
                <w:rFonts w:hint="eastAsia"/>
                <w:color w:val="auto"/>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9" w:type="dxa"/>
            <w:noWrap w:val="0"/>
            <w:vAlign w:val="center"/>
          </w:tcPr>
          <w:p>
            <w:pPr>
              <w:snapToGrid w:val="0"/>
              <w:spacing w:line="440" w:lineRule="exact"/>
              <w:jc w:val="center"/>
              <w:rPr>
                <w:rFonts w:hint="eastAsia" w:ascii="Times New Roman" w:hAnsi="Times New Roman" w:eastAsia="宋体" w:cs="Times New Roman"/>
                <w:color w:val="000000"/>
                <w:kern w:val="2"/>
                <w:sz w:val="21"/>
                <w:szCs w:val="21"/>
                <w:vertAlign w:val="baseline"/>
                <w:lang w:val="en-US" w:eastAsia="zh-CN" w:bidi="ar-SA"/>
              </w:rPr>
            </w:pPr>
            <w:r>
              <w:rPr>
                <w:rFonts w:hint="eastAsia"/>
                <w:color w:val="000000"/>
                <w:szCs w:val="21"/>
                <w:vertAlign w:val="baseline"/>
                <w:lang w:val="en-US" w:eastAsia="zh-CN"/>
              </w:rPr>
              <w:t>7</w:t>
            </w:r>
          </w:p>
        </w:tc>
        <w:tc>
          <w:tcPr>
            <w:tcW w:w="4110" w:type="dxa"/>
            <w:noWrap w:val="0"/>
            <w:vAlign w:val="center"/>
          </w:tcPr>
          <w:p>
            <w:pPr>
              <w:keepNext w:val="0"/>
              <w:keepLines w:val="0"/>
              <w:widowControl/>
              <w:suppressLineNumbers w:val="0"/>
              <w:jc w:val="center"/>
              <w:textAlignment w:val="center"/>
              <w:rPr>
                <w:rFonts w:hint="default"/>
                <w:color w:val="auto"/>
                <w:lang w:val="en-US" w:eastAsia="zh-CN"/>
              </w:rPr>
            </w:pPr>
            <w:r>
              <w:rPr>
                <w:rFonts w:hint="eastAsia" w:ascii="宋体" w:hAnsi="宋体" w:eastAsia="宋体" w:cs="宋体"/>
                <w:i w:val="0"/>
                <w:iCs w:val="0"/>
                <w:color w:val="auto"/>
                <w:kern w:val="0"/>
                <w:sz w:val="20"/>
                <w:szCs w:val="20"/>
                <w:u w:val="none"/>
                <w:lang w:val="en-US" w:eastAsia="zh-CN" w:bidi="ar"/>
              </w:rPr>
              <w:t>电源连接和外部软线</w:t>
            </w:r>
          </w:p>
        </w:tc>
        <w:tc>
          <w:tcPr>
            <w:tcW w:w="3473" w:type="dxa"/>
            <w:noWrap w:val="0"/>
            <w:vAlign w:val="center"/>
          </w:tcPr>
          <w:p>
            <w:pPr>
              <w:snapToGrid w:val="0"/>
              <w:spacing w:line="300" w:lineRule="exact"/>
              <w:jc w:val="center"/>
              <w:rPr>
                <w:color w:val="auto"/>
                <w:szCs w:val="21"/>
              </w:rPr>
            </w:pPr>
            <w:r>
              <w:rPr>
                <w:color w:val="auto"/>
                <w:szCs w:val="21"/>
              </w:rPr>
              <w:t>GB 4706.1—2005</w:t>
            </w:r>
          </w:p>
          <w:p>
            <w:pPr>
              <w:snapToGrid w:val="0"/>
              <w:spacing w:line="300" w:lineRule="exact"/>
              <w:jc w:val="center"/>
              <w:rPr>
                <w:color w:val="auto"/>
                <w:szCs w:val="21"/>
              </w:rPr>
            </w:pPr>
            <w:r>
              <w:rPr>
                <w:color w:val="auto"/>
                <w:szCs w:val="21"/>
              </w:rPr>
              <w:t>GB 4706.23—2007</w:t>
            </w:r>
          </w:p>
          <w:p>
            <w:pPr>
              <w:snapToGrid w:val="0"/>
              <w:spacing w:line="300" w:lineRule="exact"/>
              <w:jc w:val="center"/>
              <w:rPr>
                <w:rFonts w:hint="eastAsia"/>
                <w:color w:val="auto"/>
                <w:szCs w:val="21"/>
              </w:rPr>
            </w:pPr>
            <w:r>
              <w:rPr>
                <w:color w:val="auto"/>
                <w:szCs w:val="21"/>
              </w:rPr>
              <w:t>GB</w:t>
            </w:r>
            <w:r>
              <w:rPr>
                <w:rFonts w:hint="eastAsia"/>
                <w:color w:val="auto"/>
                <w:szCs w:val="21"/>
              </w:rPr>
              <w:t>/T</w:t>
            </w:r>
            <w:r>
              <w:rPr>
                <w:color w:val="auto"/>
                <w:szCs w:val="21"/>
              </w:rPr>
              <w:t xml:space="preserve"> 4706.1—20</w:t>
            </w:r>
            <w:r>
              <w:rPr>
                <w:rFonts w:hint="eastAsia"/>
                <w:color w:val="auto"/>
                <w:szCs w:val="21"/>
              </w:rPr>
              <w:t>24</w:t>
            </w:r>
          </w:p>
          <w:p>
            <w:pPr>
              <w:snapToGrid w:val="0"/>
              <w:spacing w:line="300" w:lineRule="exact"/>
              <w:jc w:val="center"/>
              <w:rPr>
                <w:color w:val="auto"/>
              </w:rPr>
            </w:pPr>
            <w:r>
              <w:rPr>
                <w:color w:val="auto"/>
                <w:szCs w:val="21"/>
              </w:rPr>
              <w:t>GB</w:t>
            </w:r>
            <w:r>
              <w:rPr>
                <w:rFonts w:hint="eastAsia"/>
                <w:color w:val="auto"/>
                <w:szCs w:val="21"/>
              </w:rPr>
              <w:t>/T</w:t>
            </w:r>
            <w:r>
              <w:rPr>
                <w:color w:val="auto"/>
                <w:szCs w:val="21"/>
              </w:rPr>
              <w:t xml:space="preserve"> 4706.23—20</w:t>
            </w:r>
            <w:r>
              <w:rPr>
                <w:rFonts w:hint="eastAsia"/>
                <w:color w:val="auto"/>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Times New Roman" w:hAnsi="Times New Roman"/>
                <w:color w:val="000000"/>
                <w:kern w:val="2"/>
                <w:sz w:val="21"/>
                <w:szCs w:val="21"/>
                <w:vertAlign w:val="baseline"/>
                <w:lang w:val="en-US" w:eastAsia="zh-CN" w:bidi="ar-SA"/>
              </w:rPr>
            </w:pPr>
            <w:r>
              <w:rPr>
                <w:rFonts w:hint="eastAsia"/>
                <w:color w:val="000000"/>
                <w:szCs w:val="21"/>
                <w:vertAlign w:val="baseline"/>
                <w:lang w:val="en-US" w:eastAsia="zh-CN"/>
              </w:rPr>
              <w:t>8</w:t>
            </w:r>
          </w:p>
        </w:tc>
        <w:tc>
          <w:tcPr>
            <w:tcW w:w="4110" w:type="dxa"/>
            <w:noWrap w:val="0"/>
            <w:vAlign w:val="center"/>
          </w:tcPr>
          <w:p>
            <w:pPr>
              <w:keepNext w:val="0"/>
              <w:keepLines w:val="0"/>
              <w:widowControl/>
              <w:suppressLineNumbers w:val="0"/>
              <w:jc w:val="center"/>
              <w:textAlignment w:val="center"/>
              <w:rPr>
                <w:rFonts w:hint="default"/>
                <w:color w:val="auto"/>
                <w:lang w:val="en-US" w:eastAsia="zh-CN"/>
              </w:rPr>
            </w:pPr>
            <w:r>
              <w:rPr>
                <w:rFonts w:hint="eastAsia" w:ascii="宋体" w:hAnsi="宋体" w:eastAsia="宋体" w:cs="宋体"/>
                <w:i w:val="0"/>
                <w:iCs w:val="0"/>
                <w:color w:val="auto"/>
                <w:kern w:val="0"/>
                <w:sz w:val="20"/>
                <w:szCs w:val="20"/>
                <w:u w:val="none"/>
                <w:lang w:val="en-US" w:eastAsia="zh-CN" w:bidi="ar"/>
              </w:rPr>
              <w:t>接地措施</w:t>
            </w:r>
          </w:p>
        </w:tc>
        <w:tc>
          <w:tcPr>
            <w:tcW w:w="3473" w:type="dxa"/>
            <w:noWrap w:val="0"/>
            <w:vAlign w:val="center"/>
          </w:tcPr>
          <w:p>
            <w:pPr>
              <w:snapToGrid w:val="0"/>
              <w:spacing w:line="300" w:lineRule="exact"/>
              <w:jc w:val="center"/>
              <w:rPr>
                <w:color w:val="auto"/>
                <w:szCs w:val="21"/>
              </w:rPr>
            </w:pPr>
            <w:r>
              <w:rPr>
                <w:color w:val="auto"/>
                <w:szCs w:val="21"/>
              </w:rPr>
              <w:t>GB 4706.1—2005</w:t>
            </w:r>
          </w:p>
          <w:p>
            <w:pPr>
              <w:snapToGrid w:val="0"/>
              <w:spacing w:line="300" w:lineRule="exact"/>
              <w:jc w:val="center"/>
              <w:rPr>
                <w:color w:val="auto"/>
                <w:szCs w:val="21"/>
              </w:rPr>
            </w:pPr>
            <w:r>
              <w:rPr>
                <w:color w:val="auto"/>
                <w:szCs w:val="21"/>
              </w:rPr>
              <w:t>GB 4706.23—2007</w:t>
            </w:r>
          </w:p>
          <w:p>
            <w:pPr>
              <w:snapToGrid w:val="0"/>
              <w:spacing w:line="300" w:lineRule="exact"/>
              <w:jc w:val="center"/>
              <w:rPr>
                <w:rFonts w:hint="eastAsia"/>
                <w:color w:val="auto"/>
                <w:szCs w:val="21"/>
              </w:rPr>
            </w:pPr>
            <w:r>
              <w:rPr>
                <w:color w:val="auto"/>
                <w:szCs w:val="21"/>
              </w:rPr>
              <w:t>GB</w:t>
            </w:r>
            <w:r>
              <w:rPr>
                <w:rFonts w:hint="eastAsia"/>
                <w:color w:val="auto"/>
                <w:szCs w:val="21"/>
              </w:rPr>
              <w:t>/T</w:t>
            </w:r>
            <w:r>
              <w:rPr>
                <w:color w:val="auto"/>
                <w:szCs w:val="21"/>
              </w:rPr>
              <w:t xml:space="preserve"> 4706.1—20</w:t>
            </w:r>
            <w:r>
              <w:rPr>
                <w:rFonts w:hint="eastAsia"/>
                <w:color w:val="auto"/>
                <w:szCs w:val="21"/>
              </w:rPr>
              <w:t>24</w:t>
            </w:r>
          </w:p>
          <w:p>
            <w:pPr>
              <w:snapToGrid w:val="0"/>
              <w:spacing w:line="300" w:lineRule="exact"/>
              <w:jc w:val="center"/>
              <w:rPr>
                <w:color w:val="auto"/>
              </w:rPr>
            </w:pPr>
            <w:r>
              <w:rPr>
                <w:color w:val="auto"/>
                <w:szCs w:val="21"/>
              </w:rPr>
              <w:t>GB</w:t>
            </w:r>
            <w:r>
              <w:rPr>
                <w:rFonts w:hint="eastAsia"/>
                <w:color w:val="auto"/>
                <w:szCs w:val="21"/>
              </w:rPr>
              <w:t>/T</w:t>
            </w:r>
            <w:r>
              <w:rPr>
                <w:color w:val="auto"/>
                <w:szCs w:val="21"/>
              </w:rPr>
              <w:t xml:space="preserve"> 4706.23—20</w:t>
            </w:r>
            <w:r>
              <w:rPr>
                <w:rFonts w:hint="eastAsia"/>
                <w:color w:val="auto"/>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522" w:type="dxa"/>
            <w:gridSpan w:val="3"/>
            <w:noWrap w:val="0"/>
            <w:vAlign w:val="center"/>
          </w:tcPr>
          <w:p>
            <w:pPr>
              <w:adjustRightInd w:val="0"/>
              <w:snapToGrid w:val="0"/>
              <w:spacing w:line="300" w:lineRule="exact"/>
              <w:jc w:val="both"/>
              <w:rPr>
                <w:rFonts w:hint="default"/>
                <w:szCs w:val="21"/>
                <w:lang w:val="en-US" w:eastAsia="zh-CN"/>
              </w:rPr>
            </w:pPr>
            <w:r>
              <w:rPr>
                <w:rFonts w:hint="eastAsia"/>
                <w:szCs w:val="21"/>
                <w:lang w:val="en-US" w:eastAsia="zh-CN"/>
              </w:rPr>
              <w:t>备注：以实际抽查产品种类开展项目</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 4706.23—2007 《家用和类似用途电器的安全  第2部分：室内加热器的特殊要求》</w:t>
      </w:r>
    </w:p>
    <w:p>
      <w:pPr>
        <w:spacing w:line="440" w:lineRule="exact"/>
        <w:ind w:firstLine="420" w:firstLineChars="200"/>
        <w:rPr>
          <w:rFonts w:hint="eastAsia" w:cs="宋体"/>
          <w:szCs w:val="21"/>
        </w:rPr>
      </w:pPr>
      <w:r>
        <w:rPr>
          <w:rFonts w:hint="eastAsia" w:cs="宋体"/>
          <w:szCs w:val="21"/>
        </w:rPr>
        <w:t>GB/T 4706.1—2024 《家用和类似用途电器的安全  第1部分：通用要求》</w:t>
      </w:r>
    </w:p>
    <w:p>
      <w:pPr>
        <w:spacing w:line="440" w:lineRule="exact"/>
        <w:ind w:firstLine="420" w:firstLineChars="200"/>
        <w:rPr>
          <w:rFonts w:hint="eastAsia" w:cs="宋体"/>
          <w:szCs w:val="21"/>
        </w:rPr>
      </w:pPr>
      <w:r>
        <w:rPr>
          <w:rFonts w:hint="eastAsia" w:cs="宋体"/>
          <w:szCs w:val="21"/>
        </w:rPr>
        <w:t>GB/T 4706.23—2024 《家用和类似用途电器的安全  第23部分：室内加热器的特殊要求》</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hint="eastAsia" w:eastAsia="宋体"/>
          <w:color w:val="000000"/>
          <w:szCs w:val="21"/>
          <w:u w:val="single"/>
          <w:lang w:eastAsia="zh-CN"/>
        </w:rPr>
      </w:pPr>
      <w:r>
        <w:rPr>
          <w:rFonts w:ascii="宋体" w:hAnsi="宋体"/>
          <w:color w:val="000000"/>
          <w:szCs w:val="21"/>
        </w:rPr>
        <w:t>若被检产品明示的质量要求缺少本细则中检验项目依据的推荐性标准要求时，该项目不参与判定。</w:t>
      </w:r>
      <w:bookmarkStart w:id="1" w:name="_GoBack"/>
      <w:bookmarkEnd w:id="1"/>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5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054290"/>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3C2AAB"/>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AB3BE8"/>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372F12"/>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FFFED16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736</Words>
  <Characters>911</Characters>
  <Lines>5</Lines>
  <Paragraphs>1</Paragraphs>
  <TotalTime>0</TotalTime>
  <ScaleCrop>false</ScaleCrop>
  <LinksUpToDate>false</LinksUpToDate>
  <CharactersWithSpaces>936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2026-07-22T11:53:46Z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AB028E4FBF4342329C8D81187D0A7B05_13</vt:lpwstr>
  </property>
  <property fmtid="{D5CDD505-2E9C-101B-9397-08002B2CF9AE}" pid="4" name="KSOTemplateDocerSaveRecord">
    <vt:lpwstr>eyJoZGlkIjoiZjFmZWIzNDg2MmIzZjExOTIzMmViNTBmYTMwYTk0ZWYiLCJ1c2VySWQiOiIzOTg1Njg2NDcifQ==</vt:lpwstr>
  </property>
</Properties>
</file>