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2026年吐鲁番市家用</w:t>
      </w:r>
      <w:r>
        <w:rPr>
          <w:rFonts w:hint="eastAsia" w:asciiTheme="minorEastAsia" w:hAnsiTheme="minorEastAsia" w:eastAsiaTheme="minorEastAsia" w:cstheme="minorEastAsia"/>
          <w:b/>
          <w:bCs/>
          <w:color w:val="000000"/>
          <w:sz w:val="32"/>
          <w:szCs w:val="32"/>
          <w:lang w:val="en-US" w:eastAsia="zh-CN"/>
        </w:rPr>
        <w:t>燃气灶</w:t>
      </w:r>
      <w:r>
        <w:rPr>
          <w:rFonts w:hint="eastAsia" w:asciiTheme="minorEastAsia" w:hAnsiTheme="minorEastAsia" w:eastAsiaTheme="minorEastAsia" w:cstheme="min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每批次抽取样品2台，其中检样1台，备样1台</w:t>
      </w:r>
      <w:r>
        <w:rPr>
          <w:rFonts w:ascii="Times New Roman" w:hAnsi="Times New Roman" w:eastAsia="宋体" w:cs="Times New Roman"/>
          <w:color w:val="000000"/>
          <w:szCs w:val="21"/>
        </w:rPr>
        <w:t>。</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表1 家用燃气灶具</w:t>
      </w:r>
    </w:p>
    <w:tbl>
      <w:tblPr>
        <w:tblStyle w:val="10"/>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511"/>
        <w:gridCol w:w="2435"/>
        <w:gridCol w:w="3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097" w:type="dxa"/>
            <w:noWrap w:val="0"/>
            <w:vAlign w:val="center"/>
          </w:tcPr>
          <w:p>
            <w:pPr>
              <w:snapToGrid w:val="0"/>
              <w:spacing w:line="300" w:lineRule="exact"/>
              <w:jc w:val="center"/>
              <w:rPr>
                <w:color w:val="000000"/>
                <w:szCs w:val="21"/>
              </w:rPr>
            </w:pPr>
            <w:r>
              <w:rPr>
                <w:color w:val="000000"/>
                <w:szCs w:val="21"/>
              </w:rPr>
              <w:t>序号</w:t>
            </w:r>
          </w:p>
        </w:tc>
        <w:tc>
          <w:tcPr>
            <w:tcW w:w="3946" w:type="dxa"/>
            <w:gridSpan w:val="2"/>
            <w:noWrap w:val="0"/>
            <w:vAlign w:val="center"/>
          </w:tcPr>
          <w:p>
            <w:pPr>
              <w:snapToGrid w:val="0"/>
              <w:spacing w:line="300" w:lineRule="exact"/>
              <w:jc w:val="center"/>
              <w:rPr>
                <w:color w:val="000000"/>
                <w:szCs w:val="21"/>
              </w:rPr>
            </w:pPr>
            <w:r>
              <w:rPr>
                <w:color w:val="000000"/>
                <w:szCs w:val="21"/>
              </w:rPr>
              <w:t>检验项目</w:t>
            </w:r>
          </w:p>
        </w:tc>
        <w:tc>
          <w:tcPr>
            <w:tcW w:w="3345" w:type="dxa"/>
            <w:noWrap w:val="0"/>
            <w:vAlign w:val="center"/>
          </w:tcPr>
          <w:p>
            <w:pPr>
              <w:snapToGrid w:val="0"/>
              <w:spacing w:line="300" w:lineRule="exact"/>
              <w:jc w:val="center"/>
              <w:rPr>
                <w:color w:val="000000"/>
                <w:szCs w:val="21"/>
              </w:rPr>
            </w:pPr>
            <w:r>
              <w:rPr>
                <w:color w:val="000000"/>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1</w:t>
            </w:r>
          </w:p>
        </w:tc>
        <w:tc>
          <w:tcPr>
            <w:tcW w:w="3946" w:type="dxa"/>
            <w:gridSpan w:val="2"/>
            <w:noWrap w:val="0"/>
            <w:vAlign w:val="center"/>
          </w:tcPr>
          <w:p>
            <w:pPr>
              <w:adjustRightInd w:val="0"/>
              <w:snapToGrid w:val="0"/>
              <w:spacing w:line="300" w:lineRule="exact"/>
              <w:jc w:val="center"/>
              <w:rPr>
                <w:rFonts w:hint="eastAsia" w:eastAsia="宋体"/>
                <w:color w:val="000000"/>
                <w:szCs w:val="21"/>
                <w:lang w:eastAsia="zh-CN"/>
              </w:rPr>
            </w:pPr>
            <w:r>
              <w:rPr>
                <w:rFonts w:hint="eastAsia"/>
                <w:szCs w:val="21"/>
                <w:lang w:val="en-US" w:eastAsia="zh-CN"/>
              </w:rPr>
              <w:t>气密性</w:t>
            </w:r>
          </w:p>
        </w:tc>
        <w:tc>
          <w:tcPr>
            <w:tcW w:w="3345"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2</w:t>
            </w:r>
          </w:p>
        </w:tc>
        <w:tc>
          <w:tcPr>
            <w:tcW w:w="3946" w:type="dxa"/>
            <w:gridSpan w:val="2"/>
            <w:noWrap w:val="0"/>
            <w:vAlign w:val="center"/>
          </w:tcPr>
          <w:p>
            <w:pPr>
              <w:adjustRightInd w:val="0"/>
              <w:snapToGrid w:val="0"/>
              <w:spacing w:line="300" w:lineRule="exact"/>
              <w:jc w:val="center"/>
              <w:rPr>
                <w:rFonts w:hint="eastAsia" w:eastAsia="宋体"/>
                <w:color w:val="000000"/>
                <w:szCs w:val="21"/>
                <w:lang w:val="en-US" w:eastAsia="zh-CN"/>
              </w:rPr>
            </w:pPr>
            <w:r>
              <w:rPr>
                <w:rFonts w:hint="eastAsia"/>
                <w:color w:val="000000"/>
                <w:szCs w:val="21"/>
                <w:lang w:val="en-US" w:eastAsia="zh-CN"/>
              </w:rPr>
              <w:t>热负荷</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color w:val="000000"/>
                <w:szCs w:val="21"/>
              </w:rPr>
            </w:pPr>
            <w:r>
              <w:rPr>
                <w:szCs w:val="21"/>
              </w:rPr>
              <w:t>3</w:t>
            </w:r>
          </w:p>
        </w:tc>
        <w:tc>
          <w:tcPr>
            <w:tcW w:w="1511" w:type="dxa"/>
            <w:vMerge w:val="restart"/>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燃烧工况</w:t>
            </w:r>
          </w:p>
        </w:tc>
        <w:tc>
          <w:tcPr>
            <w:tcW w:w="2435"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离焰</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eastAsia" w:eastAsia="宋体"/>
                <w:szCs w:val="21"/>
                <w:lang w:val="en-US" w:eastAsia="zh-CN"/>
              </w:rPr>
            </w:pPr>
            <w:r>
              <w:rPr>
                <w:rFonts w:hint="eastAsia"/>
                <w:szCs w:val="21"/>
                <w:lang w:val="en-US" w:eastAsia="zh-CN"/>
              </w:rPr>
              <w:t>4</w:t>
            </w:r>
          </w:p>
        </w:tc>
        <w:tc>
          <w:tcPr>
            <w:tcW w:w="1511" w:type="dxa"/>
            <w:vMerge w:val="continue"/>
            <w:noWrap w:val="0"/>
            <w:vAlign w:val="center"/>
          </w:tcPr>
          <w:p>
            <w:pPr>
              <w:adjustRightInd w:val="0"/>
              <w:snapToGrid w:val="0"/>
              <w:spacing w:line="300" w:lineRule="exact"/>
              <w:jc w:val="center"/>
              <w:rPr>
                <w:rFonts w:hint="eastAsia"/>
                <w:color w:val="000000"/>
                <w:szCs w:val="21"/>
                <w:lang w:val="en-US" w:eastAsia="zh-CN"/>
              </w:rPr>
            </w:pPr>
          </w:p>
        </w:tc>
        <w:tc>
          <w:tcPr>
            <w:tcW w:w="2435"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熄火</w:t>
            </w:r>
          </w:p>
        </w:tc>
        <w:tc>
          <w:tcPr>
            <w:tcW w:w="3345" w:type="dxa"/>
            <w:noWrap w:val="0"/>
            <w:vAlign w:val="center"/>
          </w:tcPr>
          <w:p>
            <w:pPr>
              <w:adjustRightInd w:val="0"/>
              <w:snapToGrid w:val="0"/>
              <w:spacing w:line="300" w:lineRule="exact"/>
              <w:jc w:val="center"/>
              <w:rPr>
                <w:rFonts w:hint="eastAsia"/>
                <w:color w:val="000000"/>
                <w:szCs w:val="21"/>
                <w:lang w:val="en-US" w:eastAsia="zh-CN"/>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eastAsia" w:eastAsia="宋体"/>
                <w:szCs w:val="21"/>
                <w:lang w:val="en-US" w:eastAsia="zh-CN"/>
              </w:rPr>
            </w:pPr>
            <w:r>
              <w:rPr>
                <w:rFonts w:hint="eastAsia"/>
                <w:szCs w:val="21"/>
                <w:lang w:val="en-US" w:eastAsia="zh-CN"/>
              </w:rPr>
              <w:t>5</w:t>
            </w:r>
          </w:p>
        </w:tc>
        <w:tc>
          <w:tcPr>
            <w:tcW w:w="1511" w:type="dxa"/>
            <w:vMerge w:val="continue"/>
            <w:noWrap w:val="0"/>
            <w:vAlign w:val="center"/>
          </w:tcPr>
          <w:p>
            <w:pPr>
              <w:adjustRightInd w:val="0"/>
              <w:snapToGrid w:val="0"/>
              <w:spacing w:line="300" w:lineRule="exact"/>
              <w:jc w:val="center"/>
              <w:rPr>
                <w:rFonts w:hint="eastAsia"/>
                <w:color w:val="000000"/>
                <w:szCs w:val="21"/>
                <w:lang w:val="en-US" w:eastAsia="zh-CN"/>
              </w:rPr>
            </w:pPr>
          </w:p>
        </w:tc>
        <w:tc>
          <w:tcPr>
            <w:tcW w:w="2435"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回火</w:t>
            </w:r>
          </w:p>
        </w:tc>
        <w:tc>
          <w:tcPr>
            <w:tcW w:w="3345" w:type="dxa"/>
            <w:noWrap w:val="0"/>
            <w:vAlign w:val="center"/>
          </w:tcPr>
          <w:p>
            <w:pPr>
              <w:adjustRightInd w:val="0"/>
              <w:snapToGrid w:val="0"/>
              <w:spacing w:line="300" w:lineRule="exact"/>
              <w:jc w:val="center"/>
              <w:rPr>
                <w:rFonts w:hint="eastAsia"/>
                <w:color w:val="000000"/>
                <w:szCs w:val="21"/>
                <w:lang w:val="en-US" w:eastAsia="zh-CN"/>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eastAsia" w:eastAsia="宋体"/>
                <w:szCs w:val="21"/>
                <w:lang w:val="en-US" w:eastAsia="zh-CN"/>
              </w:rPr>
            </w:pPr>
            <w:r>
              <w:rPr>
                <w:rFonts w:hint="eastAsia"/>
                <w:szCs w:val="21"/>
                <w:lang w:val="en-US" w:eastAsia="zh-CN"/>
              </w:rPr>
              <w:t>6</w:t>
            </w:r>
          </w:p>
        </w:tc>
        <w:tc>
          <w:tcPr>
            <w:tcW w:w="1511" w:type="dxa"/>
            <w:vMerge w:val="continue"/>
            <w:noWrap w:val="0"/>
            <w:vAlign w:val="center"/>
          </w:tcPr>
          <w:p>
            <w:pPr>
              <w:adjustRightInd w:val="0"/>
              <w:snapToGrid w:val="0"/>
              <w:spacing w:line="300" w:lineRule="exact"/>
              <w:jc w:val="center"/>
              <w:rPr>
                <w:rFonts w:hint="eastAsia"/>
                <w:color w:val="000000"/>
                <w:szCs w:val="21"/>
                <w:lang w:val="en-US" w:eastAsia="zh-CN"/>
              </w:rPr>
            </w:pPr>
          </w:p>
        </w:tc>
        <w:tc>
          <w:tcPr>
            <w:tcW w:w="2435"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燃烧噪声</w:t>
            </w:r>
          </w:p>
        </w:tc>
        <w:tc>
          <w:tcPr>
            <w:tcW w:w="3345" w:type="dxa"/>
            <w:noWrap w:val="0"/>
            <w:vAlign w:val="center"/>
          </w:tcPr>
          <w:p>
            <w:pPr>
              <w:adjustRightInd w:val="0"/>
              <w:snapToGrid w:val="0"/>
              <w:spacing w:line="300" w:lineRule="exact"/>
              <w:jc w:val="center"/>
              <w:rPr>
                <w:rFonts w:hint="eastAsia"/>
                <w:color w:val="000000"/>
                <w:szCs w:val="21"/>
                <w:lang w:val="en-US" w:eastAsia="zh-CN"/>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eastAsia" w:eastAsia="宋体"/>
                <w:szCs w:val="21"/>
                <w:lang w:val="en-US" w:eastAsia="zh-CN"/>
              </w:rPr>
            </w:pPr>
            <w:r>
              <w:rPr>
                <w:rFonts w:hint="eastAsia"/>
                <w:szCs w:val="21"/>
                <w:lang w:val="en-US" w:eastAsia="zh-CN"/>
              </w:rPr>
              <w:t>7</w:t>
            </w:r>
          </w:p>
        </w:tc>
        <w:tc>
          <w:tcPr>
            <w:tcW w:w="1511" w:type="dxa"/>
            <w:vMerge w:val="continue"/>
            <w:noWrap w:val="0"/>
            <w:vAlign w:val="center"/>
          </w:tcPr>
          <w:p>
            <w:pPr>
              <w:adjustRightInd w:val="0"/>
              <w:snapToGrid w:val="0"/>
              <w:spacing w:line="300" w:lineRule="exact"/>
              <w:jc w:val="center"/>
              <w:rPr>
                <w:rFonts w:hint="eastAsia"/>
                <w:color w:val="000000"/>
                <w:szCs w:val="21"/>
                <w:lang w:val="en-US" w:eastAsia="zh-CN"/>
              </w:rPr>
            </w:pPr>
          </w:p>
        </w:tc>
        <w:tc>
          <w:tcPr>
            <w:tcW w:w="2435"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熄火噪声</w:t>
            </w:r>
          </w:p>
        </w:tc>
        <w:tc>
          <w:tcPr>
            <w:tcW w:w="3345" w:type="dxa"/>
            <w:noWrap w:val="0"/>
            <w:vAlign w:val="center"/>
          </w:tcPr>
          <w:p>
            <w:pPr>
              <w:adjustRightInd w:val="0"/>
              <w:snapToGrid w:val="0"/>
              <w:spacing w:line="300" w:lineRule="exact"/>
              <w:jc w:val="center"/>
              <w:rPr>
                <w:rFonts w:hint="eastAsia"/>
                <w:color w:val="000000"/>
                <w:szCs w:val="21"/>
                <w:lang w:val="en-US" w:eastAsia="zh-CN"/>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eastAsia" w:eastAsia="宋体"/>
                <w:szCs w:val="21"/>
                <w:lang w:val="en-US" w:eastAsia="zh-CN"/>
              </w:rPr>
            </w:pPr>
            <w:r>
              <w:rPr>
                <w:rFonts w:hint="eastAsia"/>
                <w:szCs w:val="21"/>
                <w:lang w:val="en-US" w:eastAsia="zh-CN"/>
              </w:rPr>
              <w:t>8</w:t>
            </w:r>
          </w:p>
        </w:tc>
        <w:tc>
          <w:tcPr>
            <w:tcW w:w="1511" w:type="dxa"/>
            <w:vMerge w:val="continue"/>
            <w:noWrap w:val="0"/>
            <w:vAlign w:val="center"/>
          </w:tcPr>
          <w:p>
            <w:pPr>
              <w:adjustRightInd w:val="0"/>
              <w:snapToGrid w:val="0"/>
              <w:spacing w:line="300" w:lineRule="exact"/>
              <w:jc w:val="center"/>
              <w:rPr>
                <w:rFonts w:hint="eastAsia"/>
                <w:color w:val="000000"/>
                <w:szCs w:val="21"/>
                <w:lang w:val="en-US" w:eastAsia="zh-CN"/>
              </w:rPr>
            </w:pPr>
          </w:p>
        </w:tc>
        <w:tc>
          <w:tcPr>
            <w:tcW w:w="2435"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干烟气中CO浓度</w:t>
            </w:r>
          </w:p>
        </w:tc>
        <w:tc>
          <w:tcPr>
            <w:tcW w:w="3345" w:type="dxa"/>
            <w:noWrap w:val="0"/>
            <w:vAlign w:val="center"/>
          </w:tcPr>
          <w:p>
            <w:pPr>
              <w:adjustRightInd w:val="0"/>
              <w:snapToGrid w:val="0"/>
              <w:spacing w:line="300" w:lineRule="exact"/>
              <w:jc w:val="center"/>
              <w:rPr>
                <w:rFonts w:hint="eastAsia"/>
                <w:color w:val="000000"/>
                <w:szCs w:val="21"/>
                <w:lang w:val="en-US" w:eastAsia="zh-CN"/>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eastAsia" w:eastAsia="宋体"/>
                <w:color w:val="000000"/>
                <w:szCs w:val="21"/>
                <w:lang w:val="en-US" w:eastAsia="zh-CN"/>
              </w:rPr>
            </w:pPr>
            <w:r>
              <w:rPr>
                <w:rFonts w:hint="eastAsia"/>
                <w:color w:val="000000"/>
                <w:szCs w:val="21"/>
                <w:lang w:val="en-US" w:eastAsia="zh-CN"/>
              </w:rPr>
              <w:t>9</w:t>
            </w:r>
          </w:p>
        </w:tc>
        <w:tc>
          <w:tcPr>
            <w:tcW w:w="3946" w:type="dxa"/>
            <w:gridSpan w:val="2"/>
            <w:noWrap w:val="0"/>
            <w:vAlign w:val="center"/>
          </w:tcPr>
          <w:p>
            <w:pPr>
              <w:adjustRightInd w:val="0"/>
              <w:snapToGrid w:val="0"/>
              <w:spacing w:line="300" w:lineRule="exact"/>
              <w:jc w:val="center"/>
              <w:rPr>
                <w:color w:val="000000"/>
                <w:szCs w:val="21"/>
              </w:rPr>
            </w:pPr>
            <w:r>
              <w:rPr>
                <w:rFonts w:hint="eastAsia"/>
                <w:szCs w:val="21"/>
              </w:rPr>
              <w:t>温升-手必须接触部位</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10</w:t>
            </w:r>
          </w:p>
        </w:tc>
        <w:tc>
          <w:tcPr>
            <w:tcW w:w="3946" w:type="dxa"/>
            <w:gridSpan w:val="2"/>
            <w:noWrap w:val="0"/>
            <w:vAlign w:val="center"/>
          </w:tcPr>
          <w:p>
            <w:pPr>
              <w:adjustRightInd w:val="0"/>
              <w:snapToGrid w:val="0"/>
              <w:spacing w:line="300" w:lineRule="exact"/>
              <w:jc w:val="center"/>
              <w:rPr>
                <w:color w:val="000000"/>
                <w:szCs w:val="21"/>
              </w:rPr>
            </w:pPr>
            <w:r>
              <w:rPr>
                <w:rFonts w:hint="eastAsia"/>
                <w:szCs w:val="21"/>
              </w:rPr>
              <w:t>熄火保护装置-闭阀时间</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11</w:t>
            </w:r>
          </w:p>
        </w:tc>
        <w:tc>
          <w:tcPr>
            <w:tcW w:w="1511" w:type="dxa"/>
            <w:vMerge w:val="restart"/>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结构的一般要求</w:t>
            </w:r>
          </w:p>
        </w:tc>
        <w:tc>
          <w:tcPr>
            <w:tcW w:w="2435"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燃气导管</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default"/>
                <w:szCs w:val="21"/>
                <w:lang w:val="en-US" w:eastAsia="zh-CN"/>
              </w:rPr>
            </w:pPr>
            <w:r>
              <w:rPr>
                <w:rFonts w:hint="eastAsia"/>
                <w:szCs w:val="21"/>
                <w:lang w:val="en-US" w:eastAsia="zh-CN"/>
              </w:rPr>
              <w:t>12</w:t>
            </w:r>
          </w:p>
        </w:tc>
        <w:tc>
          <w:tcPr>
            <w:tcW w:w="1511" w:type="dxa"/>
            <w:vMerge w:val="continue"/>
            <w:noWrap w:val="0"/>
            <w:vAlign w:val="center"/>
          </w:tcPr>
          <w:p>
            <w:pPr>
              <w:adjustRightInd w:val="0"/>
              <w:snapToGrid w:val="0"/>
              <w:spacing w:line="300" w:lineRule="exact"/>
              <w:jc w:val="center"/>
              <w:rPr>
                <w:color w:val="000000"/>
                <w:szCs w:val="21"/>
              </w:rPr>
            </w:pPr>
          </w:p>
        </w:tc>
        <w:tc>
          <w:tcPr>
            <w:tcW w:w="2435"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燃烧器的熄火保护装置</w:t>
            </w:r>
          </w:p>
        </w:tc>
        <w:tc>
          <w:tcPr>
            <w:tcW w:w="3345" w:type="dxa"/>
            <w:noWrap w:val="0"/>
            <w:vAlign w:val="center"/>
          </w:tcPr>
          <w:p>
            <w:pPr>
              <w:adjustRightInd w:val="0"/>
              <w:snapToGrid w:val="0"/>
              <w:spacing w:line="300" w:lineRule="exact"/>
              <w:jc w:val="center"/>
              <w:rPr>
                <w:rFonts w:hint="eastAsia"/>
                <w:color w:val="000000"/>
                <w:szCs w:val="21"/>
                <w:lang w:val="en-US" w:eastAsia="zh-CN"/>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default" w:eastAsia="宋体"/>
                <w:color w:val="000000"/>
                <w:szCs w:val="21"/>
                <w:lang w:val="en-US" w:eastAsia="zh-CN"/>
              </w:rPr>
            </w:pPr>
            <w:r>
              <w:rPr>
                <w:rFonts w:hint="eastAsia"/>
                <w:color w:val="000000"/>
                <w:szCs w:val="21"/>
                <w:lang w:val="en-US" w:eastAsia="zh-CN"/>
              </w:rPr>
              <w:t>13</w:t>
            </w:r>
          </w:p>
        </w:tc>
        <w:tc>
          <w:tcPr>
            <w:tcW w:w="3946" w:type="dxa"/>
            <w:gridSpan w:val="2"/>
            <w:noWrap w:val="0"/>
            <w:vAlign w:val="center"/>
          </w:tcPr>
          <w:p>
            <w:pPr>
              <w:adjustRightInd w:val="0"/>
              <w:snapToGrid w:val="0"/>
              <w:spacing w:line="300" w:lineRule="exact"/>
              <w:jc w:val="center"/>
              <w:rPr>
                <w:rFonts w:hint="default" w:eastAsia="宋体"/>
                <w:color w:val="000000"/>
                <w:szCs w:val="21"/>
                <w:lang w:val="en-US" w:eastAsia="zh-CN"/>
              </w:rPr>
            </w:pPr>
            <w:r>
              <w:rPr>
                <w:rFonts w:hint="eastAsia" w:eastAsia="宋体"/>
                <w:color w:val="000000"/>
                <w:szCs w:val="21"/>
                <w:lang w:val="en-US" w:eastAsia="zh-CN"/>
              </w:rPr>
              <w:t>耐热冲击</w:t>
            </w:r>
          </w:p>
        </w:tc>
        <w:tc>
          <w:tcPr>
            <w:tcW w:w="3345" w:type="dxa"/>
            <w:noWrap w:val="0"/>
            <w:vAlign w:val="center"/>
          </w:tcPr>
          <w:p>
            <w:pPr>
              <w:adjustRightInd w:val="0"/>
              <w:snapToGrid w:val="0"/>
              <w:spacing w:line="300" w:lineRule="exact"/>
              <w:jc w:val="center"/>
              <w:rPr>
                <w:color w:val="000000"/>
                <w:szCs w:val="21"/>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default"/>
                <w:szCs w:val="21"/>
                <w:lang w:val="en-US" w:eastAsia="zh-CN"/>
              </w:rPr>
            </w:pPr>
            <w:r>
              <w:rPr>
                <w:rFonts w:hint="eastAsia"/>
                <w:szCs w:val="21"/>
                <w:lang w:val="en-US" w:eastAsia="zh-CN"/>
              </w:rPr>
              <w:t>14</w:t>
            </w:r>
          </w:p>
        </w:tc>
        <w:tc>
          <w:tcPr>
            <w:tcW w:w="3946" w:type="dxa"/>
            <w:gridSpan w:val="2"/>
            <w:noWrap w:val="0"/>
            <w:vAlign w:val="center"/>
          </w:tcPr>
          <w:p>
            <w:pPr>
              <w:adjustRightInd w:val="0"/>
              <w:snapToGrid w:val="0"/>
              <w:spacing w:line="300" w:lineRule="exact"/>
              <w:jc w:val="center"/>
              <w:rPr>
                <w:rFonts w:hint="default" w:eastAsia="宋体"/>
                <w:color w:val="000000"/>
                <w:szCs w:val="21"/>
                <w:lang w:val="en-US" w:eastAsia="zh-CN"/>
              </w:rPr>
            </w:pPr>
            <w:r>
              <w:rPr>
                <w:rFonts w:hint="eastAsia" w:eastAsia="宋体"/>
                <w:color w:val="000000"/>
                <w:szCs w:val="21"/>
                <w:lang w:val="en-US" w:eastAsia="zh-CN"/>
              </w:rPr>
              <w:t>耐重力冲击</w:t>
            </w:r>
          </w:p>
        </w:tc>
        <w:tc>
          <w:tcPr>
            <w:tcW w:w="3345" w:type="dxa"/>
            <w:noWrap w:val="0"/>
            <w:vAlign w:val="center"/>
          </w:tcPr>
          <w:p>
            <w:pPr>
              <w:adjustRightInd w:val="0"/>
              <w:snapToGrid w:val="0"/>
              <w:spacing w:line="300" w:lineRule="exact"/>
              <w:jc w:val="center"/>
              <w:rPr>
                <w:rFonts w:hint="eastAsia"/>
                <w:color w:val="000000"/>
                <w:szCs w:val="21"/>
                <w:lang w:val="en-US" w:eastAsia="zh-CN"/>
              </w:rPr>
            </w:pPr>
            <w:r>
              <w:rPr>
                <w:rFonts w:hint="eastAsia"/>
                <w:color w:val="000000"/>
                <w:szCs w:val="21"/>
                <w:lang w:val="en-US" w:eastAsia="zh-CN"/>
              </w:rPr>
              <w:t>GB 16410-2020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7" w:type="dxa"/>
            <w:noWrap w:val="0"/>
            <w:vAlign w:val="center"/>
          </w:tcPr>
          <w:p>
            <w:pPr>
              <w:adjustRightInd w:val="0"/>
              <w:snapToGrid w:val="0"/>
              <w:spacing w:line="300" w:lineRule="exact"/>
              <w:jc w:val="center"/>
              <w:rPr>
                <w:rFonts w:hint="default"/>
                <w:szCs w:val="21"/>
                <w:lang w:val="en-US" w:eastAsia="zh-CN"/>
              </w:rPr>
            </w:pPr>
            <w:r>
              <w:rPr>
                <w:rFonts w:hint="eastAsia"/>
                <w:szCs w:val="21"/>
                <w:lang w:val="en-US" w:eastAsia="zh-CN"/>
              </w:rPr>
              <w:t>15</w:t>
            </w:r>
          </w:p>
        </w:tc>
        <w:tc>
          <w:tcPr>
            <w:tcW w:w="3946" w:type="dxa"/>
            <w:gridSpan w:val="2"/>
            <w:noWrap w:val="0"/>
            <w:vAlign w:val="center"/>
          </w:tcPr>
          <w:p>
            <w:pPr>
              <w:adjustRightInd w:val="0"/>
              <w:snapToGrid w:val="0"/>
              <w:spacing w:line="300" w:lineRule="exact"/>
              <w:jc w:val="center"/>
              <w:rPr>
                <w:rFonts w:hint="default" w:eastAsia="宋体"/>
                <w:color w:val="000000"/>
                <w:szCs w:val="21"/>
                <w:lang w:val="en-US" w:eastAsia="zh-CN"/>
              </w:rPr>
            </w:pPr>
            <w:r>
              <w:rPr>
                <w:rFonts w:hint="eastAsia" w:eastAsia="宋体"/>
                <w:color w:val="000000"/>
                <w:szCs w:val="21"/>
                <w:lang w:val="en-US" w:eastAsia="zh-CN"/>
              </w:rPr>
              <w:t>热效率</w:t>
            </w:r>
          </w:p>
        </w:tc>
        <w:tc>
          <w:tcPr>
            <w:tcW w:w="3345" w:type="dxa"/>
            <w:noWrap w:val="0"/>
            <w:vAlign w:val="center"/>
          </w:tcPr>
          <w:p>
            <w:pPr>
              <w:adjustRightInd w:val="0"/>
              <w:snapToGrid w:val="0"/>
              <w:spacing w:line="300" w:lineRule="exact"/>
              <w:jc w:val="center"/>
              <w:rPr>
                <w:rFonts w:hint="eastAsia"/>
                <w:color w:val="000000"/>
                <w:szCs w:val="21"/>
                <w:lang w:val="en-US" w:eastAsia="zh-CN"/>
              </w:rPr>
            </w:pPr>
            <w:r>
              <w:rPr>
                <w:rFonts w:hint="eastAsia"/>
                <w:color w:val="000000"/>
                <w:szCs w:val="21"/>
                <w:lang w:val="en-US" w:eastAsia="zh-CN"/>
              </w:rPr>
              <w:t>GB 16410-2020</w:t>
            </w:r>
          </w:p>
          <w:p>
            <w:pPr>
              <w:adjustRightInd w:val="0"/>
              <w:snapToGrid w:val="0"/>
              <w:spacing w:line="300" w:lineRule="exact"/>
              <w:jc w:val="center"/>
              <w:rPr>
                <w:rFonts w:hint="eastAsia"/>
                <w:color w:val="000000"/>
                <w:szCs w:val="21"/>
                <w:lang w:val="en-US" w:eastAsia="zh-CN"/>
              </w:rPr>
            </w:pPr>
            <w:r>
              <w:rPr>
                <w:rFonts w:hint="eastAsia"/>
                <w:color w:val="000000"/>
                <w:szCs w:val="21"/>
                <w:lang w:val="en-US" w:eastAsia="zh-CN"/>
              </w:rPr>
              <w:t>GB 30720-2014</w:t>
            </w:r>
          </w:p>
          <w:p>
            <w:pPr>
              <w:adjustRightInd w:val="0"/>
              <w:snapToGrid w:val="0"/>
              <w:spacing w:line="300" w:lineRule="exact"/>
              <w:jc w:val="center"/>
              <w:rPr>
                <w:rFonts w:hint="default"/>
                <w:color w:val="000000"/>
                <w:szCs w:val="21"/>
                <w:lang w:val="en-US" w:eastAsia="zh-CN"/>
              </w:rPr>
            </w:pPr>
            <w:r>
              <w:rPr>
                <w:rFonts w:hint="eastAsia"/>
                <w:color w:val="000000"/>
                <w:szCs w:val="21"/>
                <w:lang w:val="en-US" w:eastAsia="zh-CN"/>
              </w:rPr>
              <w:t>GB 30720-2025</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GB 16410-2020《家用燃气灶具》</w:t>
      </w:r>
    </w:p>
    <w:p>
      <w:pPr>
        <w:spacing w:line="440" w:lineRule="exact"/>
        <w:ind w:firstLine="420" w:firstLineChars="200"/>
        <w:rPr>
          <w:rFonts w:hint="eastAsia" w:cs="宋体"/>
          <w:szCs w:val="21"/>
        </w:rPr>
      </w:pPr>
      <w:r>
        <w:rPr>
          <w:rFonts w:hint="eastAsia" w:cs="宋体"/>
          <w:szCs w:val="21"/>
        </w:rPr>
        <w:t>GB 30720-2014《家用燃气灶具能效限定值及能效等级》</w:t>
      </w:r>
    </w:p>
    <w:p>
      <w:pPr>
        <w:spacing w:line="440" w:lineRule="exact"/>
        <w:ind w:firstLine="420" w:firstLineChars="200"/>
        <w:rPr>
          <w:rFonts w:hint="eastAsia" w:cs="宋体"/>
          <w:szCs w:val="21"/>
        </w:rPr>
      </w:pPr>
      <w:r>
        <w:rPr>
          <w:rFonts w:hint="eastAsia" w:cs="宋体"/>
          <w:szCs w:val="21"/>
        </w:rPr>
        <w:t>GB 30720-2025《燃气灶具能效限定值及能效等级》</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5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97F539B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632</Words>
  <Characters>700</Characters>
  <Lines>5</Lines>
  <Paragraphs>1</Paragraphs>
  <TotalTime>2</TotalTime>
  <ScaleCrop>false</ScaleCrop>
  <LinksUpToDate>false</LinksUpToDate>
  <CharactersWithSpaces>709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2026-07-22T11:30:23Z</cp:lastPrinted>
  <dcterms:modified xsi:type="dcterms:W3CDTF">2026-07-22T11:31:52Z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5C2D1F473A4A4D24B709678322094BB0_13</vt:lpwstr>
  </property>
  <property fmtid="{D5CDD505-2E9C-101B-9397-08002B2CF9AE}" pid="4" name="KSOTemplateDocerSaveRecord">
    <vt:lpwstr>eyJoZGlkIjoiZjFmZWIzNDg2MmIzZjExOTIzMmViNTBmYTMwYTk0ZWYiLCJ1c2VySWQiOiIzOTg1Njg2NDcifQ==</vt:lpwstr>
  </property>
</Properties>
</file>