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eastAsia="方正小标宋简体"/>
          <w:color w:val="000000"/>
          <w:sz w:val="32"/>
          <w:szCs w:val="32"/>
        </w:rPr>
      </w:pPr>
      <w:r>
        <w:rPr>
          <w:rFonts w:hint="eastAsia" w:asciiTheme="majorEastAsia" w:hAnsiTheme="majorEastAsia" w:eastAsiaTheme="majorEastAsia" w:cstheme="majorEastAsia"/>
          <w:b/>
          <w:bCs/>
          <w:color w:val="000000"/>
          <w:sz w:val="32"/>
          <w:szCs w:val="32"/>
        </w:rPr>
        <w:t>2026年</w:t>
      </w:r>
      <w:r>
        <w:rPr>
          <w:rFonts w:hint="eastAsia" w:asciiTheme="majorEastAsia" w:hAnsiTheme="majorEastAsia" w:eastAsiaTheme="majorEastAsia" w:cstheme="majorEastAsia"/>
          <w:b/>
          <w:bCs/>
          <w:color w:val="000000"/>
          <w:sz w:val="32"/>
          <w:szCs w:val="32"/>
        </w:rPr>
        <w:t>吐鲁番市手提式灭火器</w:t>
      </w:r>
      <w:r>
        <w:rPr>
          <w:rFonts w:hint="eastAsia" w:asciiTheme="majorEastAsia" w:hAnsiTheme="majorEastAsia" w:eastAsiaTheme="majorEastAsia" w:cstheme="majorEastAsia"/>
          <w:b/>
          <w:bCs/>
          <w:color w:val="000000"/>
          <w:sz w:val="32"/>
          <w:szCs w:val="32"/>
        </w:rPr>
        <w:t>产品质量监督抽查实施细则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color w:val="000000"/>
          <w:szCs w:val="21"/>
        </w:rPr>
      </w:pPr>
      <w:r>
        <w:rPr>
          <w:color w:val="000000"/>
          <w:szCs w:val="21"/>
        </w:rPr>
        <w:t>每批次产品抽取8</w:t>
      </w:r>
      <w:r>
        <w:rPr>
          <w:rFonts w:hint="eastAsia"/>
          <w:color w:val="000000"/>
          <w:szCs w:val="21"/>
        </w:rPr>
        <w:t>具</w:t>
      </w:r>
      <w:r>
        <w:rPr>
          <w:color w:val="000000"/>
          <w:szCs w:val="21"/>
        </w:rPr>
        <w:t>。其中4</w:t>
      </w:r>
      <w:r>
        <w:rPr>
          <w:rFonts w:hint="eastAsia"/>
          <w:color w:val="000000"/>
          <w:szCs w:val="21"/>
        </w:rPr>
        <w:t>具</w:t>
      </w:r>
      <w:r>
        <w:rPr>
          <w:color w:val="000000"/>
          <w:szCs w:val="21"/>
        </w:rPr>
        <w:t>作为检验样品，4</w:t>
      </w:r>
      <w:r>
        <w:rPr>
          <w:rFonts w:hint="eastAsia"/>
          <w:color w:val="000000"/>
          <w:szCs w:val="21"/>
        </w:rPr>
        <w:t>具</w:t>
      </w:r>
      <w:r>
        <w:rPr>
          <w:color w:val="000000"/>
          <w:szCs w:val="21"/>
        </w:rPr>
        <w:t>作为备用样品。</w:t>
      </w:r>
    </w:p>
    <w:p>
      <w:pPr>
        <w:rPr>
          <w:rFonts w:asciiTheme="minorEastAsia" w:hAnsiTheme="minorEastAsia" w:eastAsiaTheme="minorEastAsia"/>
          <w:kern w:val="0"/>
          <w:sz w:val="18"/>
          <w:szCs w:val="18"/>
        </w:rPr>
      </w:pP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kern w:val="0"/>
          <w:sz w:val="18"/>
          <w:szCs w:val="18"/>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表1</w:t>
      </w:r>
      <w:r>
        <w:rPr>
          <w:rFonts w:hint="eastAsia" w:hAnsi="宋体" w:cs="宋体"/>
          <w:szCs w:val="21"/>
        </w:rPr>
        <w:t>。</w:t>
      </w:r>
    </w:p>
    <w:p>
      <w:pPr>
        <w:spacing w:line="440" w:lineRule="exact"/>
        <w:ind w:firstLine="420" w:firstLineChars="200"/>
        <w:jc w:val="center"/>
        <w:rPr>
          <w:rFonts w:eastAsia="黑体"/>
          <w:color w:val="000000"/>
          <w:szCs w:val="21"/>
        </w:rPr>
      </w:pPr>
      <w:r>
        <w:rPr>
          <w:rFonts w:hint="eastAsia" w:eastAsia="黑体"/>
          <w:color w:val="000000"/>
          <w:szCs w:val="21"/>
        </w:rPr>
        <w:t>表1 手提式灭火器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2240"/>
        <w:gridCol w:w="2225"/>
        <w:gridCol w:w="32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10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szCs w:val="21"/>
              </w:rPr>
            </w:pPr>
            <w:r>
              <w:rPr>
                <w:szCs w:val="21"/>
              </w:rPr>
              <w:t>序号</w:t>
            </w:r>
          </w:p>
        </w:tc>
        <w:tc>
          <w:tcPr>
            <w:tcW w:w="4465" w:type="dxa"/>
            <w:gridSpan w:val="2"/>
            <w:tcBorders>
              <w:top w:val="single" w:color="auto" w:sz="4" w:space="0"/>
              <w:left w:val="nil"/>
              <w:bottom w:val="single" w:color="auto" w:sz="4" w:space="0"/>
              <w:right w:val="single" w:color="auto" w:sz="4" w:space="0"/>
            </w:tcBorders>
            <w:vAlign w:val="center"/>
          </w:tcPr>
          <w:p>
            <w:pPr>
              <w:adjustRightInd w:val="0"/>
              <w:snapToGrid w:val="0"/>
              <w:spacing w:line="300" w:lineRule="exact"/>
              <w:jc w:val="center"/>
              <w:rPr>
                <w:szCs w:val="21"/>
              </w:rPr>
            </w:pPr>
            <w:r>
              <w:rPr>
                <w:szCs w:val="21"/>
              </w:rPr>
              <w:t>检验项目</w:t>
            </w:r>
          </w:p>
        </w:tc>
        <w:tc>
          <w:tcPr>
            <w:tcW w:w="32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szCs w:val="21"/>
              </w:rPr>
            </w:pPr>
            <w:r>
              <w:rPr>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1017" w:type="dxa"/>
            <w:vMerge w:val="restart"/>
            <w:tcBorders>
              <w:top w:val="single" w:color="auto" w:sz="4" w:space="0"/>
              <w:left w:val="single" w:color="auto" w:sz="4" w:space="0"/>
              <w:right w:val="single" w:color="auto" w:sz="4" w:space="0"/>
            </w:tcBorders>
            <w:vAlign w:val="center"/>
          </w:tcPr>
          <w:p>
            <w:pPr>
              <w:snapToGrid w:val="0"/>
              <w:spacing w:line="300" w:lineRule="exact"/>
              <w:jc w:val="center"/>
              <w:rPr>
                <w:szCs w:val="21"/>
              </w:rPr>
            </w:pPr>
            <w:r>
              <w:rPr>
                <w:szCs w:val="21"/>
              </w:rPr>
              <w:t>1</w:t>
            </w:r>
          </w:p>
        </w:tc>
        <w:tc>
          <w:tcPr>
            <w:tcW w:w="2240" w:type="dxa"/>
            <w:vMerge w:val="restart"/>
            <w:tcBorders>
              <w:top w:val="single" w:color="auto" w:sz="4" w:space="0"/>
              <w:left w:val="nil"/>
              <w:right w:val="single" w:color="auto" w:sz="4" w:space="0"/>
            </w:tcBorders>
            <w:vAlign w:val="center"/>
          </w:tcPr>
          <w:p>
            <w:pPr>
              <w:spacing w:line="300" w:lineRule="exact"/>
              <w:jc w:val="center"/>
              <w:rPr>
                <w:szCs w:val="21"/>
              </w:rPr>
            </w:pPr>
            <w:r>
              <w:rPr>
                <w:szCs w:val="21"/>
              </w:rPr>
              <w:t>20℃时喷射性能</w:t>
            </w:r>
          </w:p>
        </w:tc>
        <w:tc>
          <w:tcPr>
            <w:tcW w:w="222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szCs w:val="21"/>
              </w:rPr>
            </w:pPr>
            <w:r>
              <w:rPr>
                <w:szCs w:val="21"/>
              </w:rPr>
              <w:t>有效喷射时间</w:t>
            </w:r>
          </w:p>
        </w:tc>
        <w:tc>
          <w:tcPr>
            <w:tcW w:w="3291" w:type="dxa"/>
            <w:vMerge w:val="restart"/>
            <w:tcBorders>
              <w:top w:val="single" w:color="auto" w:sz="4" w:space="0"/>
              <w:left w:val="single" w:color="auto" w:sz="4" w:space="0"/>
              <w:right w:val="single" w:color="auto" w:sz="4" w:space="0"/>
            </w:tcBorders>
            <w:vAlign w:val="center"/>
          </w:tcPr>
          <w:p>
            <w:pPr>
              <w:adjustRightInd w:val="0"/>
              <w:snapToGrid w:val="0"/>
              <w:spacing w:line="300" w:lineRule="exact"/>
              <w:jc w:val="center"/>
              <w:rPr>
                <w:szCs w:val="21"/>
              </w:rPr>
            </w:pPr>
            <w:bookmarkStart w:id="0" w:name="OLE_LINK1"/>
            <w:r>
              <w:rPr>
                <w:szCs w:val="21"/>
              </w:rPr>
              <w:t>GB 4351</w:t>
            </w:r>
            <w:bookmarkEnd w:id="0"/>
            <w:r>
              <w:rPr>
                <w:color w:val="000000"/>
                <w:szCs w:val="21"/>
              </w:rPr>
              <w:t>—2023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1017" w:type="dxa"/>
            <w:vMerge w:val="continue"/>
            <w:tcBorders>
              <w:left w:val="single" w:color="auto" w:sz="4" w:space="0"/>
              <w:right w:val="single" w:color="auto" w:sz="4" w:space="0"/>
            </w:tcBorders>
            <w:vAlign w:val="center"/>
          </w:tcPr>
          <w:p>
            <w:pPr>
              <w:snapToGrid w:val="0"/>
              <w:spacing w:line="300" w:lineRule="exact"/>
              <w:jc w:val="center"/>
              <w:rPr>
                <w:szCs w:val="21"/>
              </w:rPr>
            </w:pPr>
          </w:p>
        </w:tc>
        <w:tc>
          <w:tcPr>
            <w:tcW w:w="2240" w:type="dxa"/>
            <w:vMerge w:val="continue"/>
            <w:tcBorders>
              <w:left w:val="nil"/>
              <w:right w:val="single" w:color="auto" w:sz="4" w:space="0"/>
            </w:tcBorders>
            <w:vAlign w:val="center"/>
          </w:tcPr>
          <w:p>
            <w:pPr>
              <w:spacing w:line="300" w:lineRule="exact"/>
              <w:jc w:val="center"/>
              <w:rPr>
                <w:szCs w:val="21"/>
              </w:rPr>
            </w:pPr>
          </w:p>
        </w:tc>
        <w:tc>
          <w:tcPr>
            <w:tcW w:w="222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szCs w:val="21"/>
              </w:rPr>
            </w:pPr>
            <w:r>
              <w:rPr>
                <w:szCs w:val="21"/>
              </w:rPr>
              <w:t>喷射滞后时间</w:t>
            </w:r>
          </w:p>
        </w:tc>
        <w:tc>
          <w:tcPr>
            <w:tcW w:w="3291" w:type="dxa"/>
            <w:vMerge w:val="continue"/>
            <w:tcBorders>
              <w:left w:val="single" w:color="auto" w:sz="4" w:space="0"/>
              <w:right w:val="single" w:color="auto" w:sz="4" w:space="0"/>
            </w:tcBorders>
            <w:vAlign w:val="center"/>
          </w:tcPr>
          <w:p>
            <w:pPr>
              <w:adjustRightInd w:val="0"/>
              <w:snapToGrid w:val="0"/>
              <w:spacing w:line="30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1017" w:type="dxa"/>
            <w:vMerge w:val="continue"/>
            <w:tcBorders>
              <w:left w:val="single" w:color="auto" w:sz="4" w:space="0"/>
              <w:right w:val="single" w:color="auto" w:sz="4" w:space="0"/>
            </w:tcBorders>
            <w:vAlign w:val="center"/>
          </w:tcPr>
          <w:p>
            <w:pPr>
              <w:snapToGrid w:val="0"/>
              <w:spacing w:line="300" w:lineRule="exact"/>
              <w:jc w:val="center"/>
              <w:rPr>
                <w:szCs w:val="21"/>
              </w:rPr>
            </w:pPr>
          </w:p>
        </w:tc>
        <w:tc>
          <w:tcPr>
            <w:tcW w:w="2240" w:type="dxa"/>
            <w:vMerge w:val="continue"/>
            <w:tcBorders>
              <w:left w:val="nil"/>
              <w:right w:val="single" w:color="auto" w:sz="4" w:space="0"/>
            </w:tcBorders>
            <w:vAlign w:val="center"/>
          </w:tcPr>
          <w:p>
            <w:pPr>
              <w:spacing w:line="300" w:lineRule="exact"/>
              <w:jc w:val="center"/>
              <w:rPr>
                <w:szCs w:val="21"/>
              </w:rPr>
            </w:pPr>
          </w:p>
        </w:tc>
        <w:tc>
          <w:tcPr>
            <w:tcW w:w="222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szCs w:val="21"/>
              </w:rPr>
            </w:pPr>
            <w:r>
              <w:rPr>
                <w:szCs w:val="21"/>
              </w:rPr>
              <w:t>喷射剩余率</w:t>
            </w:r>
          </w:p>
        </w:tc>
        <w:tc>
          <w:tcPr>
            <w:tcW w:w="3291" w:type="dxa"/>
            <w:vMerge w:val="continue"/>
            <w:tcBorders>
              <w:left w:val="single" w:color="auto" w:sz="4" w:space="0"/>
              <w:right w:val="single" w:color="auto" w:sz="4" w:space="0"/>
            </w:tcBorders>
            <w:vAlign w:val="center"/>
          </w:tcPr>
          <w:p>
            <w:pPr>
              <w:adjustRightInd w:val="0"/>
              <w:snapToGrid w:val="0"/>
              <w:spacing w:line="30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1017" w:type="dxa"/>
            <w:vMerge w:val="continue"/>
            <w:tcBorders>
              <w:left w:val="single" w:color="auto" w:sz="4" w:space="0"/>
              <w:bottom w:val="single" w:color="auto" w:sz="4" w:space="0"/>
              <w:right w:val="single" w:color="auto" w:sz="4" w:space="0"/>
            </w:tcBorders>
            <w:vAlign w:val="center"/>
          </w:tcPr>
          <w:p>
            <w:pPr>
              <w:snapToGrid w:val="0"/>
              <w:spacing w:line="300" w:lineRule="exact"/>
              <w:jc w:val="center"/>
              <w:rPr>
                <w:szCs w:val="21"/>
              </w:rPr>
            </w:pPr>
          </w:p>
        </w:tc>
        <w:tc>
          <w:tcPr>
            <w:tcW w:w="2240" w:type="dxa"/>
            <w:vMerge w:val="continue"/>
            <w:tcBorders>
              <w:left w:val="nil"/>
              <w:bottom w:val="single" w:color="auto" w:sz="4" w:space="0"/>
              <w:right w:val="single" w:color="auto" w:sz="4" w:space="0"/>
            </w:tcBorders>
            <w:vAlign w:val="center"/>
          </w:tcPr>
          <w:p>
            <w:pPr>
              <w:spacing w:line="300" w:lineRule="exact"/>
              <w:jc w:val="center"/>
              <w:rPr>
                <w:szCs w:val="21"/>
              </w:rPr>
            </w:pPr>
          </w:p>
        </w:tc>
        <w:tc>
          <w:tcPr>
            <w:tcW w:w="222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szCs w:val="21"/>
              </w:rPr>
            </w:pPr>
            <w:r>
              <w:rPr>
                <w:szCs w:val="21"/>
              </w:rPr>
              <w:t>喷射距离</w:t>
            </w:r>
          </w:p>
        </w:tc>
        <w:tc>
          <w:tcPr>
            <w:tcW w:w="3291" w:type="dxa"/>
            <w:vMerge w:val="continue"/>
            <w:tcBorders>
              <w:left w:val="single" w:color="auto" w:sz="4" w:space="0"/>
              <w:right w:val="single" w:color="auto" w:sz="4" w:space="0"/>
            </w:tcBorders>
            <w:vAlign w:val="center"/>
          </w:tcPr>
          <w:p>
            <w:pPr>
              <w:adjustRightInd w:val="0"/>
              <w:snapToGrid w:val="0"/>
              <w:spacing w:line="30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7" w:hRule="atLeast"/>
          <w:jc w:val="center"/>
        </w:trPr>
        <w:tc>
          <w:tcPr>
            <w:tcW w:w="1017" w:type="dxa"/>
            <w:tcBorders>
              <w:top w:val="single" w:color="auto" w:sz="4" w:space="0"/>
              <w:left w:val="single" w:color="auto" w:sz="4" w:space="0"/>
              <w:right w:val="single" w:color="auto" w:sz="4" w:space="0"/>
            </w:tcBorders>
            <w:vAlign w:val="center"/>
          </w:tcPr>
          <w:p>
            <w:pPr>
              <w:snapToGrid w:val="0"/>
              <w:spacing w:line="300" w:lineRule="exact"/>
              <w:jc w:val="center"/>
              <w:rPr>
                <w:szCs w:val="21"/>
              </w:rPr>
            </w:pPr>
            <w:r>
              <w:rPr>
                <w:szCs w:val="21"/>
              </w:rPr>
              <w:t>2</w:t>
            </w:r>
          </w:p>
        </w:tc>
        <w:tc>
          <w:tcPr>
            <w:tcW w:w="4465" w:type="dxa"/>
            <w:gridSpan w:val="2"/>
            <w:tcBorders>
              <w:top w:val="single" w:color="auto" w:sz="4" w:space="0"/>
              <w:left w:val="nil"/>
              <w:right w:val="single" w:color="auto" w:sz="4" w:space="0"/>
            </w:tcBorders>
            <w:vAlign w:val="center"/>
          </w:tcPr>
          <w:p>
            <w:pPr>
              <w:spacing w:line="300" w:lineRule="exact"/>
              <w:jc w:val="center"/>
              <w:rPr>
                <w:szCs w:val="21"/>
              </w:rPr>
            </w:pPr>
            <w:r>
              <w:rPr>
                <w:szCs w:val="21"/>
              </w:rPr>
              <w:t>充装误差</w:t>
            </w:r>
          </w:p>
        </w:tc>
        <w:tc>
          <w:tcPr>
            <w:tcW w:w="3291" w:type="dxa"/>
            <w:vMerge w:val="continue"/>
            <w:tcBorders>
              <w:left w:val="single" w:color="auto" w:sz="4" w:space="0"/>
              <w:right w:val="single" w:color="auto" w:sz="4" w:space="0"/>
            </w:tcBorders>
            <w:vAlign w:val="center"/>
          </w:tcPr>
          <w:p>
            <w:pPr>
              <w:adjustRightInd w:val="0"/>
              <w:snapToGrid w:val="0"/>
              <w:spacing w:line="30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jc w:val="center"/>
        </w:trPr>
        <w:tc>
          <w:tcPr>
            <w:tcW w:w="1017" w:type="dxa"/>
            <w:tcBorders>
              <w:top w:val="single" w:color="auto" w:sz="4" w:space="0"/>
              <w:left w:val="single" w:color="auto" w:sz="4" w:space="0"/>
              <w:right w:val="single" w:color="auto" w:sz="4" w:space="0"/>
            </w:tcBorders>
            <w:vAlign w:val="center"/>
          </w:tcPr>
          <w:p>
            <w:pPr>
              <w:snapToGrid w:val="0"/>
              <w:spacing w:line="300" w:lineRule="exact"/>
              <w:jc w:val="center"/>
              <w:rPr>
                <w:szCs w:val="21"/>
              </w:rPr>
            </w:pPr>
            <w:r>
              <w:rPr>
                <w:szCs w:val="21"/>
              </w:rPr>
              <w:t>3</w:t>
            </w:r>
          </w:p>
        </w:tc>
        <w:tc>
          <w:tcPr>
            <w:tcW w:w="2240" w:type="dxa"/>
            <w:tcBorders>
              <w:top w:val="single" w:color="auto" w:sz="4" w:space="0"/>
              <w:left w:val="nil"/>
              <w:right w:val="single" w:color="auto" w:sz="4" w:space="0"/>
            </w:tcBorders>
            <w:vAlign w:val="center"/>
          </w:tcPr>
          <w:p>
            <w:pPr>
              <w:spacing w:line="300" w:lineRule="exact"/>
              <w:jc w:val="center"/>
              <w:rPr>
                <w:szCs w:val="21"/>
              </w:rPr>
            </w:pPr>
            <w:r>
              <w:rPr>
                <w:szCs w:val="21"/>
              </w:rPr>
              <w:t>瓶体</w:t>
            </w:r>
          </w:p>
        </w:tc>
        <w:tc>
          <w:tcPr>
            <w:tcW w:w="2225" w:type="dxa"/>
            <w:tcBorders>
              <w:top w:val="single" w:color="auto" w:sz="4" w:space="0"/>
              <w:left w:val="single" w:color="auto" w:sz="4" w:space="0"/>
              <w:right w:val="single" w:color="auto" w:sz="4" w:space="0"/>
            </w:tcBorders>
            <w:vAlign w:val="center"/>
          </w:tcPr>
          <w:p>
            <w:pPr>
              <w:spacing w:line="300" w:lineRule="exact"/>
              <w:jc w:val="center"/>
              <w:rPr>
                <w:strike/>
                <w:szCs w:val="21"/>
              </w:rPr>
            </w:pPr>
            <w:r>
              <w:rPr>
                <w:szCs w:val="21"/>
              </w:rPr>
              <w:t>爆破性能</w:t>
            </w:r>
          </w:p>
        </w:tc>
        <w:tc>
          <w:tcPr>
            <w:tcW w:w="3291" w:type="dxa"/>
            <w:vMerge w:val="continue"/>
            <w:tcBorders>
              <w:left w:val="single" w:color="auto" w:sz="4" w:space="0"/>
              <w:right w:val="single" w:color="auto" w:sz="4" w:space="0"/>
            </w:tcBorders>
            <w:vAlign w:val="center"/>
          </w:tcPr>
          <w:p>
            <w:pPr>
              <w:adjustRightInd w:val="0"/>
              <w:snapToGrid w:val="0"/>
              <w:spacing w:line="30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1017"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szCs w:val="21"/>
              </w:rPr>
            </w:pPr>
            <w:r>
              <w:rPr>
                <w:szCs w:val="21"/>
              </w:rPr>
              <w:t>4</w:t>
            </w:r>
          </w:p>
        </w:tc>
        <w:tc>
          <w:tcPr>
            <w:tcW w:w="2240" w:type="dxa"/>
            <w:tcBorders>
              <w:top w:val="single" w:color="auto" w:sz="4" w:space="0"/>
              <w:left w:val="nil"/>
              <w:bottom w:val="single" w:color="auto" w:sz="4" w:space="0"/>
              <w:right w:val="single" w:color="auto" w:sz="4" w:space="0"/>
            </w:tcBorders>
            <w:vAlign w:val="center"/>
          </w:tcPr>
          <w:p>
            <w:pPr>
              <w:spacing w:line="300" w:lineRule="exact"/>
              <w:jc w:val="center"/>
              <w:rPr>
                <w:szCs w:val="21"/>
              </w:rPr>
            </w:pPr>
            <w:r>
              <w:rPr>
                <w:szCs w:val="21"/>
              </w:rPr>
              <w:t>灭火剂（干粉灭火剂）</w:t>
            </w:r>
          </w:p>
        </w:tc>
        <w:tc>
          <w:tcPr>
            <w:tcW w:w="222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szCs w:val="21"/>
              </w:rPr>
            </w:pPr>
            <w:r>
              <w:rPr>
                <w:szCs w:val="21"/>
              </w:rPr>
              <w:t>第一主要组分含量</w:t>
            </w:r>
          </w:p>
        </w:tc>
        <w:tc>
          <w:tcPr>
            <w:tcW w:w="3291" w:type="dxa"/>
            <w:tcBorders>
              <w:left w:val="single" w:color="auto" w:sz="4" w:space="0"/>
              <w:right w:val="single" w:color="auto" w:sz="4" w:space="0"/>
            </w:tcBorders>
            <w:vAlign w:val="center"/>
          </w:tcPr>
          <w:p>
            <w:pPr>
              <w:adjustRightInd w:val="0"/>
              <w:snapToGrid w:val="0"/>
              <w:spacing w:line="300" w:lineRule="exact"/>
              <w:jc w:val="center"/>
              <w:rPr>
                <w:szCs w:val="21"/>
              </w:rPr>
            </w:pPr>
            <w:r>
              <w:rPr>
                <w:szCs w:val="21"/>
              </w:rPr>
              <w:t>GB 4066</w:t>
            </w:r>
            <w:r>
              <w:rPr>
                <w:color w:val="000000"/>
                <w:szCs w:val="21"/>
              </w:rPr>
              <w:t>—2017</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napToGrid w:val="0"/>
        <w:spacing w:line="440" w:lineRule="exact"/>
        <w:ind w:firstLine="420" w:firstLineChars="200"/>
        <w:rPr>
          <w:rFonts w:hint="eastAsia"/>
        </w:rPr>
      </w:pPr>
      <w:bookmarkStart w:id="1" w:name="_Hlk32567754"/>
      <w:r>
        <w:rPr>
          <w:rFonts w:hint="eastAsia"/>
        </w:rPr>
        <w:t>GB 4066</w:t>
      </w:r>
      <w:r>
        <w:rPr>
          <w:color w:val="000000"/>
          <w:szCs w:val="21"/>
        </w:rPr>
        <w:t>—</w:t>
      </w:r>
      <w:r>
        <w:rPr>
          <w:rFonts w:hint="eastAsia"/>
        </w:rPr>
        <w:t>2017 干粉灭火剂</w:t>
      </w:r>
    </w:p>
    <w:p>
      <w:pPr>
        <w:spacing w:line="440" w:lineRule="exact"/>
        <w:ind w:firstLine="420" w:firstLineChars="200"/>
        <w:rPr>
          <w:color w:val="000000"/>
          <w:szCs w:val="21"/>
        </w:rPr>
      </w:pPr>
      <w:r>
        <w:rPr>
          <w:rFonts w:hint="eastAsia"/>
        </w:rPr>
        <w:t>GB 4351</w:t>
      </w:r>
      <w:r>
        <w:rPr>
          <w:color w:val="000000"/>
          <w:szCs w:val="21"/>
        </w:rPr>
        <w:t>—</w:t>
      </w:r>
      <w:r>
        <w:rPr>
          <w:rFonts w:hint="eastAsia"/>
        </w:rPr>
        <w:t>2023 手提式灭火器</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1"/>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若被检产品明示的质量要求缺少本细则中检验项目依据的推荐性标准要求时，该项目不参与判定。</w:t>
      </w:r>
    </w:p>
    <w:p>
      <w:pPr>
        <w:adjustRightInd w:val="0"/>
        <w:snapToGrid w:val="0"/>
        <w:spacing w:line="360" w:lineRule="auto"/>
        <w:ind w:firstLine="420" w:firstLineChars="200"/>
        <w:rPr>
          <w:color w:val="000000"/>
          <w:szCs w:val="21"/>
        </w:rPr>
      </w:pPr>
      <w:bookmarkStart w:id="2" w:name="_GoBack"/>
      <w:bookmarkEnd w:id="2"/>
    </w:p>
    <w:p>
      <w:pPr>
        <w:snapToGrid w:val="0"/>
        <w:spacing w:line="360" w:lineRule="auto"/>
        <w:rPr>
          <w:szCs w:val="21"/>
        </w:rPr>
      </w:pPr>
    </w:p>
    <w:p>
      <w:pPr>
        <w:snapToGrid w:val="0"/>
        <w:spacing w:line="360" w:lineRule="auto"/>
        <w:ind w:firstLine="420" w:firstLineChars="200"/>
        <w:rPr>
          <w:color w:val="000000"/>
          <w:szCs w:val="21"/>
          <w:u w:val="single"/>
        </w:rPr>
      </w:pPr>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ourier New">
    <w:altName w:val="DejaVu Sans"/>
    <w:panose1 w:val="02070309020205020404"/>
    <w:charset w:val="00"/>
    <w:family w:val="modern"/>
    <w:pitch w:val="default"/>
    <w:sig w:usb0="00000000" w:usb1="00000000" w:usb2="00000009" w:usb3="00000000" w:csb0="000001F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汉仪新人文宋简"/>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汉仪新人文宋简">
    <w:panose1 w:val="00020600040101010101"/>
    <w:charset w:val="86"/>
    <w:family w:val="auto"/>
    <w:pitch w:val="default"/>
    <w:sig w:usb0="A00002BF" w:usb1="1ACF7CFA" w:usb2="00000016" w:usb3="00000000" w:csb0="0004009F" w:csb1="DFD70000"/>
  </w:font>
  <w:font w:name="方正宋体S-超大字符集">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1113"/>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2DD4"/>
    <w:rsid w:val="0018638C"/>
    <w:rsid w:val="00192E30"/>
    <w:rsid w:val="001A5470"/>
    <w:rsid w:val="001A7812"/>
    <w:rsid w:val="001B58E3"/>
    <w:rsid w:val="001C0C0A"/>
    <w:rsid w:val="001C2C41"/>
    <w:rsid w:val="001C4F34"/>
    <w:rsid w:val="001C4FD3"/>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45B11"/>
    <w:rsid w:val="00250292"/>
    <w:rsid w:val="00250B09"/>
    <w:rsid w:val="002518E2"/>
    <w:rsid w:val="002533F7"/>
    <w:rsid w:val="00253624"/>
    <w:rsid w:val="00261CEA"/>
    <w:rsid w:val="002710B5"/>
    <w:rsid w:val="00274E3E"/>
    <w:rsid w:val="002825C2"/>
    <w:rsid w:val="00283DAF"/>
    <w:rsid w:val="002877C3"/>
    <w:rsid w:val="00287B95"/>
    <w:rsid w:val="00293303"/>
    <w:rsid w:val="00293771"/>
    <w:rsid w:val="00293B52"/>
    <w:rsid w:val="002A7719"/>
    <w:rsid w:val="002A7D1C"/>
    <w:rsid w:val="002B3016"/>
    <w:rsid w:val="002B50E7"/>
    <w:rsid w:val="002C212C"/>
    <w:rsid w:val="002D325D"/>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B672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70B3"/>
    <w:rsid w:val="00CF795D"/>
    <w:rsid w:val="00D07287"/>
    <w:rsid w:val="00D120C2"/>
    <w:rsid w:val="00D132AB"/>
    <w:rsid w:val="00D15D3E"/>
    <w:rsid w:val="00D21D6C"/>
    <w:rsid w:val="00D24014"/>
    <w:rsid w:val="00D25749"/>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91476"/>
    <w:rsid w:val="00EA011A"/>
    <w:rsid w:val="00EA72A7"/>
    <w:rsid w:val="00EB023B"/>
    <w:rsid w:val="00EB1ED5"/>
    <w:rsid w:val="00EB2BD1"/>
    <w:rsid w:val="00EB338A"/>
    <w:rsid w:val="00EC01EC"/>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B1F"/>
    <w:rsid w:val="00FE61DC"/>
    <w:rsid w:val="00FE7E8A"/>
    <w:rsid w:val="00FF078C"/>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 w:val="DEBB6B3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117</Words>
  <Characters>669</Characters>
  <Lines>5</Lines>
  <Paragraphs>1</Paragraphs>
  <TotalTime>1</TotalTime>
  <ScaleCrop>false</ScaleCrop>
  <LinksUpToDate>false</LinksUpToDate>
  <CharactersWithSpaces>785</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2026-07-21T14:38:00Z</dcterms:created>
  <dc:creator>Legend User</dc:creator>
  <cp:lastModifiedBy> </cp:lastModifiedBy>
  <cp:lastPrinted>2020-10-08T10:52:00Z</cp:lastPrinted>
  <dcterms:modified xsi:type="dcterms:W3CDTF">2026-07-22T11:54:52Z</dcterms:modified>
  <dc:title>××产品质量监督抽查实施细则</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90B5D6B717C94F2197C4BF4417B8A480_13</vt:lpwstr>
  </property>
  <property fmtid="{D5CDD505-2E9C-101B-9397-08002B2CF9AE}" pid="4" name="KSOTemplateDocerSaveRecord">
    <vt:lpwstr>eyJoZGlkIjoiM2EwYjViMTYwMGFkOGJjMjlhMTdiNzQ2ZGY1YTkyYmMiLCJ1c2VySWQiOiIzNTk2MDM0NDIifQ==</vt:lpwstr>
  </property>
</Properties>
</file>