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hint="eastAsia" w:asciiTheme="majorEastAsia" w:hAnsiTheme="majorEastAsia" w:eastAsiaTheme="majorEastAsia" w:cstheme="majorEastAsia"/>
          <w:b/>
          <w:bCs/>
          <w:color w:val="000000"/>
          <w:sz w:val="32"/>
          <w:szCs w:val="32"/>
        </w:rPr>
      </w:pPr>
      <w:r>
        <w:rPr>
          <w:rFonts w:hint="eastAsia" w:asciiTheme="majorEastAsia" w:hAnsiTheme="majorEastAsia" w:eastAsiaTheme="majorEastAsia" w:cstheme="majorEastAsia"/>
          <w:b/>
          <w:bCs/>
          <w:color w:val="000000"/>
          <w:sz w:val="32"/>
          <w:szCs w:val="32"/>
        </w:rPr>
        <w:t>2026年吐鲁番市</w:t>
      </w:r>
      <w:r>
        <w:rPr>
          <w:rFonts w:hint="eastAsia" w:asciiTheme="majorEastAsia" w:hAnsiTheme="majorEastAsia" w:eastAsiaTheme="majorEastAsia" w:cstheme="majorEastAsia"/>
          <w:b/>
          <w:bCs/>
          <w:color w:val="000000"/>
          <w:sz w:val="32"/>
          <w:szCs w:val="32"/>
          <w:lang w:val="en-US" w:eastAsia="zh-CN"/>
        </w:rPr>
        <w:t>校服</w:t>
      </w:r>
      <w:r>
        <w:rPr>
          <w:rFonts w:hint="eastAsia" w:asciiTheme="majorEastAsia" w:hAnsiTheme="majorEastAsia" w:eastAsiaTheme="majorEastAsia" w:cstheme="majorEastAsia"/>
          <w:b/>
          <w:bCs/>
          <w:color w:val="000000"/>
          <w:sz w:val="32"/>
          <w:szCs w:val="32"/>
        </w:rPr>
        <w:t>产品质量监督抽查实施细则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rFonts w:ascii="Times New Roman" w:hAnsi="Times New Roman" w:eastAsia="宋体" w:cs="Times New Roman"/>
          <w:color w:val="000000"/>
          <w:szCs w:val="21"/>
        </w:rPr>
      </w:pPr>
      <w:r>
        <w:rPr>
          <w:rFonts w:hint="eastAsia" w:ascii="Times New Roman" w:hAnsi="Times New Roman" w:eastAsia="宋体" w:cs="Times New Roman"/>
          <w:color w:val="000000"/>
          <w:szCs w:val="21"/>
          <w:lang w:val="en-US" w:eastAsia="zh-CN"/>
        </w:rPr>
        <w:t>每批次抽取</w:t>
      </w:r>
      <w:r>
        <w:rPr>
          <w:rFonts w:hint="eastAsia" w:cs="Times New Roman"/>
          <w:color w:val="000000"/>
          <w:szCs w:val="21"/>
          <w:lang w:val="en-US" w:eastAsia="zh-CN"/>
        </w:rPr>
        <w:t>样品</w:t>
      </w:r>
      <w:r>
        <w:rPr>
          <w:rFonts w:hint="eastAsia" w:ascii="Times New Roman" w:hAnsi="Times New Roman" w:eastAsia="宋体" w:cs="Times New Roman"/>
          <w:color w:val="000000"/>
          <w:szCs w:val="21"/>
          <w:lang w:val="en-US" w:eastAsia="zh-CN"/>
        </w:rPr>
        <w:t>2</w:t>
      </w:r>
      <w:r>
        <w:rPr>
          <w:rFonts w:hint="eastAsia" w:cs="Times New Roman"/>
          <w:color w:val="000000"/>
          <w:szCs w:val="21"/>
          <w:lang w:val="en-US" w:eastAsia="zh-CN"/>
        </w:rPr>
        <w:t>套</w:t>
      </w:r>
      <w:r>
        <w:rPr>
          <w:rFonts w:hint="eastAsia" w:ascii="Times New Roman" w:hAnsi="Times New Roman" w:eastAsia="宋体" w:cs="Times New Roman"/>
          <w:color w:val="000000"/>
          <w:szCs w:val="21"/>
          <w:lang w:val="en-US" w:eastAsia="zh-CN"/>
        </w:rPr>
        <w:t>，其中检验1套，备样</w:t>
      </w:r>
      <w:r>
        <w:rPr>
          <w:rFonts w:hint="eastAsia" w:cs="Times New Roman"/>
          <w:color w:val="000000"/>
          <w:szCs w:val="21"/>
          <w:lang w:val="en-US" w:eastAsia="zh-CN"/>
        </w:rPr>
        <w:t>1</w:t>
      </w:r>
      <w:r>
        <w:rPr>
          <w:rFonts w:hint="eastAsia" w:ascii="Times New Roman" w:hAnsi="Times New Roman" w:eastAsia="宋体" w:cs="Times New Roman"/>
          <w:color w:val="000000"/>
          <w:szCs w:val="21"/>
          <w:lang w:val="en-US" w:eastAsia="zh-CN"/>
        </w:rPr>
        <w:t>套</w:t>
      </w:r>
      <w:r>
        <w:rPr>
          <w:rFonts w:ascii="Times New Roman" w:hAnsi="Times New Roman" w:eastAsia="宋体" w:cs="Times New Roman"/>
          <w:color w:val="000000"/>
          <w:szCs w:val="21"/>
        </w:rPr>
        <w:t>。</w:t>
      </w:r>
    </w:p>
    <w:p>
      <w:pPr>
        <w:rPr>
          <w:rFonts w:asciiTheme="minorEastAsia" w:hAnsiTheme="minorEastAsia" w:eastAsiaTheme="minorEastAsia"/>
          <w:kern w:val="0"/>
          <w:sz w:val="18"/>
          <w:szCs w:val="18"/>
        </w:rPr>
      </w:pP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color w:val="000000"/>
          <w:szCs w:val="21"/>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表1</w:t>
      </w:r>
      <w:r>
        <w:rPr>
          <w:rFonts w:hint="eastAsia" w:hAnsi="宋体" w:cs="宋体"/>
          <w:szCs w:val="21"/>
        </w:rPr>
        <w:t>。</w:t>
      </w:r>
    </w:p>
    <w:p>
      <w:pPr>
        <w:adjustRightInd w:val="0"/>
        <w:snapToGrid w:val="0"/>
        <w:spacing w:line="440" w:lineRule="exact"/>
        <w:jc w:val="center"/>
        <w:rPr>
          <w:rFonts w:hint="eastAsia" w:eastAsia="宋体"/>
          <w:szCs w:val="21"/>
          <w:lang w:eastAsia="zh-CN"/>
        </w:rPr>
      </w:pPr>
      <w:r>
        <w:rPr>
          <w:rFonts w:hint="eastAsia" w:ascii="Times New Roman" w:hAnsi="Times New Roman" w:eastAsia="宋体" w:cs="Times New Roman"/>
          <w:color w:val="auto"/>
          <w:szCs w:val="21"/>
          <w:lang w:val="en-US" w:eastAsia="zh-CN"/>
        </w:rPr>
        <w:t xml:space="preserve">表1 </w:t>
      </w:r>
      <w:r>
        <w:rPr>
          <w:szCs w:val="21"/>
        </w:rPr>
        <w:t xml:space="preserve"> </w:t>
      </w:r>
      <w:r>
        <w:rPr>
          <w:rFonts w:hint="eastAsia"/>
          <w:szCs w:val="21"/>
          <w:lang w:val="en-US" w:eastAsia="zh-CN"/>
        </w:rPr>
        <w:t>校服</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1"/>
        <w:gridCol w:w="4970"/>
        <w:gridCol w:w="2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val="0"/>
              <w:kinsoku/>
              <w:wordWrap/>
              <w:overflowPunct/>
              <w:topLinePunct w:val="0"/>
              <w:autoSpaceDE/>
              <w:autoSpaceDN/>
              <w:bidi w:val="0"/>
              <w:snapToGrid w:val="0"/>
              <w:spacing w:line="440" w:lineRule="exact"/>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序号</w:t>
            </w:r>
          </w:p>
        </w:tc>
        <w:tc>
          <w:tcPr>
            <w:tcW w:w="4970" w:type="dxa"/>
            <w:noWrap w:val="0"/>
            <w:vAlign w:val="center"/>
          </w:tcPr>
          <w:p>
            <w:pPr>
              <w:keepNext w:val="0"/>
              <w:keepLines w:val="0"/>
              <w:pageBreakBefore w:val="0"/>
              <w:widowControl w:val="0"/>
              <w:kinsoku/>
              <w:wordWrap/>
              <w:overflowPunct/>
              <w:topLinePunct w:val="0"/>
              <w:autoSpaceDE/>
              <w:autoSpaceDN/>
              <w:bidi w:val="0"/>
              <w:snapToGrid w:val="0"/>
              <w:spacing w:line="440" w:lineRule="exact"/>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检验项目</w:t>
            </w:r>
          </w:p>
        </w:tc>
        <w:tc>
          <w:tcPr>
            <w:tcW w:w="2747" w:type="dxa"/>
            <w:noWrap w:val="0"/>
            <w:vAlign w:val="center"/>
          </w:tcPr>
          <w:p>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4970" w:type="dxa"/>
            <w:noWrap w:val="0"/>
            <w:vAlign w:val="center"/>
          </w:tcPr>
          <w:p>
            <w:pPr>
              <w:adjustRightInd w:val="0"/>
              <w:snapToGrid w:val="0"/>
              <w:jc w:val="center"/>
              <w:rPr>
                <w:rFonts w:hint="eastAsia"/>
                <w:color w:val="000000"/>
                <w:kern w:val="2"/>
                <w:sz w:val="21"/>
                <w:szCs w:val="21"/>
                <w:lang w:val="en-US" w:eastAsia="zh-CN" w:bidi="ar-SA"/>
              </w:rPr>
            </w:pPr>
            <w:r>
              <w:rPr>
                <w:rFonts w:hint="eastAsia"/>
                <w:color w:val="000000"/>
                <w:kern w:val="2"/>
                <w:sz w:val="21"/>
                <w:szCs w:val="21"/>
                <w:lang w:val="en-US" w:eastAsia="zh-CN" w:bidi="ar-SA"/>
              </w:rPr>
              <w:t>纤维含量</w:t>
            </w:r>
          </w:p>
        </w:tc>
        <w:tc>
          <w:tcPr>
            <w:tcW w:w="2747" w:type="dxa"/>
            <w:noWrap w:val="0"/>
            <w:vAlign w:val="center"/>
          </w:tcPr>
          <w:p>
            <w:pPr>
              <w:adjustRightInd w:val="0"/>
              <w:snapToGrid w:val="0"/>
              <w:jc w:val="center"/>
              <w:rPr>
                <w:rFonts w:hint="eastAsia" w:ascii="Times New Roman" w:hAnsi="Times New Roman" w:eastAsia="宋体" w:cs="Times New Roman"/>
                <w:color w:val="000000"/>
                <w:szCs w:val="21"/>
              </w:rPr>
            </w:pPr>
            <w:r>
              <w:rPr>
                <w:rFonts w:hint="eastAsia" w:ascii="Times New Roman" w:hAnsi="Times New Roman" w:eastAsia="宋体" w:cs="Times New Roman"/>
                <w:color w:val="000000"/>
                <w:szCs w:val="21"/>
              </w:rPr>
              <w:t>FZ/T 01057（适用部分）</w:t>
            </w:r>
          </w:p>
          <w:p>
            <w:pPr>
              <w:adjustRightInd w:val="0"/>
              <w:snapToGrid w:val="0"/>
              <w:jc w:val="center"/>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rPr>
              <w:t>GB/T 2910（适用部分）等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4970"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甲醛含量</w:t>
            </w:r>
          </w:p>
        </w:tc>
        <w:tc>
          <w:tcPr>
            <w:tcW w:w="2747" w:type="dxa"/>
            <w:noWrap w:val="0"/>
            <w:vAlign w:val="center"/>
          </w:tcPr>
          <w:p>
            <w:pPr>
              <w:adjustRightInd w:val="0"/>
              <w:snapToGrid w:val="0"/>
              <w:jc w:val="center"/>
              <w:rPr>
                <w:rFonts w:hint="eastAsia" w:ascii="Times New Roman" w:hAnsi="Times New Roman" w:eastAsia="宋体" w:cs="Times New Roman"/>
                <w:color w:val="000000"/>
                <w:szCs w:val="21"/>
                <w:lang w:val="en-US" w:eastAsia="zh-CN"/>
              </w:rPr>
            </w:pPr>
            <w:r>
              <w:rPr>
                <w:rFonts w:ascii="Times New Roman" w:hAnsi="Times New Roman" w:eastAsia="宋体" w:cs="Times New Roman"/>
                <w:color w:val="000000"/>
                <w:szCs w:val="21"/>
              </w:rPr>
              <w:t>GB/T 2912.1</w:t>
            </w:r>
            <w:r>
              <w:rPr>
                <w:rFonts w:hint="eastAsia" w:ascii="Times New Roman" w:hAnsi="Times New Roman" w:eastAsia="宋体" w:cs="Times New Roman"/>
                <w:color w:val="000000"/>
                <w:szCs w:val="21"/>
                <w:lang w:eastAsia="zh-CN"/>
              </w:rPr>
              <w:t>—</w:t>
            </w:r>
            <w:r>
              <w:rPr>
                <w:rFonts w:ascii="Times New Roman" w:hAnsi="Times New Roman" w:eastAsia="宋体" w:cs="Times New Roman"/>
                <w:color w:val="000000"/>
                <w:szCs w:val="21"/>
              </w:rPr>
              <w:t>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c>
          <w:tcPr>
            <w:tcW w:w="4970"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pH值</w:t>
            </w:r>
          </w:p>
        </w:tc>
        <w:tc>
          <w:tcPr>
            <w:tcW w:w="2747"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GB/T 7573</w:t>
            </w:r>
            <w:r>
              <w:rPr>
                <w:rFonts w:hint="eastAsia"/>
                <w:color w:val="000000"/>
                <w:szCs w:val="21"/>
                <w:lang w:eastAsia="zh-CN"/>
              </w:rPr>
              <w:t>—</w:t>
            </w:r>
            <w:r>
              <w:rPr>
                <w:color w:val="000000"/>
                <w:szCs w:val="21"/>
              </w:rPr>
              <w:t>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w:t>
            </w:r>
          </w:p>
        </w:tc>
        <w:tc>
          <w:tcPr>
            <w:tcW w:w="4970" w:type="dxa"/>
            <w:noWrap w:val="0"/>
            <w:vAlign w:val="center"/>
          </w:tcPr>
          <w:p>
            <w:pPr>
              <w:snapToGrid w:val="0"/>
              <w:spacing w:line="300" w:lineRule="exact"/>
              <w:jc w:val="center"/>
              <w:rPr>
                <w:kern w:val="2"/>
                <w:sz w:val="21"/>
                <w:szCs w:val="21"/>
                <w:lang w:val="en-US" w:eastAsia="zh-CN" w:bidi="ar-SA"/>
              </w:rPr>
            </w:pPr>
            <w:r>
              <w:rPr>
                <w:szCs w:val="21"/>
              </w:rPr>
              <w:t>可分解致癌芳香胺染料</w:t>
            </w:r>
          </w:p>
        </w:tc>
        <w:tc>
          <w:tcPr>
            <w:tcW w:w="2747" w:type="dxa"/>
            <w:noWrap w:val="0"/>
            <w:vAlign w:val="center"/>
          </w:tcPr>
          <w:p>
            <w:pPr>
              <w:snapToGrid w:val="0"/>
              <w:spacing w:line="300" w:lineRule="exact"/>
              <w:jc w:val="center"/>
              <w:rPr>
                <w:szCs w:val="21"/>
              </w:rPr>
            </w:pPr>
            <w:r>
              <w:rPr>
                <w:szCs w:val="21"/>
              </w:rPr>
              <w:t>GB/T 17592—20</w:t>
            </w:r>
            <w:r>
              <w:rPr>
                <w:rFonts w:hint="eastAsia"/>
                <w:szCs w:val="21"/>
              </w:rPr>
              <w:t>24</w:t>
            </w:r>
          </w:p>
          <w:p>
            <w:pPr>
              <w:snapToGrid w:val="0"/>
              <w:spacing w:line="300" w:lineRule="exact"/>
              <w:jc w:val="center"/>
              <w:rPr>
                <w:kern w:val="2"/>
                <w:sz w:val="21"/>
                <w:szCs w:val="21"/>
                <w:lang w:val="en-US" w:eastAsia="zh-CN" w:bidi="ar-SA"/>
              </w:rPr>
            </w:pPr>
            <w:r>
              <w:rPr>
                <w:szCs w:val="21"/>
              </w:rPr>
              <w:t>GB/T 23344—2009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5</w:t>
            </w:r>
          </w:p>
        </w:tc>
        <w:tc>
          <w:tcPr>
            <w:tcW w:w="4970"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耐水色牢度</w:t>
            </w:r>
          </w:p>
        </w:tc>
        <w:tc>
          <w:tcPr>
            <w:tcW w:w="2747"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GB/T 5713</w:t>
            </w:r>
            <w:r>
              <w:rPr>
                <w:rFonts w:hint="eastAsia"/>
                <w:color w:val="000000"/>
                <w:szCs w:val="21"/>
                <w:lang w:eastAsia="zh-CN"/>
              </w:rPr>
              <w:t>—</w:t>
            </w:r>
            <w:r>
              <w:rPr>
                <w:color w:val="000000"/>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6</w:t>
            </w:r>
          </w:p>
        </w:tc>
        <w:tc>
          <w:tcPr>
            <w:tcW w:w="4970"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耐酸汗渍色牢度</w:t>
            </w:r>
          </w:p>
        </w:tc>
        <w:tc>
          <w:tcPr>
            <w:tcW w:w="2747"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GB/T 3922</w:t>
            </w:r>
            <w:r>
              <w:rPr>
                <w:rFonts w:hint="eastAsia"/>
                <w:color w:val="000000"/>
                <w:szCs w:val="21"/>
                <w:lang w:eastAsia="zh-CN"/>
              </w:rPr>
              <w:t>—</w:t>
            </w:r>
            <w:r>
              <w:rPr>
                <w:color w:val="000000"/>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7</w:t>
            </w:r>
          </w:p>
        </w:tc>
        <w:tc>
          <w:tcPr>
            <w:tcW w:w="4970"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耐碱汗渍色牢度</w:t>
            </w:r>
          </w:p>
        </w:tc>
        <w:tc>
          <w:tcPr>
            <w:tcW w:w="2747"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GB/T 3922</w:t>
            </w:r>
            <w:r>
              <w:rPr>
                <w:rFonts w:hint="eastAsia"/>
                <w:color w:val="000000"/>
                <w:szCs w:val="21"/>
                <w:lang w:eastAsia="zh-CN"/>
              </w:rPr>
              <w:t>—</w:t>
            </w:r>
            <w:r>
              <w:rPr>
                <w:color w:val="000000"/>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8</w:t>
            </w:r>
          </w:p>
        </w:tc>
        <w:tc>
          <w:tcPr>
            <w:tcW w:w="4970"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耐干摩擦色牢度</w:t>
            </w:r>
          </w:p>
        </w:tc>
        <w:tc>
          <w:tcPr>
            <w:tcW w:w="2747"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GB/T 3920</w:t>
            </w:r>
            <w:r>
              <w:rPr>
                <w:rFonts w:hint="eastAsia"/>
                <w:color w:val="000000"/>
                <w:szCs w:val="21"/>
                <w:lang w:eastAsia="zh-CN"/>
              </w:rPr>
              <w:t>—</w:t>
            </w:r>
            <w:r>
              <w:rPr>
                <w:color w:val="000000"/>
                <w:szCs w:val="21"/>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w:t>
            </w:r>
          </w:p>
        </w:tc>
        <w:tc>
          <w:tcPr>
            <w:tcW w:w="4970"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耐</w:t>
            </w:r>
            <w:r>
              <w:rPr>
                <w:rFonts w:hint="eastAsia"/>
                <w:color w:val="000000"/>
                <w:szCs w:val="21"/>
                <w:lang w:val="en-US" w:eastAsia="zh-CN"/>
              </w:rPr>
              <w:t>湿</w:t>
            </w:r>
            <w:r>
              <w:rPr>
                <w:color w:val="000000"/>
                <w:szCs w:val="21"/>
              </w:rPr>
              <w:t>摩擦色牢度</w:t>
            </w:r>
          </w:p>
        </w:tc>
        <w:tc>
          <w:tcPr>
            <w:tcW w:w="2747"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GB/T 3920</w:t>
            </w:r>
            <w:r>
              <w:rPr>
                <w:rFonts w:hint="eastAsia"/>
                <w:color w:val="000000"/>
                <w:szCs w:val="21"/>
                <w:lang w:eastAsia="zh-CN"/>
              </w:rPr>
              <w:t>—</w:t>
            </w:r>
            <w:r>
              <w:rPr>
                <w:color w:val="000000"/>
                <w:szCs w:val="21"/>
              </w:rPr>
              <w:t>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w:t>
            </w:r>
          </w:p>
        </w:tc>
        <w:tc>
          <w:tcPr>
            <w:tcW w:w="4970" w:type="dxa"/>
            <w:noWrap w:val="0"/>
            <w:vAlign w:val="center"/>
          </w:tcPr>
          <w:p>
            <w:pPr>
              <w:snapToGrid w:val="0"/>
              <w:spacing w:line="300" w:lineRule="exact"/>
              <w:jc w:val="center"/>
              <w:rPr>
                <w:kern w:val="2"/>
                <w:sz w:val="21"/>
                <w:szCs w:val="21"/>
                <w:lang w:val="en-US" w:eastAsia="zh-CN" w:bidi="ar-SA"/>
              </w:rPr>
            </w:pPr>
            <w:r>
              <w:rPr>
                <w:szCs w:val="21"/>
              </w:rPr>
              <w:t>绳带要求</w:t>
            </w:r>
          </w:p>
        </w:tc>
        <w:tc>
          <w:tcPr>
            <w:tcW w:w="2747" w:type="dxa"/>
            <w:noWrap w:val="0"/>
            <w:vAlign w:val="center"/>
          </w:tcPr>
          <w:p>
            <w:pPr>
              <w:snapToGrid w:val="0"/>
              <w:spacing w:line="300" w:lineRule="exact"/>
              <w:jc w:val="center"/>
              <w:rPr>
                <w:kern w:val="2"/>
                <w:sz w:val="21"/>
                <w:szCs w:val="21"/>
                <w:lang w:val="en-US" w:eastAsia="zh-CN" w:bidi="ar-SA"/>
              </w:rPr>
            </w:pPr>
            <w:r>
              <w:rPr>
                <w:szCs w:val="21"/>
              </w:rPr>
              <w:t>GB 31701—2015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11</w:t>
            </w:r>
          </w:p>
        </w:tc>
        <w:tc>
          <w:tcPr>
            <w:tcW w:w="4970" w:type="dxa"/>
            <w:noWrap w:val="0"/>
            <w:vAlign w:val="center"/>
          </w:tcPr>
          <w:p>
            <w:pPr>
              <w:snapToGrid w:val="0"/>
              <w:spacing w:line="300" w:lineRule="exact"/>
              <w:jc w:val="center"/>
              <w:rPr>
                <w:kern w:val="2"/>
                <w:sz w:val="21"/>
                <w:szCs w:val="21"/>
                <w:lang w:val="en-US" w:eastAsia="zh-CN" w:bidi="ar-SA"/>
              </w:rPr>
            </w:pPr>
            <w:r>
              <w:rPr>
                <w:szCs w:val="21"/>
              </w:rPr>
              <w:t>附件锐利性</w:t>
            </w:r>
          </w:p>
        </w:tc>
        <w:tc>
          <w:tcPr>
            <w:tcW w:w="2747" w:type="dxa"/>
            <w:noWrap w:val="0"/>
            <w:vAlign w:val="center"/>
          </w:tcPr>
          <w:p>
            <w:pPr>
              <w:snapToGrid w:val="0"/>
              <w:spacing w:line="300" w:lineRule="exact"/>
              <w:jc w:val="center"/>
              <w:rPr>
                <w:kern w:val="2"/>
                <w:sz w:val="21"/>
                <w:szCs w:val="21"/>
                <w:lang w:val="en-US" w:eastAsia="zh-CN" w:bidi="ar-SA"/>
              </w:rPr>
            </w:pPr>
            <w:r>
              <w:rPr>
                <w:szCs w:val="21"/>
              </w:rPr>
              <w:t>GB/T 31702—2015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12</w:t>
            </w:r>
          </w:p>
        </w:tc>
        <w:tc>
          <w:tcPr>
            <w:tcW w:w="4970" w:type="dxa"/>
            <w:noWrap w:val="0"/>
            <w:vAlign w:val="center"/>
          </w:tcPr>
          <w:p>
            <w:pPr>
              <w:snapToGrid w:val="0"/>
              <w:spacing w:line="300" w:lineRule="exact"/>
              <w:jc w:val="center"/>
              <w:rPr>
                <w:kern w:val="2"/>
                <w:sz w:val="21"/>
                <w:szCs w:val="21"/>
                <w:lang w:val="en-US" w:eastAsia="zh-CN" w:bidi="ar-SA"/>
              </w:rPr>
            </w:pPr>
            <w:r>
              <w:rPr>
                <w:szCs w:val="21"/>
              </w:rPr>
              <w:t>金属针</w:t>
            </w:r>
          </w:p>
        </w:tc>
        <w:tc>
          <w:tcPr>
            <w:tcW w:w="2747" w:type="dxa"/>
            <w:noWrap w:val="0"/>
            <w:vAlign w:val="center"/>
          </w:tcPr>
          <w:p>
            <w:pPr>
              <w:pStyle w:val="4"/>
              <w:snapToGrid w:val="0"/>
              <w:spacing w:line="300" w:lineRule="exact"/>
              <w:jc w:val="center"/>
              <w:rPr>
                <w:rFonts w:ascii="Times New Roman" w:hAnsi="Times New Roman"/>
                <w:kern w:val="0"/>
                <w:sz w:val="20"/>
                <w:szCs w:val="20"/>
                <w:lang w:val="en-US" w:eastAsia="zh-CN" w:bidi="ar-SA"/>
              </w:rPr>
            </w:pPr>
            <w:r>
              <w:rPr>
                <w:rFonts w:ascii="Times New Roman" w:hAnsi="Times New Roman"/>
              </w:rPr>
              <w:t xml:space="preserve">GB 31701—2015 </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rFonts w:hint="eastAsia" w:cs="宋体"/>
          <w:szCs w:val="21"/>
        </w:rPr>
      </w:pPr>
      <w:bookmarkStart w:id="0" w:name="_Hlk32567754"/>
      <w:r>
        <w:rPr>
          <w:rFonts w:hint="eastAsia" w:cs="宋体"/>
          <w:szCs w:val="21"/>
        </w:rPr>
        <w:t>GB/T 22854—2009 《针织学生服》</w:t>
      </w:r>
    </w:p>
    <w:p>
      <w:pPr>
        <w:spacing w:line="440" w:lineRule="exact"/>
        <w:ind w:firstLine="420" w:firstLineChars="200"/>
        <w:rPr>
          <w:rFonts w:hint="eastAsia" w:cs="宋体"/>
          <w:szCs w:val="21"/>
        </w:rPr>
      </w:pPr>
      <w:r>
        <w:rPr>
          <w:rFonts w:hint="eastAsia" w:cs="宋体"/>
          <w:szCs w:val="21"/>
        </w:rPr>
        <w:t>GB/T 23328—2009 《机织学生服》</w:t>
      </w:r>
    </w:p>
    <w:p>
      <w:pPr>
        <w:spacing w:line="440" w:lineRule="exact"/>
        <w:ind w:firstLine="420" w:firstLineChars="200"/>
        <w:rPr>
          <w:rFonts w:hint="eastAsia" w:cs="宋体"/>
          <w:szCs w:val="21"/>
        </w:rPr>
      </w:pPr>
      <w:r>
        <w:rPr>
          <w:rFonts w:hint="eastAsia" w:cs="宋体"/>
          <w:szCs w:val="21"/>
        </w:rPr>
        <w:t>GB/T 31888—2015 《中小学生校服》</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若被检产品明示的质量要求缺少本细则中检验项目依据的推荐性标准要求时，该项目不参与判定。</w:t>
      </w:r>
    </w:p>
    <w:p>
      <w:pPr>
        <w:adjustRightInd w:val="0"/>
        <w:snapToGrid w:val="0"/>
        <w:spacing w:line="360" w:lineRule="auto"/>
        <w:ind w:firstLine="420" w:firstLineChars="200"/>
        <w:rPr>
          <w:color w:val="000000"/>
          <w:szCs w:val="21"/>
        </w:rPr>
      </w:pPr>
      <w:bookmarkStart w:id="1" w:name="_GoBack"/>
      <w:bookmarkEnd w:id="1"/>
    </w:p>
    <w:p>
      <w:pPr>
        <w:snapToGrid w:val="0"/>
        <w:spacing w:line="360" w:lineRule="auto"/>
        <w:rPr>
          <w:szCs w:val="21"/>
        </w:rPr>
      </w:pPr>
    </w:p>
    <w:p>
      <w:pPr>
        <w:snapToGrid w:val="0"/>
        <w:spacing w:line="360" w:lineRule="auto"/>
        <w:ind w:firstLine="420" w:firstLineChars="200"/>
        <w:rPr>
          <w:color w:val="000000"/>
          <w:szCs w:val="21"/>
          <w:u w:val="single"/>
        </w:rPr>
      </w:pP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华文仿宋"/>
    <w:panose1 w:val="02010600030101010101"/>
    <w:charset w:val="86"/>
    <w:family w:val="auto"/>
    <w:pitch w:val="default"/>
    <w:sig w:usb0="00000000" w:usb1="00000000" w:usb2="00000006" w:usb3="00000000" w:csb0="00040001" w:csb1="00000000"/>
  </w:font>
  <w:font w:name="方正书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1CD7"/>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764F0"/>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1560"/>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0E3"/>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17580"/>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448A"/>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8643C"/>
    <w:rsid w:val="00E91476"/>
    <w:rsid w:val="00EA011A"/>
    <w:rsid w:val="00EA72A7"/>
    <w:rsid w:val="00EB023B"/>
    <w:rsid w:val="00EB1ED5"/>
    <w:rsid w:val="00EB2BD1"/>
    <w:rsid w:val="00EB338A"/>
    <w:rsid w:val="00EC01EC"/>
    <w:rsid w:val="00EE1FC3"/>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85E"/>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43DD"/>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58E"/>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DF07639"/>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4F72C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120B3E"/>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0A1892"/>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3079"/>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95D3F"/>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1E835F0"/>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7644C"/>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648</Words>
  <Characters>731</Characters>
  <Lines>5</Lines>
  <Paragraphs>1</Paragraphs>
  <TotalTime>0</TotalTime>
  <ScaleCrop>false</ScaleCrop>
  <LinksUpToDate>false</LinksUpToDate>
  <CharactersWithSpaces>741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2026-07-21T14:48:00Z</dcterms:created>
  <dc:creator>Legend User</dc:creator>
  <cp:lastModifiedBy> </cp:lastModifiedBy>
  <cp:lastPrinted>2020-10-08T10:52:00Z</cp:lastPrinted>
  <dcterms:modified xsi:type="dcterms:W3CDTF">2026-07-22T12:03:01Z</dcterms:modified>
  <dc:title>××产品质量监督抽查实施细则</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D4FBA021FF36406989A42A0B23426B05_13</vt:lpwstr>
  </property>
  <property fmtid="{D5CDD505-2E9C-101B-9397-08002B2CF9AE}" pid="4" name="KSOTemplateDocerSaveRecord">
    <vt:lpwstr>eyJoZGlkIjoiZjFmZWIzNDg2MmIzZjExOTIzMmViNTBmYTMwYTk0ZWYiLCJ1c2VySWQiOiIzOTg1Njg2NDcifQ==</vt:lpwstr>
  </property>
</Properties>
</file>