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277"/>
      </w:pPr>
      <w:r>
        <w:rPr>
          <w:rFonts w:hint="eastAsia"/>
          <w:b/>
          <w:bCs/>
        </w:rPr>
        <w:t>2026年吐鲁番市</w:t>
      </w:r>
      <w:r>
        <w:rPr>
          <w:b/>
          <w:bCs/>
        </w:rPr>
        <w:t>照明配电箱产品质量监督抽查实施细则</w:t>
      </w:r>
    </w:p>
    <w:p>
      <w:pPr>
        <w:rPr>
          <w:rFonts w:hint="eastAsia"/>
        </w:rPr>
      </w:pPr>
      <w:bookmarkStart w:id="0" w:name="_GoBack"/>
      <w:bookmarkEnd w:id="0"/>
    </w:p>
    <w:p>
      <w:pPr>
        <w:pStyle w:val="3"/>
        <w:ind w:left="-5"/>
        <w:rPr>
          <w:rFonts w:hint="eastAsia"/>
        </w:rPr>
      </w:pPr>
      <w:r>
        <w:t>1 抽样方法</w:t>
      </w:r>
    </w:p>
    <w:p>
      <w:pPr>
        <w:ind w:left="415"/>
        <w:rPr>
          <w:rFonts w:hint="eastAsia"/>
        </w:rPr>
      </w:pPr>
      <w:r>
        <w:t>以随机抽样的方式在被抽样销售者的待销产品中抽取。</w:t>
      </w:r>
    </w:p>
    <w:p>
      <w:pPr>
        <w:ind w:left="415"/>
        <w:rPr>
          <w:rFonts w:hint="eastAsia"/>
        </w:rPr>
      </w:pPr>
      <w:r>
        <w:t>随机数一般可使用随机数表等方法产生。</w:t>
      </w:r>
    </w:p>
    <w:p>
      <w:pPr>
        <w:spacing w:after="337"/>
        <w:ind w:left="415"/>
        <w:rPr>
          <w:rFonts w:hint="eastAsia"/>
        </w:rPr>
      </w:pPr>
      <w:r>
        <w:t>每批次产品抽取样品2台，其中1台作为检验样品，1台作为备用样品。</w:t>
      </w:r>
    </w:p>
    <w:p>
      <w:pPr>
        <w:pStyle w:val="3"/>
        <w:spacing w:after="0"/>
        <w:ind w:left="-5"/>
        <w:rPr>
          <w:rFonts w:hint="eastAsia"/>
        </w:rPr>
      </w:pPr>
      <w:r>
        <w:t>2 检验依据</w:t>
      </w:r>
    </w:p>
    <w:tbl>
      <w:tblPr>
        <w:tblStyle w:val="8"/>
        <w:tblW w:w="9033" w:type="dxa"/>
        <w:tblInd w:w="-108" w:type="dxa"/>
        <w:tblLayout w:type="autofit"/>
        <w:tblCellMar>
          <w:top w:w="56" w:type="dxa"/>
          <w:left w:w="115" w:type="dxa"/>
          <w:bottom w:w="0" w:type="dxa"/>
          <w:right w:w="115" w:type="dxa"/>
        </w:tblCellMar>
      </w:tblPr>
      <w:tblGrid>
        <w:gridCol w:w="1475"/>
        <w:gridCol w:w="4587"/>
        <w:gridCol w:w="2971"/>
      </w:tblGrid>
      <w:tr>
        <w:tblPrEx>
          <w:tblCellMar>
            <w:top w:w="56" w:type="dxa"/>
            <w:left w:w="115" w:type="dxa"/>
            <w:bottom w:w="0" w:type="dxa"/>
            <w:right w:w="115" w:type="dxa"/>
          </w:tblCellMar>
        </w:tblPrEx>
        <w:trPr>
          <w:trHeight w:val="510"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1" w:firstLine="0"/>
              <w:jc w:val="center"/>
              <w:rPr>
                <w:rFonts w:hint="eastAsia"/>
              </w:rPr>
            </w:pPr>
            <w:r>
              <w:t>序号</w:t>
            </w:r>
          </w:p>
        </w:tc>
        <w:tc>
          <w:tcPr>
            <w:tcW w:w="4587"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检验项目</w:t>
            </w:r>
          </w:p>
        </w:tc>
        <w:tc>
          <w:tcPr>
            <w:tcW w:w="2971"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1" w:firstLine="0"/>
              <w:jc w:val="center"/>
              <w:rPr>
                <w:rFonts w:hint="eastAsia"/>
              </w:rPr>
            </w:pPr>
            <w:r>
              <w:t>依据标准</w:t>
            </w:r>
          </w:p>
        </w:tc>
      </w:tr>
      <w:tr>
        <w:tblPrEx>
          <w:tblCellMar>
            <w:top w:w="56" w:type="dxa"/>
            <w:left w:w="115" w:type="dxa"/>
            <w:bottom w:w="0" w:type="dxa"/>
            <w:right w:w="115" w:type="dxa"/>
          </w:tblCellMar>
        </w:tblPrEx>
        <w:trPr>
          <w:trHeight w:val="567"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1</w:t>
            </w:r>
          </w:p>
        </w:tc>
        <w:tc>
          <w:tcPr>
            <w:tcW w:w="4587"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介电性能</w:t>
            </w:r>
          </w:p>
        </w:tc>
        <w:tc>
          <w:tcPr>
            <w:tcW w:w="2971" w:type="dxa"/>
            <w:vMerge w:val="restart"/>
            <w:tcBorders>
              <w:top w:val="single" w:color="000000" w:sz="4" w:space="0"/>
              <w:left w:val="single" w:color="000000" w:sz="4" w:space="0"/>
              <w:bottom w:val="single" w:color="000000" w:sz="4" w:space="0"/>
              <w:right w:val="single" w:color="000000" w:sz="4" w:space="0"/>
            </w:tcBorders>
            <w:vAlign w:val="center"/>
          </w:tcPr>
          <w:p>
            <w:pPr>
              <w:spacing w:after="40" w:line="259" w:lineRule="auto"/>
              <w:ind w:left="17" w:firstLine="0"/>
              <w:jc w:val="center"/>
              <w:rPr>
                <w:rFonts w:hint="eastAsia"/>
              </w:rPr>
            </w:pPr>
            <w:r>
              <w:t>GB/T 7251.1-2023</w:t>
            </w:r>
          </w:p>
          <w:p>
            <w:pPr>
              <w:spacing w:after="0" w:line="259" w:lineRule="auto"/>
              <w:ind w:left="17" w:firstLine="0"/>
              <w:jc w:val="center"/>
              <w:rPr>
                <w:rFonts w:hint="eastAsia"/>
              </w:rPr>
            </w:pPr>
            <w:r>
              <w:t>GB/T 7251.3-2017</w:t>
            </w:r>
          </w:p>
        </w:tc>
      </w:tr>
      <w:tr>
        <w:tblPrEx>
          <w:tblCellMar>
            <w:top w:w="56" w:type="dxa"/>
            <w:left w:w="115" w:type="dxa"/>
            <w:bottom w:w="0" w:type="dxa"/>
            <w:right w:w="115" w:type="dxa"/>
          </w:tblCellMar>
        </w:tblPrEx>
        <w:trPr>
          <w:trHeight w:val="567"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2</w:t>
            </w:r>
          </w:p>
        </w:tc>
        <w:tc>
          <w:tcPr>
            <w:tcW w:w="4587"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电气间隙和爬电距离</w:t>
            </w:r>
          </w:p>
        </w:tc>
        <w:tc>
          <w:tcPr>
            <w:tcW w:w="0" w:type="auto"/>
            <w:vMerge w:val="continue"/>
            <w:tcBorders>
              <w:top w:val="nil"/>
              <w:left w:val="single" w:color="000000" w:sz="4" w:space="0"/>
              <w:bottom w:val="nil"/>
              <w:right w:val="single" w:color="000000" w:sz="4" w:space="0"/>
            </w:tcBorders>
          </w:tcPr>
          <w:p>
            <w:pPr>
              <w:spacing w:after="160" w:line="259" w:lineRule="auto"/>
              <w:ind w:left="0" w:firstLine="0"/>
              <w:rPr>
                <w:rFonts w:hint="eastAsia"/>
              </w:rPr>
            </w:pPr>
          </w:p>
        </w:tc>
      </w:tr>
      <w:tr>
        <w:trPr>
          <w:trHeight w:val="567"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3</w:t>
            </w:r>
          </w:p>
        </w:tc>
        <w:tc>
          <w:tcPr>
            <w:tcW w:w="4587"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机械操作</w:t>
            </w:r>
          </w:p>
        </w:tc>
        <w:tc>
          <w:tcPr>
            <w:tcW w:w="0" w:type="auto"/>
            <w:vMerge w:val="continue"/>
            <w:tcBorders>
              <w:top w:val="nil"/>
              <w:left w:val="single" w:color="000000" w:sz="4" w:space="0"/>
              <w:bottom w:val="nil"/>
              <w:right w:val="single" w:color="000000" w:sz="4" w:space="0"/>
            </w:tcBorders>
          </w:tcPr>
          <w:p>
            <w:pPr>
              <w:spacing w:after="160" w:line="259" w:lineRule="auto"/>
              <w:ind w:left="0" w:firstLine="0"/>
              <w:rPr>
                <w:rFonts w:hint="eastAsia"/>
              </w:rPr>
            </w:pPr>
          </w:p>
        </w:tc>
      </w:tr>
      <w:tr>
        <w:tblPrEx>
          <w:tblCellMar>
            <w:top w:w="56" w:type="dxa"/>
            <w:left w:w="115" w:type="dxa"/>
            <w:bottom w:w="0" w:type="dxa"/>
            <w:right w:w="115" w:type="dxa"/>
          </w:tblCellMar>
        </w:tblPrEx>
        <w:trPr>
          <w:trHeight w:val="567"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4</w:t>
            </w:r>
          </w:p>
        </w:tc>
        <w:tc>
          <w:tcPr>
            <w:tcW w:w="4587"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成套设备的防护等级</w:t>
            </w:r>
          </w:p>
        </w:tc>
        <w:tc>
          <w:tcPr>
            <w:tcW w:w="0" w:type="auto"/>
            <w:vMerge w:val="continue"/>
            <w:tcBorders>
              <w:top w:val="nil"/>
              <w:left w:val="single" w:color="000000" w:sz="4" w:space="0"/>
              <w:bottom w:val="nil"/>
              <w:right w:val="single" w:color="000000" w:sz="4" w:space="0"/>
            </w:tcBorders>
          </w:tcPr>
          <w:p>
            <w:pPr>
              <w:spacing w:after="160" w:line="259" w:lineRule="auto"/>
              <w:ind w:left="0" w:firstLine="0"/>
              <w:rPr>
                <w:rFonts w:hint="eastAsia"/>
              </w:rPr>
            </w:pPr>
          </w:p>
        </w:tc>
      </w:tr>
      <w:tr>
        <w:tblPrEx>
          <w:tblCellMar>
            <w:top w:w="56" w:type="dxa"/>
            <w:left w:w="115" w:type="dxa"/>
            <w:bottom w:w="0" w:type="dxa"/>
            <w:right w:w="115" w:type="dxa"/>
          </w:tblCellMar>
        </w:tblPrEx>
        <w:trPr>
          <w:trHeight w:val="567"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5</w:t>
            </w:r>
          </w:p>
        </w:tc>
        <w:tc>
          <w:tcPr>
            <w:tcW w:w="4587" w:type="dxa"/>
            <w:tcBorders>
              <w:top w:val="single" w:color="000000" w:sz="4" w:space="0"/>
              <w:left w:val="single" w:color="000000" w:sz="4" w:space="0"/>
              <w:bottom w:val="single" w:color="000000" w:sz="4" w:space="0"/>
              <w:right w:val="single" w:color="000000" w:sz="4" w:space="0"/>
            </w:tcBorders>
          </w:tcPr>
          <w:p>
            <w:pPr>
              <w:spacing w:after="0" w:line="259" w:lineRule="auto"/>
              <w:ind w:left="0" w:firstLine="0"/>
              <w:jc w:val="center"/>
              <w:rPr>
                <w:rFonts w:hint="eastAsia"/>
              </w:rPr>
            </w:pPr>
            <w:r>
              <w:t>成套设备外露可导电部分与保护电路之间的有效接地的连续性</w:t>
            </w:r>
          </w:p>
        </w:tc>
        <w:tc>
          <w:tcPr>
            <w:tcW w:w="0" w:type="auto"/>
            <w:vMerge w:val="continue"/>
            <w:tcBorders>
              <w:top w:val="nil"/>
              <w:left w:val="single" w:color="000000" w:sz="4" w:space="0"/>
              <w:bottom w:val="nil"/>
              <w:right w:val="single" w:color="000000" w:sz="4" w:space="0"/>
            </w:tcBorders>
          </w:tcPr>
          <w:p>
            <w:pPr>
              <w:spacing w:after="160" w:line="259" w:lineRule="auto"/>
              <w:ind w:left="0" w:firstLine="0"/>
              <w:rPr>
                <w:rFonts w:hint="eastAsia"/>
              </w:rPr>
            </w:pPr>
          </w:p>
        </w:tc>
      </w:tr>
      <w:tr>
        <w:tblPrEx>
          <w:tblCellMar>
            <w:top w:w="56" w:type="dxa"/>
            <w:left w:w="115" w:type="dxa"/>
            <w:bottom w:w="0" w:type="dxa"/>
            <w:right w:w="115" w:type="dxa"/>
          </w:tblCellMar>
        </w:tblPrEx>
        <w:trPr>
          <w:trHeight w:val="567" w:hRule="atLeast"/>
        </w:trPr>
        <w:tc>
          <w:tcPr>
            <w:tcW w:w="1475"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3" w:firstLine="0"/>
              <w:jc w:val="center"/>
              <w:rPr>
                <w:rFonts w:hint="eastAsia"/>
              </w:rPr>
            </w:pPr>
            <w:r>
              <w:t>6</w:t>
            </w:r>
          </w:p>
        </w:tc>
        <w:tc>
          <w:tcPr>
            <w:tcW w:w="4587"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ind w:left="0" w:right="6" w:firstLine="0"/>
              <w:jc w:val="center"/>
              <w:rPr>
                <w:rFonts w:hint="eastAsia"/>
              </w:rPr>
            </w:pPr>
            <w:r>
              <w:t>标志</w:t>
            </w:r>
          </w:p>
        </w:tc>
        <w:tc>
          <w:tcPr>
            <w:tcW w:w="0" w:type="auto"/>
            <w:vMerge w:val="continue"/>
            <w:tcBorders>
              <w:top w:val="nil"/>
              <w:left w:val="single" w:color="000000" w:sz="4" w:space="0"/>
              <w:bottom w:val="single" w:color="000000" w:sz="4" w:space="0"/>
              <w:right w:val="single" w:color="000000" w:sz="4" w:space="0"/>
            </w:tcBorders>
          </w:tcPr>
          <w:p>
            <w:pPr>
              <w:spacing w:after="160" w:line="259" w:lineRule="auto"/>
              <w:ind w:left="0" w:firstLine="0"/>
              <w:rPr>
                <w:rFonts w:hint="eastAsia"/>
              </w:rPr>
            </w:pPr>
          </w:p>
        </w:tc>
      </w:tr>
    </w:tbl>
    <w:p>
      <w:pPr>
        <w:ind w:left="415"/>
        <w:rPr>
          <w:rFonts w:hint="eastAsia"/>
        </w:rPr>
      </w:pPr>
      <w:r>
        <w:t>执行企业标准、团体标准、地方标准的产品，检验项目参照上述内容执行。</w:t>
      </w:r>
    </w:p>
    <w:p>
      <w:pPr>
        <w:ind w:left="415"/>
        <w:rPr>
          <w:rFonts w:hint="eastAsia"/>
        </w:rPr>
      </w:pPr>
      <w:r>
        <w:t>凡是注日期的文件，其随后所有的修改单（不包括勘误的内容)或修订版不适用于本细</w:t>
      </w:r>
    </w:p>
    <w:p>
      <w:pPr>
        <w:spacing w:after="337"/>
        <w:ind w:left="10"/>
        <w:rPr>
          <w:rFonts w:hint="eastAsia"/>
        </w:rPr>
      </w:pPr>
      <w:r>
        <w:t>则。凡是不注日期的文件，其最新版本适用于本细则。</w:t>
      </w:r>
    </w:p>
    <w:p>
      <w:pPr>
        <w:pStyle w:val="3"/>
        <w:ind w:left="-5"/>
        <w:rPr>
          <w:rFonts w:hint="eastAsia"/>
        </w:rPr>
      </w:pPr>
      <w:r>
        <w:t>3 判定规则</w:t>
      </w:r>
    </w:p>
    <w:p>
      <w:pPr>
        <w:ind w:left="10"/>
        <w:rPr>
          <w:rFonts w:hint="eastAsia"/>
        </w:rPr>
      </w:pPr>
      <w:r>
        <w:t>3.1依据标准</w:t>
      </w:r>
    </w:p>
    <w:p>
      <w:pPr>
        <w:ind w:left="415"/>
        <w:rPr>
          <w:rFonts w:hint="eastAsia"/>
        </w:rPr>
      </w:pPr>
      <w:r>
        <w:t>GB/T 7251.1-2023 低压成套开关设备和控制设备 第1部分：总则</w:t>
      </w:r>
    </w:p>
    <w:p>
      <w:pPr>
        <w:ind w:left="415"/>
        <w:rPr>
          <w:rFonts w:hint="eastAsia"/>
        </w:rPr>
      </w:pPr>
      <w:r>
        <w:t>GB/T7251.3-2017低压成套开关设备和控制设备 第3部分：由一般人员操作的配电板</w:t>
      </w:r>
    </w:p>
    <w:p>
      <w:pPr>
        <w:ind w:left="10"/>
        <w:rPr>
          <w:rFonts w:hint="eastAsia"/>
        </w:rPr>
      </w:pPr>
      <w:r>
        <w:t>（DBO）</w:t>
      </w:r>
    </w:p>
    <w:p>
      <w:pPr>
        <w:spacing w:after="212"/>
        <w:ind w:left="10"/>
        <w:rPr>
          <w:rFonts w:hint="eastAsia"/>
        </w:rPr>
      </w:pPr>
      <w:r>
        <w:t>3.2判定原则</w:t>
      </w:r>
    </w:p>
    <w:p>
      <w:pPr>
        <w:spacing w:after="0" w:line="390" w:lineRule="auto"/>
        <w:ind w:left="0" w:firstLine="420"/>
        <w:rPr>
          <w:rFonts w:hint="eastAsia"/>
        </w:rPr>
      </w:pPr>
      <w:r>
        <w:t>经检验，检验项目全部合格，判定为被抽查产品所检项目未发现不合格；检验项目中任一项或一项以上不合格，判定为被抽查产品不合格。</w:t>
      </w:r>
    </w:p>
    <w:p>
      <w:pPr>
        <w:spacing w:after="140"/>
        <w:ind w:left="415"/>
        <w:rPr>
          <w:rFonts w:hint="eastAsia"/>
        </w:rPr>
      </w:pPr>
      <w:r>
        <w:t>若被检产品明示的质量要求高于本细则中检验项目依据的标准要求时，应按被检产品明</w:t>
      </w:r>
    </w:p>
    <w:p>
      <w:pPr>
        <w:spacing w:after="0" w:line="390" w:lineRule="auto"/>
        <w:ind w:left="10"/>
        <w:rPr>
          <w:rFonts w:hint="eastAsia"/>
        </w:rPr>
      </w:pPr>
      <w:r>
        <w:t>示的质量要求判定。若被检产品明示的质量要求低于本细则中检验项目依据的强制性标准要求时，应按照强制性标准要求判定。</w:t>
      </w:r>
    </w:p>
    <w:p>
      <w:pPr>
        <w:spacing w:after="2" w:line="388" w:lineRule="auto"/>
        <w:ind w:left="0" w:firstLine="418"/>
        <w:rPr>
          <w:rFonts w:hint="eastAsia"/>
        </w:rPr>
      </w:pPr>
      <w:r>
        <w:t>若被检产品明示的质量要求低于或包含本细则中检验项目依据的推荐性标准要求时，应以被检产品明示的质量要求判定。</w:t>
      </w:r>
    </w:p>
    <w:p>
      <w:pPr>
        <w:spacing w:after="0" w:line="388" w:lineRule="auto"/>
        <w:ind w:left="0" w:firstLine="418"/>
        <w:rPr>
          <w:rFonts w:hint="eastAsia"/>
        </w:rPr>
      </w:pPr>
      <w:r>
        <w:t>若被检产品明示的质量要求缺少本细则中检验项目依据的强制性标准要求时，应按照强制性标准要求判定。</w:t>
      </w:r>
    </w:p>
    <w:p>
      <w:pPr>
        <w:spacing w:after="143"/>
        <w:ind w:left="415"/>
        <w:rPr>
          <w:rFonts w:hint="eastAsia"/>
        </w:rPr>
      </w:pPr>
      <w:r>
        <w:t>若被检产品明示的质量要求缺少本细则中检验项目依据的推荐性标准要求时，该项目不</w:t>
      </w:r>
    </w:p>
    <w:p>
      <w:pPr>
        <w:spacing w:after="577"/>
        <w:ind w:left="10"/>
        <w:rPr>
          <w:rFonts w:hint="eastAsia"/>
        </w:rPr>
      </w:pPr>
      <w:r>
        <w:t>参与判定。</w:t>
      </w:r>
    </w:p>
    <w:p>
      <w:pPr>
        <w:pStyle w:val="3"/>
        <w:ind w:left="-5"/>
        <w:rPr>
          <w:rFonts w:hint="eastAsia"/>
        </w:rPr>
      </w:pPr>
      <w:r>
        <w:t>4 附则</w:t>
      </w:r>
    </w:p>
    <w:p>
      <w:pPr>
        <w:ind w:left="415"/>
        <w:rPr>
          <w:rFonts w:hint="eastAsia"/>
        </w:rPr>
      </w:pPr>
      <w:r>
        <w:t>本细则首次发布。</w:t>
      </w:r>
    </w:p>
    <w:sectPr>
      <w:pgSz w:w="11906" w:h="16838"/>
      <w:pgMar w:top="1488" w:right="1799" w:bottom="1769"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Light">
    <w:altName w:val="汉仪仿宋S"/>
    <w:panose1 w:val="00000000000000000000"/>
    <w:charset w:val="00"/>
    <w:family w:val="auto"/>
    <w:pitch w:val="default"/>
    <w:sig w:usb0="00000000" w:usb1="00000000" w:usb2="00000000" w:usb3="00000000" w:csb0="00000000" w:csb1="00000000"/>
  </w:font>
  <w:font w:name="华文隶书">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roid Sans Mono">
    <w:panose1 w:val="020B0609030804020204"/>
    <w:charset w:val="00"/>
    <w:family w:val="auto"/>
    <w:pitch w:val="default"/>
    <w:sig w:usb0="E00002EF" w:usb1="4000205B" w:usb2="00000028"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A5"/>
    <w:rsid w:val="0008755C"/>
    <w:rsid w:val="00D259E3"/>
    <w:rsid w:val="00D545A5"/>
    <w:rsid w:val="BEFF2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9" w:line="265" w:lineRule="auto"/>
      <w:ind w:left="430" w:hanging="10"/>
    </w:pPr>
    <w:rPr>
      <w:rFonts w:ascii="宋体" w:hAnsi="宋体" w:eastAsia="宋体" w:cs="宋体"/>
      <w:color w:val="000000"/>
      <w:kern w:val="2"/>
      <w:sz w:val="21"/>
      <w:szCs w:val="24"/>
      <w:lang w:val="en-US" w:eastAsia="zh-CN" w:bidi="ar-SA"/>
      <w14:ligatures w14:val="standardContextual"/>
    </w:rPr>
  </w:style>
  <w:style w:type="paragraph" w:styleId="2">
    <w:name w:val="heading 1"/>
    <w:next w:val="1"/>
    <w:link w:val="7"/>
    <w:qFormat/>
    <w:uiPriority w:val="9"/>
    <w:pPr>
      <w:keepNext/>
      <w:keepLines/>
      <w:spacing w:after="0" w:line="259" w:lineRule="auto"/>
      <w:ind w:left="10" w:right="3" w:hanging="10"/>
      <w:jc w:val="center"/>
      <w:outlineLvl w:val="0"/>
    </w:pPr>
    <w:rPr>
      <w:rFonts w:ascii="宋体" w:hAnsi="宋体" w:eastAsia="宋体" w:cs="宋体"/>
      <w:color w:val="000000"/>
      <w:kern w:val="2"/>
      <w:sz w:val="32"/>
      <w:szCs w:val="24"/>
      <w:lang w:val="en-US" w:eastAsia="zh-CN" w:bidi="ar-SA"/>
      <w14:ligatures w14:val="standardContextual"/>
    </w:rPr>
  </w:style>
  <w:style w:type="paragraph" w:styleId="3">
    <w:name w:val="heading 2"/>
    <w:next w:val="1"/>
    <w:link w:val="6"/>
    <w:unhideWhenUsed/>
    <w:qFormat/>
    <w:uiPriority w:val="9"/>
    <w:pPr>
      <w:keepNext/>
      <w:keepLines/>
      <w:spacing w:after="143" w:line="259" w:lineRule="auto"/>
      <w:ind w:left="10" w:hanging="10"/>
      <w:outlineLvl w:val="1"/>
    </w:pPr>
    <w:rPr>
      <w:rFonts w:ascii="黑体" w:hAnsi="黑体" w:eastAsia="黑体" w:cs="黑体"/>
      <w:color w:val="000000"/>
      <w:kern w:val="2"/>
      <w:sz w:val="24"/>
      <w:szCs w:val="24"/>
      <w:lang w:val="en-US" w:eastAsia="zh-CN" w:bidi="ar-SA"/>
      <w14:ligatures w14:val="standardContextual"/>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6">
    <w:name w:val="标题 2 字符"/>
    <w:link w:val="3"/>
    <w:qFormat/>
    <w:uiPriority w:val="0"/>
    <w:rPr>
      <w:rFonts w:ascii="黑体" w:hAnsi="黑体" w:eastAsia="黑体" w:cs="黑体"/>
      <w:color w:val="000000"/>
      <w:sz w:val="24"/>
    </w:rPr>
  </w:style>
  <w:style w:type="character" w:customStyle="1" w:styleId="7">
    <w:name w:val="标题 1 字符"/>
    <w:link w:val="2"/>
    <w:qFormat/>
    <w:uiPriority w:val="0"/>
    <w:rPr>
      <w:rFonts w:ascii="宋体" w:hAnsi="宋体" w:eastAsia="宋体" w:cs="宋体"/>
      <w:color w:val="000000"/>
      <w:sz w:val="32"/>
    </w:rPr>
  </w:style>
  <w:style w:type="table" w:customStyle="1" w:styleId="8">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374</Words>
  <Characters>408</Characters>
  <Lines>31</Lines>
  <Paragraphs>43</Paragraphs>
  <TotalTime>2</TotalTime>
  <ScaleCrop>false</ScaleCrop>
  <LinksUpToDate>false</LinksUpToDate>
  <CharactersWithSpaces>739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2026-07-22T09:03:00Z</dcterms:created>
  <dc:creator>格 何</dc:creator>
  <cp:lastModifiedBy> </cp:lastModifiedBy>
  <dcterms:modified xsi:type="dcterms:W3CDTF">2026-07-22T12:11:24Z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