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bookmarkStart w:id="1" w:name="_GoBack"/>
      <w:r>
        <w:rPr>
          <w:rFonts w:hint="eastAsia" w:asciiTheme="majorEastAsia" w:hAnsiTheme="majorEastAsia" w:eastAsiaTheme="majorEastAsia" w:cstheme="majorEastAsia"/>
          <w:b/>
          <w:bCs/>
          <w:color w:val="000000"/>
          <w:sz w:val="32"/>
          <w:szCs w:val="32"/>
        </w:rPr>
        <w:t>2026年吐鲁番市</w:t>
      </w:r>
      <w:r>
        <w:rPr>
          <w:rFonts w:hint="eastAsia" w:asciiTheme="majorEastAsia" w:hAnsiTheme="majorEastAsia" w:eastAsiaTheme="majorEastAsia" w:cstheme="majorEastAsia"/>
          <w:b/>
          <w:bCs/>
          <w:color w:val="000000"/>
          <w:sz w:val="32"/>
          <w:szCs w:val="32"/>
          <w:lang w:val="en-US" w:eastAsia="zh-CN"/>
        </w:rPr>
        <w:t>电动自行车</w:t>
      </w:r>
      <w:r>
        <w:rPr>
          <w:rFonts w:hint="eastAsia" w:asciiTheme="majorEastAsia" w:hAnsiTheme="majorEastAsia" w:eastAsiaTheme="majorEastAsia" w:cstheme="majorEastAsia"/>
          <w:b/>
          <w:bCs/>
          <w:color w:val="000000"/>
          <w:sz w:val="32"/>
          <w:szCs w:val="32"/>
        </w:rPr>
        <w:t>产品质量监督抽查实施细则</w:t>
      </w:r>
      <w:bookmarkEnd w:id="1"/>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asciiTheme="minorEastAsia" w:hAnsiTheme="minorEastAsia" w:eastAsiaTheme="minorEastAsia"/>
          <w:kern w:val="0"/>
          <w:sz w:val="18"/>
          <w:szCs w:val="18"/>
        </w:rPr>
      </w:pPr>
      <w:r>
        <w:rPr>
          <w:color w:val="000000"/>
          <w:szCs w:val="21"/>
        </w:rPr>
        <w:t>每批次产品抽取</w:t>
      </w:r>
      <w:r>
        <w:rPr>
          <w:rFonts w:hint="eastAsia"/>
          <w:color w:val="000000"/>
          <w:szCs w:val="21"/>
          <w:lang w:val="en-US" w:eastAsia="zh-CN"/>
        </w:rPr>
        <w:t>样品2辆，其中检样1辆，备样1辆。</w:t>
      </w: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color w:val="000000"/>
          <w:szCs w:val="21"/>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w:t>
      </w:r>
      <w:r>
        <w:rPr>
          <w:rFonts w:hint="eastAsia" w:ascii="宋体" w:hAnsi="宋体" w:cs="宋体"/>
          <w:szCs w:val="21"/>
          <w:lang w:val="en-US" w:eastAsia="zh-CN"/>
        </w:rPr>
        <w:t>1</w:t>
      </w:r>
      <w:r>
        <w:rPr>
          <w:rFonts w:hint="eastAsia" w:hAnsi="宋体" w:cs="宋体"/>
          <w:szCs w:val="21"/>
        </w:rPr>
        <w:t>。</w:t>
      </w:r>
    </w:p>
    <w:p>
      <w:pPr>
        <w:ind w:firstLine="210" w:firstLineChars="100"/>
        <w:jc w:val="center"/>
        <w:rPr>
          <w:rFonts w:hint="eastAsia" w:ascii="Times New Roman" w:hAnsi="Times New Roman" w:eastAsia="宋体" w:cs="Times New Roman"/>
          <w:b/>
          <w:bCs/>
          <w:color w:val="auto"/>
          <w:szCs w:val="21"/>
          <w:lang w:val="en-US" w:eastAsia="zh-CN"/>
        </w:rPr>
      </w:pPr>
      <w:r>
        <w:rPr>
          <w:rFonts w:hint="eastAsia" w:ascii="Times New Roman" w:hAnsi="Times New Roman" w:eastAsia="宋体" w:cs="Times New Roman"/>
          <w:b/>
          <w:bCs/>
          <w:color w:val="auto"/>
          <w:szCs w:val="21"/>
          <w:lang w:val="en-US" w:eastAsia="zh-CN"/>
        </w:rPr>
        <w:t>表</w:t>
      </w:r>
      <w:r>
        <w:rPr>
          <w:rFonts w:hint="eastAsia" w:eastAsia="宋体" w:cs="Times New Roman"/>
          <w:b/>
          <w:bCs/>
          <w:color w:val="auto"/>
          <w:szCs w:val="21"/>
          <w:lang w:val="en-US" w:eastAsia="zh-CN"/>
        </w:rPr>
        <w:t>1</w:t>
      </w:r>
      <w:r>
        <w:rPr>
          <w:rFonts w:hint="eastAsia" w:cs="Times New Roman"/>
          <w:b/>
          <w:bCs/>
          <w:color w:val="auto"/>
          <w:szCs w:val="21"/>
          <w:lang w:val="en-US" w:eastAsia="zh-CN"/>
        </w:rPr>
        <w:t>电动自行车</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2"/>
        <w:gridCol w:w="3200"/>
        <w:gridCol w:w="4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90" w:type="pct"/>
            <w:noWrap w:val="0"/>
            <w:vAlign w:val="center"/>
          </w:tcPr>
          <w:p>
            <w:pPr>
              <w:spacing w:line="300" w:lineRule="exact"/>
              <w:jc w:val="center"/>
              <w:rPr>
                <w:szCs w:val="21"/>
              </w:rPr>
            </w:pPr>
            <w:r>
              <w:rPr>
                <w:szCs w:val="21"/>
              </w:rPr>
              <w:t>序号</w:t>
            </w:r>
          </w:p>
        </w:tc>
        <w:tc>
          <w:tcPr>
            <w:tcW w:w="1745" w:type="pct"/>
            <w:noWrap w:val="0"/>
            <w:vAlign w:val="center"/>
          </w:tcPr>
          <w:p>
            <w:pPr>
              <w:spacing w:line="300" w:lineRule="exact"/>
              <w:jc w:val="center"/>
              <w:rPr>
                <w:szCs w:val="21"/>
              </w:rPr>
            </w:pPr>
            <w:r>
              <w:rPr>
                <w:szCs w:val="21"/>
              </w:rPr>
              <w:t>检验项目</w:t>
            </w:r>
          </w:p>
        </w:tc>
        <w:tc>
          <w:tcPr>
            <w:tcW w:w="2665" w:type="pct"/>
            <w:noWrap w:val="0"/>
            <w:vAlign w:val="center"/>
          </w:tcPr>
          <w:p>
            <w:pPr>
              <w:spacing w:line="300" w:lineRule="exact"/>
              <w:jc w:val="center"/>
              <w:rPr>
                <w:szCs w:val="21"/>
              </w:rPr>
            </w:pPr>
            <w:r>
              <w:rPr>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90" w:type="pct"/>
            <w:noWrap w:val="0"/>
            <w:vAlign w:val="center"/>
          </w:tcPr>
          <w:p>
            <w:pPr>
              <w:spacing w:line="300" w:lineRule="exact"/>
              <w:jc w:val="center"/>
              <w:rPr>
                <w:szCs w:val="21"/>
              </w:rPr>
            </w:pPr>
            <w:r>
              <w:rPr>
                <w:szCs w:val="21"/>
              </w:rPr>
              <w:t>1</w:t>
            </w:r>
          </w:p>
        </w:tc>
        <w:tc>
          <w:tcPr>
            <w:tcW w:w="1745" w:type="pct"/>
            <w:noWrap w:val="0"/>
            <w:vAlign w:val="center"/>
          </w:tcPr>
          <w:p>
            <w:pPr>
              <w:spacing w:line="300" w:lineRule="exact"/>
              <w:jc w:val="center"/>
              <w:rPr>
                <w:szCs w:val="21"/>
              </w:rPr>
            </w:pPr>
            <w:r>
              <w:rPr>
                <w:szCs w:val="21"/>
              </w:rPr>
              <w:t>标识与警示语</w:t>
            </w:r>
          </w:p>
        </w:tc>
        <w:tc>
          <w:tcPr>
            <w:tcW w:w="2665" w:type="pct"/>
            <w:noWrap w:val="0"/>
            <w:vAlign w:val="center"/>
          </w:tcPr>
          <w:p>
            <w:pPr>
              <w:spacing w:line="300" w:lineRule="exact"/>
              <w:jc w:val="center"/>
              <w:rPr>
                <w:szCs w:val="21"/>
              </w:rPr>
            </w:pPr>
            <w:r>
              <w:rPr>
                <w:szCs w:val="21"/>
              </w:rPr>
              <w:t>GB 42295—2022及第1号修改单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90" w:type="pct"/>
            <w:noWrap w:val="0"/>
            <w:vAlign w:val="center"/>
          </w:tcPr>
          <w:p>
            <w:pPr>
              <w:spacing w:line="300" w:lineRule="exact"/>
              <w:jc w:val="center"/>
              <w:rPr>
                <w:szCs w:val="21"/>
              </w:rPr>
            </w:pPr>
            <w:r>
              <w:rPr>
                <w:szCs w:val="21"/>
              </w:rPr>
              <w:t>2</w:t>
            </w:r>
          </w:p>
        </w:tc>
        <w:tc>
          <w:tcPr>
            <w:tcW w:w="1745" w:type="pct"/>
            <w:noWrap w:val="0"/>
            <w:vAlign w:val="center"/>
          </w:tcPr>
          <w:p>
            <w:pPr>
              <w:spacing w:line="300" w:lineRule="exact"/>
              <w:jc w:val="center"/>
              <w:rPr>
                <w:szCs w:val="21"/>
              </w:rPr>
            </w:pPr>
            <w:r>
              <w:rPr>
                <w:szCs w:val="21"/>
              </w:rPr>
              <w:t>铭牌</w:t>
            </w:r>
          </w:p>
        </w:tc>
        <w:tc>
          <w:tcPr>
            <w:tcW w:w="2665" w:type="pct"/>
            <w:noWrap w:val="0"/>
            <w:vAlign w:val="center"/>
          </w:tcPr>
          <w:p>
            <w:pPr>
              <w:spacing w:line="300" w:lineRule="exact"/>
              <w:jc w:val="center"/>
              <w:rPr>
                <w:szCs w:val="21"/>
              </w:rPr>
            </w:pPr>
            <w:r>
              <w:rPr>
                <w:szCs w:val="21"/>
              </w:rPr>
              <w:t>GB 17761—2024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90" w:type="pct"/>
            <w:noWrap w:val="0"/>
            <w:vAlign w:val="center"/>
          </w:tcPr>
          <w:p>
            <w:pPr>
              <w:spacing w:line="300" w:lineRule="exact"/>
              <w:jc w:val="center"/>
              <w:rPr>
                <w:szCs w:val="21"/>
              </w:rPr>
            </w:pPr>
            <w:r>
              <w:rPr>
                <w:szCs w:val="21"/>
              </w:rPr>
              <w:t>3</w:t>
            </w:r>
          </w:p>
        </w:tc>
        <w:tc>
          <w:tcPr>
            <w:tcW w:w="1745" w:type="pct"/>
            <w:noWrap w:val="0"/>
            <w:vAlign w:val="center"/>
          </w:tcPr>
          <w:p>
            <w:pPr>
              <w:spacing w:line="300" w:lineRule="exact"/>
              <w:jc w:val="center"/>
              <w:rPr>
                <w:szCs w:val="21"/>
              </w:rPr>
            </w:pPr>
            <w:r>
              <w:rPr>
                <w:szCs w:val="21"/>
              </w:rPr>
              <w:t>车速限值</w:t>
            </w:r>
          </w:p>
        </w:tc>
        <w:tc>
          <w:tcPr>
            <w:tcW w:w="2665" w:type="pct"/>
            <w:noWrap w:val="0"/>
            <w:vAlign w:val="center"/>
          </w:tcPr>
          <w:p>
            <w:pPr>
              <w:spacing w:line="300" w:lineRule="exact"/>
              <w:jc w:val="center"/>
              <w:rPr>
                <w:szCs w:val="21"/>
              </w:rPr>
            </w:pPr>
            <w:r>
              <w:rPr>
                <w:szCs w:val="21"/>
              </w:rPr>
              <w:t>GB 17761—2024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90" w:type="pct"/>
            <w:noWrap w:val="0"/>
            <w:vAlign w:val="center"/>
          </w:tcPr>
          <w:p>
            <w:pPr>
              <w:spacing w:line="300" w:lineRule="exact"/>
              <w:jc w:val="center"/>
              <w:rPr>
                <w:szCs w:val="21"/>
              </w:rPr>
            </w:pPr>
            <w:r>
              <w:rPr>
                <w:szCs w:val="21"/>
              </w:rPr>
              <w:t>4</w:t>
            </w:r>
          </w:p>
        </w:tc>
        <w:tc>
          <w:tcPr>
            <w:tcW w:w="1745" w:type="pct"/>
            <w:noWrap w:val="0"/>
            <w:vAlign w:val="center"/>
          </w:tcPr>
          <w:p>
            <w:pPr>
              <w:spacing w:line="300" w:lineRule="exact"/>
              <w:jc w:val="center"/>
              <w:rPr>
                <w:szCs w:val="21"/>
              </w:rPr>
            </w:pPr>
            <w:r>
              <w:rPr>
                <w:szCs w:val="21"/>
              </w:rPr>
              <w:t>制动性能(干态)</w:t>
            </w:r>
          </w:p>
        </w:tc>
        <w:tc>
          <w:tcPr>
            <w:tcW w:w="2665" w:type="pct"/>
            <w:noWrap w:val="0"/>
            <w:vAlign w:val="center"/>
          </w:tcPr>
          <w:p>
            <w:pPr>
              <w:spacing w:line="300" w:lineRule="exact"/>
              <w:jc w:val="center"/>
              <w:rPr>
                <w:szCs w:val="21"/>
              </w:rPr>
            </w:pPr>
            <w:r>
              <w:rPr>
                <w:szCs w:val="21"/>
              </w:rPr>
              <w:t>GB 17761—2024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90" w:type="pct"/>
            <w:noWrap w:val="0"/>
            <w:vAlign w:val="center"/>
          </w:tcPr>
          <w:p>
            <w:pPr>
              <w:spacing w:line="300" w:lineRule="exact"/>
              <w:jc w:val="center"/>
              <w:rPr>
                <w:szCs w:val="21"/>
              </w:rPr>
            </w:pPr>
            <w:r>
              <w:rPr>
                <w:szCs w:val="21"/>
              </w:rPr>
              <w:t>5</w:t>
            </w:r>
          </w:p>
        </w:tc>
        <w:tc>
          <w:tcPr>
            <w:tcW w:w="1745" w:type="pct"/>
            <w:noWrap w:val="0"/>
            <w:vAlign w:val="center"/>
          </w:tcPr>
          <w:p>
            <w:pPr>
              <w:spacing w:line="300" w:lineRule="exact"/>
              <w:jc w:val="center"/>
              <w:rPr>
                <w:szCs w:val="21"/>
              </w:rPr>
            </w:pPr>
            <w:r>
              <w:rPr>
                <w:szCs w:val="21"/>
              </w:rPr>
              <w:t>整车质量</w:t>
            </w:r>
          </w:p>
        </w:tc>
        <w:tc>
          <w:tcPr>
            <w:tcW w:w="2665" w:type="pct"/>
            <w:noWrap w:val="0"/>
            <w:vAlign w:val="center"/>
          </w:tcPr>
          <w:p>
            <w:pPr>
              <w:spacing w:line="300" w:lineRule="exact"/>
              <w:jc w:val="center"/>
              <w:rPr>
                <w:szCs w:val="21"/>
              </w:rPr>
            </w:pPr>
            <w:r>
              <w:rPr>
                <w:szCs w:val="21"/>
              </w:rPr>
              <w:t>GB 17761—2024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90" w:type="pct"/>
            <w:noWrap w:val="0"/>
            <w:vAlign w:val="center"/>
          </w:tcPr>
          <w:p>
            <w:pPr>
              <w:spacing w:line="300" w:lineRule="exact"/>
              <w:jc w:val="center"/>
              <w:rPr>
                <w:szCs w:val="21"/>
              </w:rPr>
            </w:pPr>
            <w:r>
              <w:rPr>
                <w:szCs w:val="21"/>
              </w:rPr>
              <w:t>6</w:t>
            </w:r>
          </w:p>
        </w:tc>
        <w:tc>
          <w:tcPr>
            <w:tcW w:w="1745" w:type="pct"/>
            <w:noWrap w:val="0"/>
            <w:vAlign w:val="center"/>
          </w:tcPr>
          <w:p>
            <w:pPr>
              <w:spacing w:line="300" w:lineRule="exact"/>
              <w:jc w:val="center"/>
              <w:rPr>
                <w:szCs w:val="21"/>
              </w:rPr>
            </w:pPr>
            <w:r>
              <w:rPr>
                <w:szCs w:val="21"/>
              </w:rPr>
              <w:t>结构</w:t>
            </w:r>
          </w:p>
        </w:tc>
        <w:tc>
          <w:tcPr>
            <w:tcW w:w="2665" w:type="pct"/>
            <w:noWrap w:val="0"/>
            <w:vAlign w:val="center"/>
          </w:tcPr>
          <w:p>
            <w:pPr>
              <w:spacing w:line="300" w:lineRule="exact"/>
              <w:jc w:val="center"/>
              <w:rPr>
                <w:szCs w:val="21"/>
              </w:rPr>
            </w:pPr>
            <w:r>
              <w:rPr>
                <w:szCs w:val="21"/>
              </w:rPr>
              <w:t>GB 17761—2024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90" w:type="pct"/>
            <w:noWrap w:val="0"/>
            <w:vAlign w:val="center"/>
          </w:tcPr>
          <w:p>
            <w:pPr>
              <w:spacing w:line="300" w:lineRule="exact"/>
              <w:jc w:val="center"/>
              <w:rPr>
                <w:szCs w:val="21"/>
              </w:rPr>
            </w:pPr>
            <w:r>
              <w:rPr>
                <w:szCs w:val="21"/>
              </w:rPr>
              <w:t>7</w:t>
            </w:r>
          </w:p>
        </w:tc>
        <w:tc>
          <w:tcPr>
            <w:tcW w:w="1745" w:type="pct"/>
            <w:noWrap w:val="0"/>
            <w:vAlign w:val="center"/>
          </w:tcPr>
          <w:p>
            <w:pPr>
              <w:spacing w:line="300" w:lineRule="exact"/>
              <w:jc w:val="center"/>
              <w:rPr>
                <w:szCs w:val="21"/>
              </w:rPr>
            </w:pPr>
            <w:r>
              <w:rPr>
                <w:szCs w:val="21"/>
              </w:rPr>
              <w:t>车速提示音</w:t>
            </w:r>
          </w:p>
        </w:tc>
        <w:tc>
          <w:tcPr>
            <w:tcW w:w="2665" w:type="pct"/>
            <w:noWrap w:val="0"/>
            <w:vAlign w:val="center"/>
          </w:tcPr>
          <w:p>
            <w:pPr>
              <w:spacing w:line="300" w:lineRule="exact"/>
              <w:jc w:val="center"/>
              <w:rPr>
                <w:szCs w:val="21"/>
              </w:rPr>
            </w:pPr>
            <w:r>
              <w:rPr>
                <w:szCs w:val="21"/>
              </w:rPr>
              <w:t>GB 17761—2024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90" w:type="pct"/>
            <w:noWrap w:val="0"/>
            <w:vAlign w:val="center"/>
          </w:tcPr>
          <w:p>
            <w:pPr>
              <w:spacing w:line="300" w:lineRule="exact"/>
              <w:jc w:val="center"/>
              <w:rPr>
                <w:szCs w:val="21"/>
              </w:rPr>
            </w:pPr>
            <w:r>
              <w:rPr>
                <w:szCs w:val="21"/>
              </w:rPr>
              <w:t>8</w:t>
            </w:r>
          </w:p>
        </w:tc>
        <w:tc>
          <w:tcPr>
            <w:tcW w:w="1745" w:type="pct"/>
            <w:noWrap w:val="0"/>
            <w:vAlign w:val="center"/>
          </w:tcPr>
          <w:p>
            <w:pPr>
              <w:spacing w:line="300" w:lineRule="exact"/>
              <w:jc w:val="center"/>
              <w:rPr>
                <w:szCs w:val="21"/>
              </w:rPr>
            </w:pPr>
            <w:r>
              <w:rPr>
                <w:szCs w:val="21"/>
              </w:rPr>
              <w:t>互认协同充电</w:t>
            </w:r>
          </w:p>
        </w:tc>
        <w:tc>
          <w:tcPr>
            <w:tcW w:w="2665" w:type="pct"/>
            <w:noWrap w:val="0"/>
            <w:vAlign w:val="center"/>
          </w:tcPr>
          <w:p>
            <w:pPr>
              <w:spacing w:line="300" w:lineRule="exact"/>
              <w:jc w:val="center"/>
              <w:rPr>
                <w:szCs w:val="21"/>
              </w:rPr>
            </w:pPr>
            <w:r>
              <w:rPr>
                <w:szCs w:val="21"/>
              </w:rPr>
              <w:t>GB 42295—2022及第1号修改单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90" w:type="pct"/>
            <w:noWrap w:val="0"/>
            <w:vAlign w:val="center"/>
          </w:tcPr>
          <w:p>
            <w:pPr>
              <w:spacing w:line="300" w:lineRule="exact"/>
              <w:jc w:val="center"/>
              <w:rPr>
                <w:szCs w:val="21"/>
              </w:rPr>
            </w:pPr>
            <w:r>
              <w:rPr>
                <w:szCs w:val="21"/>
              </w:rPr>
              <w:t>9</w:t>
            </w:r>
          </w:p>
        </w:tc>
        <w:tc>
          <w:tcPr>
            <w:tcW w:w="1745" w:type="pct"/>
            <w:noWrap w:val="0"/>
            <w:vAlign w:val="center"/>
          </w:tcPr>
          <w:p>
            <w:pPr>
              <w:spacing w:line="300" w:lineRule="exact"/>
              <w:jc w:val="center"/>
              <w:rPr>
                <w:szCs w:val="21"/>
              </w:rPr>
            </w:pPr>
            <w:r>
              <w:rPr>
                <w:szCs w:val="21"/>
              </w:rPr>
              <w:t>电气装置</w:t>
            </w:r>
          </w:p>
        </w:tc>
        <w:tc>
          <w:tcPr>
            <w:tcW w:w="2665" w:type="pct"/>
            <w:noWrap w:val="0"/>
            <w:vAlign w:val="center"/>
          </w:tcPr>
          <w:p>
            <w:pPr>
              <w:spacing w:line="300" w:lineRule="exact"/>
              <w:jc w:val="center"/>
              <w:rPr>
                <w:szCs w:val="21"/>
              </w:rPr>
            </w:pPr>
            <w:r>
              <w:rPr>
                <w:szCs w:val="21"/>
              </w:rPr>
              <w:t>GB 17761—2024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90" w:type="pct"/>
            <w:noWrap w:val="0"/>
            <w:vAlign w:val="center"/>
          </w:tcPr>
          <w:p>
            <w:pPr>
              <w:spacing w:line="300" w:lineRule="exact"/>
              <w:jc w:val="center"/>
              <w:rPr>
                <w:szCs w:val="21"/>
              </w:rPr>
            </w:pPr>
            <w:r>
              <w:rPr>
                <w:szCs w:val="21"/>
              </w:rPr>
              <w:t>10</w:t>
            </w:r>
          </w:p>
        </w:tc>
        <w:tc>
          <w:tcPr>
            <w:tcW w:w="1745" w:type="pct"/>
            <w:noWrap w:val="0"/>
            <w:vAlign w:val="center"/>
          </w:tcPr>
          <w:p>
            <w:pPr>
              <w:spacing w:line="300" w:lineRule="exact"/>
              <w:jc w:val="center"/>
              <w:rPr>
                <w:szCs w:val="21"/>
              </w:rPr>
            </w:pPr>
            <w:r>
              <w:rPr>
                <w:szCs w:val="21"/>
              </w:rPr>
              <w:t>淋水涉水</w:t>
            </w:r>
          </w:p>
        </w:tc>
        <w:tc>
          <w:tcPr>
            <w:tcW w:w="2665" w:type="pct"/>
            <w:noWrap w:val="0"/>
            <w:vAlign w:val="center"/>
          </w:tcPr>
          <w:p>
            <w:pPr>
              <w:spacing w:line="300" w:lineRule="exact"/>
              <w:jc w:val="center"/>
              <w:rPr>
                <w:szCs w:val="21"/>
              </w:rPr>
            </w:pPr>
            <w:r>
              <w:rPr>
                <w:szCs w:val="21"/>
              </w:rPr>
              <w:t>GB 17761—2024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90" w:type="pct"/>
            <w:noWrap w:val="0"/>
            <w:vAlign w:val="center"/>
          </w:tcPr>
          <w:p>
            <w:pPr>
              <w:spacing w:line="300" w:lineRule="exact"/>
              <w:jc w:val="center"/>
              <w:rPr>
                <w:szCs w:val="21"/>
              </w:rPr>
            </w:pPr>
            <w:r>
              <w:rPr>
                <w:szCs w:val="21"/>
              </w:rPr>
              <w:t>11</w:t>
            </w:r>
          </w:p>
        </w:tc>
        <w:tc>
          <w:tcPr>
            <w:tcW w:w="1745" w:type="pct"/>
            <w:noWrap w:val="0"/>
            <w:vAlign w:val="center"/>
          </w:tcPr>
          <w:p>
            <w:pPr>
              <w:spacing w:line="300" w:lineRule="exact"/>
              <w:jc w:val="center"/>
              <w:rPr>
                <w:szCs w:val="21"/>
              </w:rPr>
            </w:pPr>
            <w:r>
              <w:rPr>
                <w:szCs w:val="21"/>
              </w:rPr>
              <w:t>对触及带电部分的防护</w:t>
            </w:r>
          </w:p>
        </w:tc>
        <w:tc>
          <w:tcPr>
            <w:tcW w:w="2665" w:type="pct"/>
            <w:noWrap w:val="0"/>
            <w:vAlign w:val="center"/>
          </w:tcPr>
          <w:p>
            <w:pPr>
              <w:spacing w:line="300" w:lineRule="exact"/>
              <w:jc w:val="center"/>
              <w:rPr>
                <w:szCs w:val="21"/>
              </w:rPr>
            </w:pPr>
            <w:r>
              <w:rPr>
                <w:szCs w:val="21"/>
              </w:rPr>
              <w:t>GB 42295—2022及第1号修改单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90" w:type="pct"/>
            <w:noWrap w:val="0"/>
            <w:vAlign w:val="center"/>
          </w:tcPr>
          <w:p>
            <w:pPr>
              <w:spacing w:line="300" w:lineRule="exact"/>
              <w:jc w:val="center"/>
              <w:rPr>
                <w:szCs w:val="21"/>
              </w:rPr>
            </w:pPr>
            <w:r>
              <w:rPr>
                <w:szCs w:val="21"/>
              </w:rPr>
              <w:t>12</w:t>
            </w:r>
          </w:p>
        </w:tc>
        <w:tc>
          <w:tcPr>
            <w:tcW w:w="1745" w:type="pct"/>
            <w:noWrap w:val="0"/>
            <w:vAlign w:val="center"/>
          </w:tcPr>
          <w:p>
            <w:pPr>
              <w:spacing w:line="300" w:lineRule="exact"/>
              <w:jc w:val="center"/>
              <w:rPr>
                <w:szCs w:val="21"/>
              </w:rPr>
            </w:pPr>
            <w:r>
              <w:rPr>
                <w:szCs w:val="21"/>
              </w:rPr>
              <w:t>连接</w:t>
            </w:r>
          </w:p>
        </w:tc>
        <w:tc>
          <w:tcPr>
            <w:tcW w:w="2665" w:type="pct"/>
            <w:noWrap w:val="0"/>
            <w:vAlign w:val="center"/>
          </w:tcPr>
          <w:p>
            <w:pPr>
              <w:spacing w:line="300" w:lineRule="exact"/>
              <w:jc w:val="center"/>
              <w:rPr>
                <w:szCs w:val="21"/>
              </w:rPr>
            </w:pPr>
            <w:r>
              <w:rPr>
                <w:szCs w:val="21"/>
              </w:rPr>
              <w:t>GB 42295—2022及第1号修改单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90" w:type="pct"/>
            <w:noWrap w:val="0"/>
            <w:vAlign w:val="center"/>
          </w:tcPr>
          <w:p>
            <w:pPr>
              <w:spacing w:line="300" w:lineRule="exact"/>
              <w:jc w:val="center"/>
              <w:rPr>
                <w:szCs w:val="21"/>
              </w:rPr>
            </w:pPr>
            <w:r>
              <w:rPr>
                <w:szCs w:val="21"/>
              </w:rPr>
              <w:t>13</w:t>
            </w:r>
          </w:p>
        </w:tc>
        <w:tc>
          <w:tcPr>
            <w:tcW w:w="1745" w:type="pct"/>
            <w:noWrap w:val="0"/>
            <w:vAlign w:val="center"/>
          </w:tcPr>
          <w:p>
            <w:pPr>
              <w:spacing w:line="300" w:lineRule="exact"/>
              <w:jc w:val="center"/>
              <w:rPr>
                <w:szCs w:val="21"/>
              </w:rPr>
            </w:pPr>
            <w:r>
              <w:rPr>
                <w:szCs w:val="21"/>
              </w:rPr>
              <w:t>短路防护</w:t>
            </w:r>
          </w:p>
        </w:tc>
        <w:tc>
          <w:tcPr>
            <w:tcW w:w="2665" w:type="pct"/>
            <w:noWrap w:val="0"/>
            <w:vAlign w:val="center"/>
          </w:tcPr>
          <w:p>
            <w:pPr>
              <w:spacing w:line="300" w:lineRule="exact"/>
              <w:jc w:val="center"/>
              <w:rPr>
                <w:szCs w:val="21"/>
              </w:rPr>
            </w:pPr>
            <w:r>
              <w:rPr>
                <w:szCs w:val="21"/>
              </w:rPr>
              <w:t>GB 42295—2022及第1号修改单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90" w:type="pct"/>
            <w:noWrap w:val="0"/>
            <w:vAlign w:val="center"/>
          </w:tcPr>
          <w:p>
            <w:pPr>
              <w:spacing w:line="300" w:lineRule="exact"/>
              <w:jc w:val="center"/>
              <w:rPr>
                <w:szCs w:val="21"/>
              </w:rPr>
            </w:pPr>
            <w:r>
              <w:rPr>
                <w:szCs w:val="21"/>
              </w:rPr>
              <w:t>14</w:t>
            </w:r>
          </w:p>
        </w:tc>
        <w:tc>
          <w:tcPr>
            <w:tcW w:w="1745" w:type="pct"/>
            <w:noWrap w:val="0"/>
            <w:vAlign w:val="center"/>
          </w:tcPr>
          <w:p>
            <w:pPr>
              <w:spacing w:line="300" w:lineRule="exact"/>
              <w:jc w:val="center"/>
              <w:rPr>
                <w:szCs w:val="21"/>
              </w:rPr>
            </w:pPr>
            <w:r>
              <w:rPr>
                <w:szCs w:val="21"/>
              </w:rPr>
              <w:t>导线</w:t>
            </w:r>
          </w:p>
        </w:tc>
        <w:tc>
          <w:tcPr>
            <w:tcW w:w="2665" w:type="pct"/>
            <w:noWrap w:val="0"/>
            <w:vAlign w:val="center"/>
          </w:tcPr>
          <w:p>
            <w:pPr>
              <w:spacing w:line="300" w:lineRule="exact"/>
              <w:jc w:val="center"/>
              <w:rPr>
                <w:szCs w:val="21"/>
              </w:rPr>
            </w:pPr>
            <w:r>
              <w:rPr>
                <w:szCs w:val="21"/>
              </w:rPr>
              <w:t>GB 42295—2022及第1号修改单</w:t>
            </w:r>
          </w:p>
        </w:tc>
      </w:tr>
    </w:tbl>
    <w:p>
      <w:pPr>
        <w:snapToGrid w:val="0"/>
        <w:spacing w:line="440" w:lineRule="exact"/>
        <w:ind w:firstLine="420" w:firstLineChars="200"/>
        <w:rPr>
          <w:rFonts w:hint="eastAsia"/>
          <w:color w:val="000000"/>
          <w:szCs w:val="21"/>
        </w:rPr>
      </w:pPr>
    </w:p>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cs="宋体"/>
          <w:szCs w:val="21"/>
        </w:rPr>
      </w:pPr>
      <w:bookmarkStart w:id="0" w:name="_Hlk32567754"/>
      <w:r>
        <w:rPr>
          <w:rFonts w:hint="eastAsia" w:cs="宋体"/>
          <w:szCs w:val="21"/>
        </w:rPr>
        <w:t>GB 17761—2024 《电动自行车安全技术规范》</w:t>
      </w:r>
    </w:p>
    <w:p>
      <w:pPr>
        <w:spacing w:line="440" w:lineRule="exact"/>
        <w:ind w:firstLine="420" w:firstLineChars="200"/>
        <w:rPr>
          <w:rFonts w:hint="eastAsia" w:cs="宋体"/>
          <w:szCs w:val="21"/>
        </w:rPr>
      </w:pPr>
      <w:r>
        <w:rPr>
          <w:rFonts w:hint="eastAsia" w:cs="宋体"/>
          <w:szCs w:val="21"/>
        </w:rPr>
        <w:t xml:space="preserve">GB 42295—2022 《电动自行车电气安全要求》及第1号修改单 </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hint="eastAsia" w:eastAsia="宋体"/>
          <w:color w:val="000000"/>
          <w:szCs w:val="21"/>
          <w:u w:val="single"/>
          <w:lang w:eastAsia="zh-CN"/>
        </w:rPr>
      </w:pPr>
      <w:r>
        <w:rPr>
          <w:rFonts w:ascii="宋体" w:hAnsi="宋体"/>
          <w:color w:val="000000"/>
          <w:szCs w:val="21"/>
        </w:rPr>
        <w:t>若被检产品明示的质量要求缺少本细则中检验项目依据的推荐性标准要求时，该项目不参与判定。</w:t>
      </w:r>
      <w:r>
        <w:rPr>
          <w:color w:val="000000"/>
          <w:szCs w:val="21"/>
        </w:rPr>
        <mc:AlternateContent>
          <mc:Choice Requires="wps">
            <w:drawing>
              <wp:anchor distT="0" distB="0" distL="114300" distR="114300" simplePos="0" relativeHeight="251659264" behindDoc="0" locked="0" layoutInCell="1" allowOverlap="1">
                <wp:simplePos x="0" y="0"/>
                <wp:positionH relativeFrom="column">
                  <wp:posOffset>1259840</wp:posOffset>
                </wp:positionH>
                <wp:positionV relativeFrom="paragraph">
                  <wp:posOffset>324485</wp:posOffset>
                </wp:positionV>
                <wp:extent cx="2714625" cy="0"/>
                <wp:effectExtent l="0" t="4445" r="0" b="5080"/>
                <wp:wrapNone/>
                <wp:docPr id="1" name="自选图形 2"/>
                <wp:cNvGraphicFramePr/>
                <a:graphic xmlns:a="http://schemas.openxmlformats.org/drawingml/2006/main">
                  <a:graphicData uri="http://schemas.microsoft.com/office/word/2010/wordprocessingShape">
                    <wps:wsp>
                      <wps:cNvCnPr/>
                      <wps:spPr>
                        <a:xfrm>
                          <a:off x="0" y="0"/>
                          <a:ext cx="27146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99.2pt;margin-top:25.55pt;height:0pt;width:213.75pt;z-index:251659264;mso-width-relative:page;mso-height-relative:page;" filled="f" stroked="t" coordsize="21600,21600" o:gfxdata="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xdqp09YAAAAJAQAADwAAAAAAAAABACAAAAA4AAAAZHJzL2Rvd25yZXYueG1sUEsBAhQAFAAAAAgA&#10;h07iQGOHSJLYAQAAlQMAAA4AAAAAAAAAAQAgAAAAOwEAAGRycy9lMm9Eb2MueG1sUEsFBgAAAAAG&#10;AAYAWQEAAIUFAAAAAA==&#10;">
                <v:fill on="f" focussize="0,0"/>
                <v:stroke color="#000000" joinstyle="round"/>
                <v:imagedata o:title=""/>
                <o:lock v:ext="edit" aspectratio="f"/>
              </v:shape>
            </w:pict>
          </mc:Fallback>
        </mc:AlternateContent>
      </w: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056C"/>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A36C0"/>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953AF6"/>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DF07639"/>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054290"/>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6EB442"/>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120B3E"/>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0A1892"/>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3079"/>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95D3F"/>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AB3BE8"/>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1E835F0"/>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864</Words>
  <Characters>1478</Characters>
  <Lines>5</Lines>
  <Paragraphs>1</Paragraphs>
  <TotalTime>0</TotalTime>
  <ScaleCrop>false</ScaleCrop>
  <LinksUpToDate>false</LinksUpToDate>
  <CharactersWithSpaces>1544</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2020-10-08T10:52:00Z</cp:lastPrinted>
  <dcterms:modified xsi:type="dcterms:W3CDTF">2026-07-22T11:10:58Z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A39D0D5B5FB54DCF804257C6D96A1714_13</vt:lpwstr>
  </property>
  <property fmtid="{D5CDD505-2E9C-101B-9397-08002B2CF9AE}" pid="4" name="KSOTemplateDocerSaveRecord">
    <vt:lpwstr>eyJoZGlkIjoiZjFmZWIzNDg2MmIzZjExOTIzMmViNTBmYTMwYTk0ZWYiLCJ1c2VySWQiOiIzOTg1Njg2NDcifQ==</vt:lpwstr>
  </property>
</Properties>
</file>