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bookmarkStart w:id="1" w:name="_GoBack"/>
      <w:r>
        <w:rPr>
          <w:rFonts w:hint="eastAsia" w:asciiTheme="minorEastAsia" w:hAnsiTheme="minorEastAsia" w:eastAsiaTheme="minorEastAsia" w:cstheme="minorEastAsia"/>
          <w:b/>
          <w:bCs/>
          <w:color w:val="000000"/>
          <w:sz w:val="32"/>
          <w:szCs w:val="32"/>
        </w:rPr>
        <w:t>2026年吐鲁番市电动自行车充电器</w:t>
      </w:r>
      <w:r>
        <w:rPr>
          <w:rFonts w:hint="eastAsia" w:asciiTheme="minorEastAsia" w:hAnsiTheme="minorEastAsia" w:eastAsiaTheme="minorEastAsia" w:cstheme="minorEastAsia"/>
          <w:b/>
          <w:bCs/>
          <w:color w:val="000000"/>
          <w:sz w:val="32"/>
          <w:szCs w:val="32"/>
        </w:rPr>
        <w:t>产品质量监督抽查实施细则</w:t>
      </w:r>
      <w:bookmarkEnd w:id="1"/>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hint="eastAsia" w:asciiTheme="minorEastAsia" w:hAnsiTheme="minorEastAsia" w:eastAsiaTheme="minorEastAsia"/>
          <w:kern w:val="0"/>
          <w:sz w:val="18"/>
          <w:szCs w:val="18"/>
        </w:rPr>
      </w:pPr>
      <w:r>
        <w:rPr>
          <w:color w:val="000000"/>
          <w:szCs w:val="21"/>
        </w:rPr>
        <w:t>每批次产品抽取</w:t>
      </w:r>
      <w:r>
        <w:rPr>
          <w:rFonts w:hint="eastAsia"/>
          <w:color w:val="000000"/>
          <w:szCs w:val="21"/>
        </w:rPr>
        <w:t>样品3个，其中检样2个，备样1个。</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ind w:firstLine="210" w:firstLineChars="100"/>
        <w:jc w:val="center"/>
        <w:rPr>
          <w:b/>
          <w:bCs/>
          <w:szCs w:val="21"/>
        </w:rPr>
      </w:pPr>
      <w:r>
        <w:rPr>
          <w:rFonts w:hint="eastAsia"/>
          <w:b/>
          <w:bCs/>
          <w:szCs w:val="21"/>
        </w:rPr>
        <w:t>表1电动自行车充电器</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990"/>
        <w:gridCol w:w="5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blHeader/>
        </w:trPr>
        <w:tc>
          <w:tcPr>
            <w:tcW w:w="475" w:type="pct"/>
            <w:vAlign w:val="center"/>
          </w:tcPr>
          <w:p>
            <w:pPr>
              <w:snapToGrid w:val="0"/>
              <w:spacing w:line="300" w:lineRule="exact"/>
              <w:jc w:val="center"/>
              <w:rPr>
                <w:szCs w:val="21"/>
              </w:rPr>
            </w:pPr>
            <w:r>
              <w:rPr>
                <w:szCs w:val="21"/>
              </w:rPr>
              <w:t>序号</w:t>
            </w:r>
          </w:p>
        </w:tc>
        <w:tc>
          <w:tcPr>
            <w:tcW w:w="1630" w:type="pct"/>
            <w:vAlign w:val="center"/>
          </w:tcPr>
          <w:p>
            <w:pPr>
              <w:snapToGrid w:val="0"/>
              <w:spacing w:line="300" w:lineRule="exact"/>
              <w:jc w:val="center"/>
              <w:rPr>
                <w:szCs w:val="21"/>
              </w:rPr>
            </w:pPr>
            <w:r>
              <w:rPr>
                <w:szCs w:val="21"/>
              </w:rPr>
              <w:t>检验项目</w:t>
            </w:r>
          </w:p>
        </w:tc>
        <w:tc>
          <w:tcPr>
            <w:tcW w:w="2895" w:type="pct"/>
            <w:vAlign w:val="center"/>
          </w:tcPr>
          <w:p>
            <w:pPr>
              <w:snapToGrid w:val="0"/>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szCs w:val="21"/>
              </w:rPr>
            </w:pPr>
            <w:r>
              <w:rPr>
                <w:szCs w:val="21"/>
              </w:rPr>
              <w:t>1</w:t>
            </w:r>
          </w:p>
        </w:tc>
        <w:tc>
          <w:tcPr>
            <w:tcW w:w="1630" w:type="pct"/>
            <w:vAlign w:val="center"/>
          </w:tcPr>
          <w:p>
            <w:pPr>
              <w:snapToGrid w:val="0"/>
              <w:spacing w:line="300" w:lineRule="exact"/>
              <w:jc w:val="center"/>
              <w:rPr>
                <w:szCs w:val="21"/>
              </w:rPr>
            </w:pPr>
            <w:r>
              <w:rPr>
                <w:szCs w:val="21"/>
              </w:rPr>
              <w:t>外壳冲击</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szCs w:val="21"/>
              </w:rPr>
            </w:pPr>
            <w:r>
              <w:rPr>
                <w:szCs w:val="21"/>
              </w:rPr>
              <w:t>2</w:t>
            </w:r>
          </w:p>
        </w:tc>
        <w:tc>
          <w:tcPr>
            <w:tcW w:w="1630" w:type="pct"/>
            <w:vAlign w:val="center"/>
          </w:tcPr>
          <w:p>
            <w:pPr>
              <w:snapToGrid w:val="0"/>
              <w:spacing w:line="300" w:lineRule="exact"/>
              <w:jc w:val="center"/>
              <w:rPr>
                <w:szCs w:val="21"/>
              </w:rPr>
            </w:pPr>
            <w:r>
              <w:rPr>
                <w:szCs w:val="21"/>
              </w:rPr>
              <w:t>跌落</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szCs w:val="21"/>
              </w:rPr>
            </w:pPr>
            <w:r>
              <w:rPr>
                <w:szCs w:val="21"/>
              </w:rPr>
              <w:t>3</w:t>
            </w:r>
          </w:p>
        </w:tc>
        <w:tc>
          <w:tcPr>
            <w:tcW w:w="1630" w:type="pct"/>
            <w:vAlign w:val="center"/>
          </w:tcPr>
          <w:p>
            <w:pPr>
              <w:snapToGrid w:val="0"/>
              <w:spacing w:line="300" w:lineRule="exact"/>
              <w:jc w:val="center"/>
              <w:rPr>
                <w:szCs w:val="21"/>
              </w:rPr>
            </w:pPr>
            <w:r>
              <w:rPr>
                <w:szCs w:val="21"/>
              </w:rPr>
              <w:t>工作温度下的泄漏电流</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szCs w:val="21"/>
              </w:rPr>
            </w:pPr>
            <w:r>
              <w:rPr>
                <w:szCs w:val="21"/>
              </w:rPr>
              <w:t>4</w:t>
            </w:r>
          </w:p>
        </w:tc>
        <w:tc>
          <w:tcPr>
            <w:tcW w:w="1630" w:type="pct"/>
            <w:vAlign w:val="center"/>
          </w:tcPr>
          <w:p>
            <w:pPr>
              <w:snapToGrid w:val="0"/>
              <w:spacing w:line="300" w:lineRule="exact"/>
              <w:jc w:val="center"/>
              <w:rPr>
                <w:szCs w:val="21"/>
              </w:rPr>
            </w:pPr>
            <w:r>
              <w:rPr>
                <w:szCs w:val="21"/>
              </w:rPr>
              <w:t>电气强度</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szCs w:val="21"/>
              </w:rPr>
            </w:pPr>
            <w:r>
              <w:rPr>
                <w:szCs w:val="21"/>
              </w:rPr>
              <w:t>5</w:t>
            </w:r>
          </w:p>
        </w:tc>
        <w:tc>
          <w:tcPr>
            <w:tcW w:w="1630" w:type="pct"/>
            <w:vAlign w:val="center"/>
          </w:tcPr>
          <w:p>
            <w:pPr>
              <w:snapToGrid w:val="0"/>
              <w:spacing w:line="300" w:lineRule="exact"/>
              <w:jc w:val="center"/>
              <w:rPr>
                <w:szCs w:val="21"/>
              </w:rPr>
            </w:pPr>
            <w:r>
              <w:rPr>
                <w:szCs w:val="21"/>
              </w:rPr>
              <w:t>防触电保护</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475" w:type="pct"/>
            <w:vAlign w:val="center"/>
          </w:tcPr>
          <w:p>
            <w:pPr>
              <w:snapToGrid w:val="0"/>
              <w:spacing w:line="300" w:lineRule="exact"/>
              <w:jc w:val="center"/>
              <w:rPr>
                <w:szCs w:val="21"/>
              </w:rPr>
            </w:pPr>
            <w:r>
              <w:rPr>
                <w:szCs w:val="21"/>
              </w:rPr>
              <w:t>6</w:t>
            </w:r>
          </w:p>
        </w:tc>
        <w:tc>
          <w:tcPr>
            <w:tcW w:w="1630" w:type="pct"/>
            <w:vAlign w:val="center"/>
          </w:tcPr>
          <w:p>
            <w:pPr>
              <w:snapToGrid w:val="0"/>
              <w:spacing w:line="300" w:lineRule="exact"/>
              <w:jc w:val="center"/>
              <w:rPr>
                <w:szCs w:val="21"/>
              </w:rPr>
            </w:pPr>
            <w:r>
              <w:rPr>
                <w:szCs w:val="21"/>
              </w:rPr>
              <w:t>非正常工作</w:t>
            </w:r>
          </w:p>
          <w:p>
            <w:pPr>
              <w:snapToGrid w:val="0"/>
              <w:spacing w:line="300" w:lineRule="exact"/>
              <w:jc w:val="center"/>
              <w:rPr>
                <w:szCs w:val="21"/>
              </w:rPr>
            </w:pPr>
            <w:r>
              <w:rPr>
                <w:rFonts w:hint="eastAsia"/>
                <w:szCs w:val="21"/>
              </w:rPr>
              <w:t>（错接）</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475" w:type="pct"/>
            <w:vAlign w:val="center"/>
          </w:tcPr>
          <w:p>
            <w:pPr>
              <w:snapToGrid w:val="0"/>
              <w:spacing w:line="300" w:lineRule="exact"/>
              <w:jc w:val="center"/>
              <w:rPr>
                <w:szCs w:val="21"/>
              </w:rPr>
            </w:pPr>
            <w:r>
              <w:rPr>
                <w:szCs w:val="21"/>
              </w:rPr>
              <w:t>7</w:t>
            </w:r>
          </w:p>
        </w:tc>
        <w:tc>
          <w:tcPr>
            <w:tcW w:w="1630" w:type="pct"/>
            <w:vAlign w:val="center"/>
          </w:tcPr>
          <w:p>
            <w:pPr>
              <w:snapToGrid w:val="0"/>
              <w:spacing w:line="300" w:lineRule="exact"/>
              <w:jc w:val="center"/>
              <w:rPr>
                <w:szCs w:val="21"/>
              </w:rPr>
            </w:pPr>
            <w:r>
              <w:rPr>
                <w:szCs w:val="21"/>
              </w:rPr>
              <w:t>非正常工作</w:t>
            </w:r>
          </w:p>
          <w:p>
            <w:pPr>
              <w:snapToGrid w:val="0"/>
              <w:spacing w:line="300" w:lineRule="exact"/>
              <w:jc w:val="center"/>
              <w:rPr>
                <w:szCs w:val="21"/>
              </w:rPr>
            </w:pPr>
            <w:r>
              <w:rPr>
                <w:rFonts w:hint="eastAsia"/>
                <w:szCs w:val="21"/>
              </w:rPr>
              <w:t>（短路）</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szCs w:val="21"/>
              </w:rPr>
            </w:pPr>
            <w:r>
              <w:rPr>
                <w:szCs w:val="21"/>
              </w:rPr>
              <w:t>8</w:t>
            </w:r>
          </w:p>
        </w:tc>
        <w:tc>
          <w:tcPr>
            <w:tcW w:w="1630" w:type="pct"/>
            <w:vAlign w:val="center"/>
          </w:tcPr>
          <w:p>
            <w:pPr>
              <w:snapToGrid w:val="0"/>
              <w:spacing w:line="300" w:lineRule="exact"/>
              <w:jc w:val="center"/>
              <w:rPr>
                <w:szCs w:val="21"/>
              </w:rPr>
            </w:pPr>
            <w:r>
              <w:rPr>
                <w:szCs w:val="21"/>
              </w:rPr>
              <w:t>超温保护</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szCs w:val="21"/>
              </w:rPr>
            </w:pPr>
            <w:r>
              <w:rPr>
                <w:szCs w:val="21"/>
              </w:rPr>
              <w:t>9</w:t>
            </w:r>
          </w:p>
        </w:tc>
        <w:tc>
          <w:tcPr>
            <w:tcW w:w="1630" w:type="pct"/>
            <w:vAlign w:val="center"/>
          </w:tcPr>
          <w:p>
            <w:pPr>
              <w:snapToGrid w:val="0"/>
              <w:spacing w:line="300" w:lineRule="exact"/>
              <w:jc w:val="center"/>
              <w:rPr>
                <w:szCs w:val="21"/>
              </w:rPr>
            </w:pPr>
            <w:r>
              <w:rPr>
                <w:szCs w:val="21"/>
              </w:rPr>
              <w:t>过充切断</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color w:val="000000"/>
                <w:szCs w:val="21"/>
              </w:rPr>
            </w:pPr>
            <w:r>
              <w:rPr>
                <w:color w:val="000000"/>
                <w:szCs w:val="21"/>
              </w:rPr>
              <w:t>10</w:t>
            </w:r>
          </w:p>
        </w:tc>
        <w:tc>
          <w:tcPr>
            <w:tcW w:w="1630" w:type="pct"/>
            <w:vAlign w:val="center"/>
          </w:tcPr>
          <w:p>
            <w:pPr>
              <w:snapToGrid w:val="0"/>
              <w:spacing w:line="300" w:lineRule="exact"/>
              <w:jc w:val="center"/>
              <w:rPr>
                <w:szCs w:val="21"/>
              </w:rPr>
            </w:pPr>
            <w:r>
              <w:rPr>
                <w:szCs w:val="21"/>
              </w:rPr>
              <w:t>耐热</w:t>
            </w:r>
          </w:p>
        </w:tc>
        <w:tc>
          <w:tcPr>
            <w:tcW w:w="2895" w:type="pct"/>
            <w:vAlign w:val="center"/>
          </w:tcPr>
          <w:p>
            <w:pPr>
              <w:snapToGrid w:val="0"/>
              <w:spacing w:line="300" w:lineRule="exact"/>
              <w:jc w:val="center"/>
              <w:rPr>
                <w:szCs w:val="21"/>
              </w:rPr>
            </w:pPr>
            <w:r>
              <w:rPr>
                <w:szCs w:val="21"/>
              </w:rPr>
              <w:t>GB 42296</w:t>
            </w:r>
            <w:r>
              <w:rPr>
                <w:color w:val="000000"/>
                <w:szCs w:val="21"/>
              </w:rPr>
              <w:t>—</w:t>
            </w:r>
            <w:r>
              <w:rPr>
                <w:szCs w:val="21"/>
              </w:rPr>
              <w:t xml:space="preserve">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color w:val="000000"/>
                <w:szCs w:val="21"/>
              </w:rPr>
            </w:pPr>
            <w:r>
              <w:rPr>
                <w:color w:val="000000"/>
                <w:szCs w:val="21"/>
              </w:rPr>
              <w:t>11</w:t>
            </w:r>
          </w:p>
        </w:tc>
        <w:tc>
          <w:tcPr>
            <w:tcW w:w="1630" w:type="pct"/>
            <w:vAlign w:val="center"/>
          </w:tcPr>
          <w:p>
            <w:pPr>
              <w:snapToGrid w:val="0"/>
              <w:spacing w:line="300" w:lineRule="exact"/>
              <w:jc w:val="center"/>
              <w:rPr>
                <w:color w:val="000000"/>
                <w:szCs w:val="21"/>
              </w:rPr>
            </w:pPr>
            <w:r>
              <w:rPr>
                <w:color w:val="000000"/>
                <w:szCs w:val="21"/>
              </w:rPr>
              <w:t>灼热丝</w:t>
            </w:r>
          </w:p>
        </w:tc>
        <w:tc>
          <w:tcPr>
            <w:tcW w:w="2895" w:type="pct"/>
            <w:vAlign w:val="center"/>
          </w:tcPr>
          <w:p>
            <w:pPr>
              <w:snapToGrid w:val="0"/>
              <w:spacing w:line="300" w:lineRule="exact"/>
              <w:jc w:val="center"/>
              <w:rPr>
                <w:color w:val="000000"/>
                <w:szCs w:val="21"/>
              </w:rPr>
            </w:pPr>
            <w:r>
              <w:rPr>
                <w:color w:val="000000"/>
                <w:szCs w:val="21"/>
              </w:rPr>
              <w:t xml:space="preserve">GB 42296—2022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75" w:type="pct"/>
            <w:vAlign w:val="center"/>
          </w:tcPr>
          <w:p>
            <w:pPr>
              <w:snapToGrid w:val="0"/>
              <w:spacing w:line="300" w:lineRule="exact"/>
              <w:jc w:val="center"/>
              <w:rPr>
                <w:color w:val="000000"/>
                <w:szCs w:val="21"/>
              </w:rPr>
            </w:pPr>
            <w:r>
              <w:rPr>
                <w:rFonts w:hint="eastAsia"/>
                <w:color w:val="000000"/>
                <w:szCs w:val="21"/>
              </w:rPr>
              <w:t>12</w:t>
            </w:r>
          </w:p>
        </w:tc>
        <w:tc>
          <w:tcPr>
            <w:tcW w:w="1630" w:type="pct"/>
            <w:vAlign w:val="center"/>
          </w:tcPr>
          <w:p>
            <w:pPr>
              <w:snapToGrid w:val="0"/>
              <w:spacing w:line="300" w:lineRule="exact"/>
              <w:jc w:val="center"/>
              <w:rPr>
                <w:color w:val="000000"/>
                <w:szCs w:val="21"/>
              </w:rPr>
            </w:pPr>
            <w:r>
              <w:rPr>
                <w:color w:val="000000"/>
                <w:szCs w:val="21"/>
              </w:rPr>
              <w:t>编码</w:t>
            </w:r>
          </w:p>
        </w:tc>
        <w:tc>
          <w:tcPr>
            <w:tcW w:w="2895" w:type="pct"/>
            <w:vAlign w:val="center"/>
          </w:tcPr>
          <w:p>
            <w:pPr>
              <w:snapToGrid w:val="0"/>
              <w:spacing w:line="300" w:lineRule="exact"/>
              <w:jc w:val="center"/>
              <w:rPr>
                <w:color w:val="000000"/>
                <w:szCs w:val="21"/>
              </w:rPr>
            </w:pPr>
            <w:r>
              <w:rPr>
                <w:color w:val="000000"/>
                <w:szCs w:val="21"/>
              </w:rPr>
              <w:t>GB 42296—2022及第1号修改单</w:t>
            </w:r>
          </w:p>
        </w:tc>
      </w:tr>
    </w:tbl>
    <w:p>
      <w:pPr>
        <w:snapToGrid w:val="0"/>
        <w:spacing w:line="440" w:lineRule="exact"/>
        <w:ind w:firstLine="420" w:firstLineChars="200"/>
        <w:rPr>
          <w:color w:val="000000"/>
          <w:szCs w:val="21"/>
        </w:rPr>
      </w:pPr>
    </w:p>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cs="宋体"/>
          <w:szCs w:val="21"/>
        </w:rPr>
      </w:pPr>
      <w:bookmarkStart w:id="0" w:name="_Hlk32567754"/>
      <w:r>
        <w:rPr>
          <w:rFonts w:hint="eastAsia" w:cs="宋体"/>
          <w:szCs w:val="21"/>
        </w:rPr>
        <w:t>GB 42296—2022 《电动自行车用充电器安全技术要求》及第1号修改单</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hint="eastAsia"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color w:val="000000"/>
          <w:szCs w:val="21"/>
          <w:u w:val="single"/>
        </w:rPr>
      </w:pPr>
      <w:r>
        <w:rPr>
          <w:rFonts w:ascii="宋体" w:hAnsi="宋体"/>
          <w:color w:val="000000"/>
          <w:szCs w:val="21"/>
        </w:rPr>
        <w:t>若被检产品明示的质量要求缺少本细则中检验项目依据的推荐性标准要求时，该项目不参与判定。</w:t>
      </w:r>
      <w:r>
        <w:rPr>
          <w:color w:val="000000"/>
          <w:szCs w:val="21"/>
        </w:rPr>
        <mc:AlternateContent>
          <mc:Choice Requires="wps">
            <w:drawing>
              <wp:anchor distT="0" distB="0" distL="114300" distR="114300" simplePos="0" relativeHeight="251659264" behindDoc="0" locked="0" layoutInCell="1" allowOverlap="1">
                <wp:simplePos x="0" y="0"/>
                <wp:positionH relativeFrom="column">
                  <wp:posOffset>1259840</wp:posOffset>
                </wp:positionH>
                <wp:positionV relativeFrom="paragraph">
                  <wp:posOffset>324485</wp:posOffset>
                </wp:positionV>
                <wp:extent cx="2714625" cy="0"/>
                <wp:effectExtent l="0" t="4445" r="0" b="5080"/>
                <wp:wrapNone/>
                <wp:docPr id="1" name="自选图形 2"/>
                <wp:cNvGraphicFramePr/>
                <a:graphic xmlns:a="http://schemas.openxmlformats.org/drawingml/2006/main">
                  <a:graphicData uri="http://schemas.microsoft.com/office/word/2010/wordprocessingShape">
                    <wps:wsp>
                      <wps:cNvCnPr/>
                      <wps:spPr>
                        <a:xfrm>
                          <a:off x="0" y="0"/>
                          <a:ext cx="27146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99.2pt;margin-top:25.55pt;height:0pt;width:213.75pt;z-index:251659264;mso-width-relative:page;mso-height-relative:page;" filled="f" stroked="t" coordsize="21600,21600" o:gfxdata="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xdqp09YAAAAJAQAADwAAAAAAAAABACAAAAA4AAAAZHJzL2Rvd25yZXYueG1sUEsBAhQAFAAAAAgA&#10;h07iQGOHSJLYAQAAlQMAAA4AAAAAAAAAAQAgAAAAOwEAAGRycy9lMm9Eb2MueG1sUEsFBgAAAAAG&#10;AAYAWQEAAIUFAAAAAA==&#10;">
                <v:fill on="f" focussize="0,0"/>
                <v:stroke color="#000000" joinstyle="round"/>
                <v:imagedata o:title=""/>
                <o:lock v:ext="edit" aspectratio="f"/>
              </v:shape>
            </w:pict>
          </mc:Fallback>
        </mc:AlternateContent>
      </w: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汉仪新人文宋简">
    <w:panose1 w:val="00020600040101010101"/>
    <w:charset w:val="86"/>
    <w:family w:val="auto"/>
    <w:pitch w:val="default"/>
    <w:sig w:usb0="A00002BF" w:usb1="1ACF7CFA" w:usb2="00000016"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3E1B"/>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056C"/>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4DE"/>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1E8F"/>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259E3"/>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A36C0"/>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40210"/>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DFF2167"/>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441</Words>
  <Characters>516</Characters>
  <Lines>46</Lines>
  <Paragraphs>68</Paragraphs>
  <TotalTime>5</TotalTime>
  <ScaleCrop>false</ScaleCrop>
  <LinksUpToDate>false</LinksUpToDate>
  <CharactersWithSpaces>889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2026-07-22T11:12:48Z</cp:lastPrinted>
  <dcterms:modified xsi:type="dcterms:W3CDTF">2026-07-22T11:18:12Z</dcterms:modified>
  <dc:title>××产品质量监督抽查实施细则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53ED926FB1AE45D8A1310A5885ECA2C0_13</vt:lpwstr>
  </property>
  <property fmtid="{D5CDD505-2E9C-101B-9397-08002B2CF9AE}" pid="4" name="KSOTemplateDocerSaveRecord">
    <vt:lpwstr>eyJoZGlkIjoiZjFmZWIzNDg2MmIzZjExOTIzMmViNTBmYTMwYTk0ZWYiLCJ1c2VySWQiOiIzOTg1Njg2NDcifQ==</vt:lpwstr>
  </property>
</Properties>
</file>