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inorEastAsia" w:hAnsiTheme="minorEastAsia" w:eastAsiaTheme="minorEastAsia" w:cstheme="minorEastAsia"/>
          <w:b/>
          <w:bCs/>
          <w:color w:val="000000"/>
          <w:sz w:val="32"/>
          <w:szCs w:val="32"/>
        </w:rPr>
        <w:t>2026年吐鲁番市</w:t>
      </w:r>
      <w:r>
        <w:rPr>
          <w:rFonts w:hint="eastAsia" w:asciiTheme="minorEastAsia" w:hAnsiTheme="minorEastAsia" w:eastAsiaTheme="minorEastAsia" w:cstheme="minorEastAsia"/>
          <w:b/>
          <w:bCs/>
          <w:color w:val="000000"/>
          <w:sz w:val="32"/>
          <w:szCs w:val="32"/>
          <w:lang w:val="en-US" w:eastAsia="zh-CN"/>
        </w:rPr>
        <w:t>车用润滑油</w:t>
      </w:r>
      <w:r>
        <w:rPr>
          <w:rFonts w:hint="eastAsia" w:asciiTheme="minorEastAsia" w:hAnsiTheme="minorEastAsia" w:eastAsiaTheme="minorEastAsia" w:cstheme="min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asciiTheme="minorEastAsia" w:hAnsiTheme="minorEastAsia" w:eastAsiaTheme="minorEastAsia"/>
          <w:kern w:val="0"/>
          <w:sz w:val="18"/>
          <w:szCs w:val="18"/>
        </w:rPr>
      </w:pPr>
      <w:r>
        <w:rPr>
          <w:color w:val="000000"/>
          <w:szCs w:val="21"/>
        </w:rPr>
        <w:t>每批次产品抽取</w:t>
      </w:r>
      <w:r>
        <w:rPr>
          <w:rFonts w:hint="eastAsia"/>
          <w:color w:val="000000"/>
          <w:szCs w:val="21"/>
          <w:lang w:val="en-US" w:eastAsia="zh-CN"/>
        </w:rPr>
        <w:t>样品2桶且总量不少于4L（kg），其中检样</w:t>
      </w:r>
      <w:r>
        <w:rPr>
          <w:rFonts w:hint="eastAsia"/>
          <w:szCs w:val="21"/>
        </w:rPr>
        <w:t>1桶且总量不少于2L（kg）</w:t>
      </w:r>
      <w:r>
        <w:rPr>
          <w:rFonts w:hint="eastAsia"/>
          <w:szCs w:val="21"/>
          <w:lang w:eastAsia="zh-CN"/>
        </w:rPr>
        <w:t>，</w:t>
      </w:r>
      <w:r>
        <w:rPr>
          <w:rFonts w:hint="eastAsia"/>
          <w:szCs w:val="21"/>
          <w:lang w:val="en-US" w:eastAsia="zh-CN"/>
        </w:rPr>
        <w:t>备样</w:t>
      </w:r>
      <w:r>
        <w:rPr>
          <w:rFonts w:hint="eastAsia"/>
          <w:szCs w:val="21"/>
        </w:rPr>
        <w:t>1桶且总量不少于2L（kg）</w:t>
      </w:r>
      <w:r>
        <w:rPr>
          <w:rFonts w:hint="eastAsia"/>
          <w:color w:val="000000"/>
          <w:szCs w:val="21"/>
          <w:lang w:val="en-US" w:eastAsia="zh-CN"/>
        </w:rPr>
        <w:t>。</w:t>
      </w: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hint="eastAsia" w:ascii="宋体" w:hAnsi="宋体" w:cs="宋体"/>
          <w:szCs w:val="21"/>
          <w:lang w:val="en-US" w:eastAsia="zh-CN"/>
        </w:rPr>
        <w:t>1及表2</w:t>
      </w:r>
      <w:r>
        <w:rPr>
          <w:rFonts w:hint="eastAsia" w:hAnsi="宋体" w:cs="宋体"/>
          <w:szCs w:val="21"/>
        </w:rPr>
        <w:t>。</w:t>
      </w:r>
    </w:p>
    <w:p>
      <w:pPr>
        <w:spacing w:line="440" w:lineRule="exact"/>
        <w:jc w:val="center"/>
        <w:rPr>
          <w:rFonts w:hint="default" w:ascii="Times New Roman" w:hAnsi="宋体" w:eastAsia="宋体" w:cs="Times New Roman"/>
          <w:b/>
          <w:bCs/>
          <w:sz w:val="21"/>
          <w:szCs w:val="21"/>
          <w:lang w:val="en-US" w:eastAsia="zh-CN"/>
        </w:rPr>
      </w:pPr>
      <w:r>
        <w:rPr>
          <w:rFonts w:hint="eastAsia" w:ascii="Times New Roman" w:hAnsi="Times New Roman" w:eastAsia="宋体" w:cs="Times New Roman"/>
          <w:b/>
          <w:bCs/>
          <w:color w:val="auto"/>
          <w:szCs w:val="21"/>
          <w:lang w:val="en-US" w:eastAsia="zh-CN"/>
        </w:rPr>
        <w:t>表1</w:t>
      </w:r>
      <w:r>
        <w:rPr>
          <w:rFonts w:hint="eastAsia" w:ascii="Times New Roman" w:hAnsi="宋体" w:eastAsia="宋体" w:cs="Times New Roman"/>
          <w:b/>
          <w:bCs/>
          <w:sz w:val="21"/>
          <w:szCs w:val="21"/>
          <w:lang w:val="en-US" w:eastAsia="zh-CN"/>
        </w:rPr>
        <w:t>发动机润滑油（GB 11121-2006、GB 11122-2006）</w:t>
      </w:r>
    </w:p>
    <w:tbl>
      <w:tblPr>
        <w:tblStyle w:val="10"/>
        <w:tblW w:w="44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4016"/>
        <w:gridCol w:w="3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58"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序号</w:t>
            </w:r>
          </w:p>
        </w:tc>
        <w:tc>
          <w:tcPr>
            <w:tcW w:w="4048"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检验项目</w:t>
            </w:r>
          </w:p>
        </w:tc>
        <w:tc>
          <w:tcPr>
            <w:tcW w:w="3253"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58"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1</w:t>
            </w:r>
          </w:p>
        </w:tc>
        <w:tc>
          <w:tcPr>
            <w:tcW w:w="4048"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低温动力黏度</w:t>
            </w:r>
          </w:p>
        </w:tc>
        <w:tc>
          <w:tcPr>
            <w:tcW w:w="3253"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GB/T 6538</w:t>
            </w:r>
            <w:r>
              <w:rPr>
                <w:rFonts w:hint="eastAsia" w:eastAsia="宋体" w:cs="Times New Roman"/>
                <w:szCs w:val="21"/>
                <w:lang w:eastAsia="zh-CN"/>
              </w:rPr>
              <w:t>-</w:t>
            </w:r>
            <w:r>
              <w:rPr>
                <w:rFonts w:ascii="Times New Roman" w:hAnsi="Times New Roman" w:eastAsia="宋体" w:cs="Times New Roman"/>
                <w:szCs w:val="21"/>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958"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2</w:t>
            </w:r>
          </w:p>
        </w:tc>
        <w:tc>
          <w:tcPr>
            <w:tcW w:w="4048" w:type="dxa"/>
            <w:noWrap w:val="0"/>
            <w:vAlign w:val="center"/>
          </w:tcPr>
          <w:p>
            <w:pPr>
              <w:spacing w:line="30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运动黏度（100℃）</w:t>
            </w:r>
          </w:p>
        </w:tc>
        <w:tc>
          <w:tcPr>
            <w:tcW w:w="3253" w:type="dxa"/>
            <w:noWrap w:val="0"/>
            <w:vAlign w:val="center"/>
          </w:tcPr>
          <w:p>
            <w:pPr>
              <w:spacing w:line="300" w:lineRule="exact"/>
              <w:jc w:val="center"/>
              <w:rPr>
                <w:rFonts w:hint="default"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GB/T 265</w:t>
            </w:r>
            <w:r>
              <w:rPr>
                <w:rFonts w:hint="eastAsia" w:eastAsia="宋体" w:cs="Times New Roman"/>
                <w:szCs w:val="21"/>
                <w:lang w:eastAsia="zh-CN"/>
              </w:rPr>
              <w:t>-</w:t>
            </w:r>
            <w:r>
              <w:rPr>
                <w:rFonts w:ascii="Times New Roman" w:hAnsi="Times New Roman" w:eastAsia="宋体" w:cs="Times New Roman"/>
                <w:szCs w:val="21"/>
              </w:rPr>
              <w:t>1988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58" w:type="dxa"/>
            <w:noWrap w:val="0"/>
            <w:vAlign w:val="center"/>
          </w:tcPr>
          <w:p>
            <w:pPr>
              <w:spacing w:line="30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w:t>
            </w:r>
          </w:p>
        </w:tc>
        <w:tc>
          <w:tcPr>
            <w:tcW w:w="4048" w:type="dxa"/>
            <w:noWrap w:val="0"/>
            <w:vAlign w:val="center"/>
          </w:tcPr>
          <w:p>
            <w:pPr>
              <w:spacing w:line="30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倾点</w:t>
            </w:r>
          </w:p>
        </w:tc>
        <w:tc>
          <w:tcPr>
            <w:tcW w:w="3253" w:type="dxa"/>
            <w:noWrap w:val="0"/>
            <w:vAlign w:val="center"/>
          </w:tcPr>
          <w:p>
            <w:pPr>
              <w:spacing w:line="300" w:lineRule="exact"/>
              <w:jc w:val="center"/>
              <w:rPr>
                <w:rFonts w:hint="eastAsia" w:ascii="Times New Roman" w:hAnsi="Times New Roman" w:eastAsia="宋体" w:cs="Times New Roman"/>
                <w:szCs w:val="21"/>
                <w:highlight w:val="none"/>
                <w:lang w:val="en-US" w:eastAsia="zh-CN"/>
              </w:rPr>
            </w:pPr>
            <w:r>
              <w:rPr>
                <w:rFonts w:ascii="Times New Roman" w:hAnsi="Times New Roman" w:eastAsia="宋体" w:cs="Times New Roman"/>
                <w:szCs w:val="21"/>
                <w:highlight w:val="none"/>
              </w:rPr>
              <w:t>GB/T 3535</w:t>
            </w:r>
            <w:r>
              <w:rPr>
                <w:rFonts w:hint="eastAsia" w:eastAsia="宋体" w:cs="Times New Roman"/>
                <w:szCs w:val="21"/>
                <w:highlight w:val="none"/>
                <w:lang w:eastAsia="zh-CN"/>
              </w:rPr>
              <w:t>-</w:t>
            </w:r>
            <w:r>
              <w:rPr>
                <w:rFonts w:ascii="Times New Roman" w:hAnsi="Times New Roman" w:eastAsia="宋体" w:cs="Times New Roman"/>
                <w:szCs w:val="21"/>
                <w:highlight w:val="none"/>
              </w:rPr>
              <w:t>20</w:t>
            </w:r>
            <w:r>
              <w:rPr>
                <w:rFonts w:hint="eastAsia" w:ascii="Times New Roman" w:hAnsi="Times New Roman" w:eastAsia="宋体" w:cs="Times New Roman"/>
                <w:szCs w:val="21"/>
                <w:highlight w:val="none"/>
                <w:lang w:val="en-US" w:eastAsia="zh-CN"/>
              </w:rPr>
              <w:t>25</w:t>
            </w:r>
          </w:p>
          <w:p>
            <w:pPr>
              <w:spacing w:line="300" w:lineRule="exact"/>
              <w:jc w:val="center"/>
              <w:rPr>
                <w:rFonts w:hint="default" w:ascii="Times New Roman" w:hAnsi="Times New Roman" w:eastAsia="宋体" w:cs="Times New Roman"/>
                <w:kern w:val="2"/>
                <w:sz w:val="21"/>
                <w:szCs w:val="21"/>
                <w:highlight w:val="yellow"/>
                <w:lang w:val="en-US" w:eastAsia="zh-CN" w:bidi="ar-SA"/>
              </w:rPr>
            </w:pPr>
            <w:r>
              <w:rPr>
                <w:rFonts w:hint="eastAsia" w:ascii="Times New Roman" w:hAnsi="Times New Roman" w:eastAsia="宋体" w:cs="Times New Roman"/>
                <w:color w:val="auto"/>
                <w:szCs w:val="21"/>
                <w:highlight w:val="none"/>
                <w:lang w:val="en-US" w:eastAsia="zh-CN"/>
              </w:rPr>
              <w:t>GB/T 3535</w:t>
            </w:r>
            <w:r>
              <w:rPr>
                <w:rFonts w:hint="eastAsia" w:eastAsia="宋体" w:cs="Times New Roman"/>
                <w:szCs w:val="21"/>
                <w:lang w:eastAsia="zh-CN"/>
              </w:rPr>
              <w:t>-</w:t>
            </w:r>
            <w:r>
              <w:rPr>
                <w:rFonts w:hint="eastAsia" w:ascii="Times New Roman" w:hAnsi="Times New Roman" w:eastAsia="宋体" w:cs="Times New Roman"/>
                <w:color w:val="auto"/>
                <w:szCs w:val="21"/>
                <w:highlight w:val="none"/>
                <w:lang w:val="en-US" w:eastAsia="zh-CN"/>
              </w:rPr>
              <w:t>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58" w:type="dxa"/>
            <w:noWrap w:val="0"/>
            <w:vAlign w:val="center"/>
          </w:tcPr>
          <w:p>
            <w:pPr>
              <w:spacing w:line="30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w:t>
            </w:r>
          </w:p>
        </w:tc>
        <w:tc>
          <w:tcPr>
            <w:tcW w:w="4048" w:type="dxa"/>
            <w:noWrap w:val="0"/>
            <w:vAlign w:val="center"/>
          </w:tcPr>
          <w:p>
            <w:pPr>
              <w:spacing w:line="30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水分</w:t>
            </w:r>
          </w:p>
        </w:tc>
        <w:tc>
          <w:tcPr>
            <w:tcW w:w="3253" w:type="dxa"/>
            <w:noWrap w:val="0"/>
            <w:vAlign w:val="center"/>
          </w:tcPr>
          <w:p>
            <w:pPr>
              <w:spacing w:line="300" w:lineRule="exact"/>
              <w:jc w:val="center"/>
              <w:rPr>
                <w:rFonts w:hint="default"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GB/T 260</w:t>
            </w:r>
            <w:r>
              <w:rPr>
                <w:rFonts w:hint="eastAsia" w:eastAsia="宋体" w:cs="Times New Roman"/>
                <w:szCs w:val="21"/>
                <w:lang w:eastAsia="zh-CN"/>
              </w:rPr>
              <w:t>-</w:t>
            </w:r>
            <w:r>
              <w:rPr>
                <w:rFonts w:ascii="Times New Roman" w:hAnsi="Times New Roman" w:eastAsia="宋体" w:cs="Times New Roman"/>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58" w:type="dxa"/>
            <w:noWrap w:val="0"/>
            <w:vAlign w:val="center"/>
          </w:tcPr>
          <w:p>
            <w:pPr>
              <w:spacing w:line="30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w:t>
            </w:r>
          </w:p>
        </w:tc>
        <w:tc>
          <w:tcPr>
            <w:tcW w:w="4048" w:type="dxa"/>
            <w:noWrap w:val="0"/>
            <w:vAlign w:val="center"/>
          </w:tcPr>
          <w:p>
            <w:pPr>
              <w:spacing w:line="30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机械杂质</w:t>
            </w:r>
          </w:p>
        </w:tc>
        <w:tc>
          <w:tcPr>
            <w:tcW w:w="3253" w:type="dxa"/>
            <w:noWrap w:val="0"/>
            <w:vAlign w:val="center"/>
          </w:tcPr>
          <w:p>
            <w:pPr>
              <w:spacing w:line="30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GB/T 511</w:t>
            </w:r>
            <w:r>
              <w:rPr>
                <w:rFonts w:hint="eastAsia" w:eastAsia="宋体" w:cs="Times New Roman"/>
                <w:szCs w:val="21"/>
                <w:lang w:eastAsia="zh-CN"/>
              </w:rPr>
              <w:t>-</w:t>
            </w:r>
            <w:r>
              <w:rPr>
                <w:rFonts w:ascii="Times New Roman" w:hAnsi="Times New Roman" w:eastAsia="宋体" w:cs="Times New Roman"/>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58" w:type="dxa"/>
            <w:noWrap w:val="0"/>
            <w:vAlign w:val="center"/>
          </w:tcPr>
          <w:p>
            <w:pPr>
              <w:spacing w:line="30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6</w:t>
            </w:r>
          </w:p>
        </w:tc>
        <w:tc>
          <w:tcPr>
            <w:tcW w:w="4048" w:type="dxa"/>
            <w:noWrap w:val="0"/>
            <w:vAlign w:val="center"/>
          </w:tcPr>
          <w:p>
            <w:pPr>
              <w:spacing w:line="30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闪点（开口）</w:t>
            </w:r>
          </w:p>
        </w:tc>
        <w:tc>
          <w:tcPr>
            <w:tcW w:w="3253" w:type="dxa"/>
            <w:noWrap w:val="0"/>
            <w:vAlign w:val="center"/>
          </w:tcPr>
          <w:p>
            <w:pPr>
              <w:spacing w:line="30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GB/T 3536</w:t>
            </w:r>
            <w:r>
              <w:rPr>
                <w:rFonts w:hint="eastAsia" w:eastAsia="宋体" w:cs="Times New Roman"/>
                <w:szCs w:val="21"/>
                <w:lang w:eastAsia="zh-CN"/>
              </w:rPr>
              <w:t>-</w:t>
            </w:r>
            <w:r>
              <w:rPr>
                <w:rFonts w:ascii="Times New Roman" w:hAnsi="Times New Roman" w:eastAsia="宋体" w:cs="Times New Roman"/>
                <w:szCs w:val="21"/>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259" w:type="dxa"/>
            <w:gridSpan w:val="3"/>
            <w:noWrap w:val="0"/>
            <w:vAlign w:val="center"/>
          </w:tcPr>
          <w:p>
            <w:pPr>
              <w:spacing w:line="300" w:lineRule="exact"/>
              <w:jc w:val="both"/>
              <w:rPr>
                <w:rFonts w:hint="default" w:ascii="Times New Roman" w:hAnsi="Times New Roman" w:eastAsia="宋体" w:cs="Times New Roman"/>
                <w:szCs w:val="21"/>
                <w:lang w:val="en-US" w:eastAsia="zh-CN"/>
              </w:rPr>
            </w:pPr>
            <w:r>
              <w:rPr>
                <w:rFonts w:hint="eastAsia" w:eastAsia="宋体" w:cs="Times New Roman"/>
                <w:szCs w:val="21"/>
                <w:lang w:val="en-US" w:eastAsia="zh-CN"/>
              </w:rPr>
              <w:t>备注：适用于生产日期在2026.7.1之前的产品</w:t>
            </w:r>
          </w:p>
        </w:tc>
      </w:tr>
    </w:tbl>
    <w:p>
      <w:pPr>
        <w:spacing w:line="300" w:lineRule="exact"/>
        <w:jc w:val="center"/>
        <w:rPr>
          <w:rFonts w:hint="eastAsia" w:ascii="Times New Roman" w:hAnsi="Times New Roman" w:eastAsia="黑体" w:cs="Times New Roman"/>
          <w:color w:val="000000"/>
          <w:szCs w:val="21"/>
          <w:lang w:eastAsia="zh-CN"/>
        </w:rPr>
      </w:pPr>
    </w:p>
    <w:p>
      <w:pPr>
        <w:spacing w:line="440" w:lineRule="exact"/>
        <w:jc w:val="center"/>
        <w:rPr>
          <w:rFonts w:hint="default" w:ascii="Times New Roman" w:hAnsi="Times New Roman" w:eastAsia="宋体" w:cs="Times New Roman"/>
          <w:b/>
          <w:bCs/>
          <w:color w:val="auto"/>
          <w:szCs w:val="21"/>
          <w:lang w:val="en-US" w:eastAsia="zh-CN"/>
        </w:rPr>
      </w:pPr>
      <w:r>
        <w:rPr>
          <w:rFonts w:hint="eastAsia" w:ascii="Times New Roman" w:hAnsi="Times New Roman" w:eastAsia="宋体" w:cs="Times New Roman"/>
          <w:b/>
          <w:bCs/>
          <w:color w:val="auto"/>
          <w:szCs w:val="21"/>
          <w:lang w:val="en-US" w:eastAsia="zh-CN"/>
        </w:rPr>
        <w:t>表2 发动机润滑油（GB 11121-2025、GB 11122-2025）</w:t>
      </w:r>
    </w:p>
    <w:tbl>
      <w:tblPr>
        <w:tblStyle w:val="10"/>
        <w:tblW w:w="45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3962"/>
        <w:gridCol w:w="3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序号</w:t>
            </w:r>
          </w:p>
        </w:tc>
        <w:tc>
          <w:tcPr>
            <w:tcW w:w="3994"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检验项目</w:t>
            </w:r>
          </w:p>
        </w:tc>
        <w:tc>
          <w:tcPr>
            <w:tcW w:w="3303"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1</w:t>
            </w:r>
          </w:p>
        </w:tc>
        <w:tc>
          <w:tcPr>
            <w:tcW w:w="3994" w:type="dxa"/>
            <w:noWrap w:val="0"/>
            <w:vAlign w:val="center"/>
          </w:tcPr>
          <w:p>
            <w:pPr>
              <w:spacing w:line="300" w:lineRule="exact"/>
              <w:jc w:val="center"/>
              <w:rPr>
                <w:rFonts w:ascii="Times New Roman" w:hAnsi="Times New Roman" w:eastAsia="宋体" w:cs="Times New Roman"/>
                <w:color w:val="auto"/>
                <w:szCs w:val="21"/>
              </w:rPr>
            </w:pPr>
            <w:r>
              <w:rPr>
                <w:rFonts w:ascii="Times New Roman" w:hAnsi="Times New Roman" w:eastAsia="宋体" w:cs="Times New Roman"/>
                <w:szCs w:val="21"/>
              </w:rPr>
              <w:t>低温动力黏度</w:t>
            </w:r>
          </w:p>
        </w:tc>
        <w:tc>
          <w:tcPr>
            <w:tcW w:w="3303"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GB/T 6538</w:t>
            </w:r>
            <w:r>
              <w:rPr>
                <w:rFonts w:hint="eastAsia" w:eastAsia="宋体" w:cs="Times New Roman"/>
                <w:szCs w:val="21"/>
                <w:lang w:eastAsia="zh-CN"/>
              </w:rPr>
              <w:t>-</w:t>
            </w:r>
            <w:r>
              <w:rPr>
                <w:rFonts w:ascii="Times New Roman" w:hAnsi="Times New Roman" w:eastAsia="宋体" w:cs="Times New Roman"/>
                <w:szCs w:val="21"/>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exact"/>
          <w:jc w:val="center"/>
        </w:trPr>
        <w:tc>
          <w:tcPr>
            <w:tcW w:w="1036"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2</w:t>
            </w:r>
          </w:p>
        </w:tc>
        <w:tc>
          <w:tcPr>
            <w:tcW w:w="3994" w:type="dxa"/>
            <w:noWrap w:val="0"/>
            <w:vAlign w:val="center"/>
          </w:tcPr>
          <w:p>
            <w:pPr>
              <w:spacing w:line="300" w:lineRule="exact"/>
              <w:jc w:val="center"/>
              <w:rPr>
                <w:rFonts w:ascii="Times New Roman" w:hAnsi="Times New Roman" w:eastAsia="宋体" w:cs="Times New Roman"/>
                <w:color w:val="auto"/>
                <w:szCs w:val="21"/>
              </w:rPr>
            </w:pPr>
            <w:r>
              <w:rPr>
                <w:rFonts w:ascii="Times New Roman" w:hAnsi="Times New Roman" w:eastAsia="宋体" w:cs="Times New Roman"/>
                <w:szCs w:val="21"/>
              </w:rPr>
              <w:t>运动黏度（100℃）</w:t>
            </w:r>
          </w:p>
        </w:tc>
        <w:tc>
          <w:tcPr>
            <w:tcW w:w="3303"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GB/T 265</w:t>
            </w:r>
            <w:r>
              <w:rPr>
                <w:rFonts w:hint="eastAsia" w:eastAsia="宋体" w:cs="Times New Roman"/>
                <w:szCs w:val="21"/>
                <w:lang w:eastAsia="zh-CN"/>
              </w:rPr>
              <w:t>-</w:t>
            </w:r>
            <w:r>
              <w:rPr>
                <w:rFonts w:ascii="Times New Roman" w:hAnsi="Times New Roman" w:eastAsia="宋体" w:cs="Times New Roman"/>
                <w:szCs w:val="21"/>
              </w:rPr>
              <w:t>1988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noWrap w:val="0"/>
            <w:vAlign w:val="center"/>
          </w:tcPr>
          <w:p>
            <w:pPr>
              <w:spacing w:line="30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w:t>
            </w:r>
          </w:p>
        </w:tc>
        <w:tc>
          <w:tcPr>
            <w:tcW w:w="3994"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倾点</w:t>
            </w:r>
          </w:p>
        </w:tc>
        <w:tc>
          <w:tcPr>
            <w:tcW w:w="3303" w:type="dxa"/>
            <w:noWrap w:val="0"/>
            <w:vAlign w:val="center"/>
          </w:tcPr>
          <w:p>
            <w:pPr>
              <w:spacing w:line="300" w:lineRule="exact"/>
              <w:jc w:val="center"/>
              <w:rPr>
                <w:rFonts w:hint="eastAsia" w:ascii="Times New Roman" w:hAnsi="Times New Roman" w:eastAsia="宋体" w:cs="Times New Roman"/>
                <w:szCs w:val="21"/>
                <w:highlight w:val="none"/>
                <w:lang w:val="en-US" w:eastAsia="zh-CN"/>
              </w:rPr>
            </w:pPr>
            <w:r>
              <w:rPr>
                <w:rFonts w:ascii="Times New Roman" w:hAnsi="Times New Roman" w:eastAsia="宋体" w:cs="Times New Roman"/>
                <w:szCs w:val="21"/>
                <w:highlight w:val="none"/>
              </w:rPr>
              <w:t>GB/T 3535</w:t>
            </w:r>
            <w:r>
              <w:rPr>
                <w:rFonts w:hint="eastAsia" w:eastAsia="宋体" w:cs="Times New Roman"/>
                <w:szCs w:val="21"/>
                <w:highlight w:val="none"/>
                <w:lang w:eastAsia="zh-CN"/>
              </w:rPr>
              <w:t>-</w:t>
            </w:r>
            <w:r>
              <w:rPr>
                <w:rFonts w:ascii="Times New Roman" w:hAnsi="Times New Roman" w:eastAsia="宋体" w:cs="Times New Roman"/>
                <w:szCs w:val="21"/>
                <w:highlight w:val="none"/>
              </w:rPr>
              <w:t>20</w:t>
            </w:r>
            <w:r>
              <w:rPr>
                <w:rFonts w:hint="eastAsia" w:ascii="Times New Roman" w:hAnsi="Times New Roman" w:eastAsia="宋体" w:cs="Times New Roman"/>
                <w:szCs w:val="21"/>
                <w:highlight w:val="none"/>
                <w:lang w:val="en-US" w:eastAsia="zh-CN"/>
              </w:rPr>
              <w:t>25</w:t>
            </w:r>
          </w:p>
          <w:p>
            <w:pPr>
              <w:spacing w:line="300" w:lineRule="exact"/>
              <w:jc w:val="center"/>
              <w:rPr>
                <w:rFonts w:ascii="Times New Roman" w:hAnsi="Times New Roman" w:eastAsia="宋体" w:cs="Times New Roman"/>
                <w:szCs w:val="21"/>
              </w:rPr>
            </w:pPr>
            <w:r>
              <w:rPr>
                <w:rFonts w:hint="eastAsia" w:ascii="Times New Roman" w:hAnsi="Times New Roman" w:eastAsia="宋体" w:cs="Times New Roman"/>
                <w:color w:val="auto"/>
                <w:szCs w:val="21"/>
                <w:highlight w:val="none"/>
                <w:lang w:val="en-US" w:eastAsia="zh-CN"/>
              </w:rPr>
              <w:t>GB/T 3535</w:t>
            </w:r>
            <w:r>
              <w:rPr>
                <w:rFonts w:hint="eastAsia" w:eastAsia="宋体" w:cs="Times New Roman"/>
                <w:szCs w:val="21"/>
                <w:lang w:eastAsia="zh-CN"/>
              </w:rPr>
              <w:t>-</w:t>
            </w:r>
            <w:r>
              <w:rPr>
                <w:rFonts w:hint="eastAsia" w:ascii="Times New Roman" w:hAnsi="Times New Roman" w:eastAsia="宋体" w:cs="Times New Roman"/>
                <w:color w:val="auto"/>
                <w:szCs w:val="21"/>
                <w:highlight w:val="none"/>
                <w:lang w:val="en-US" w:eastAsia="zh-CN"/>
              </w:rPr>
              <w:t>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noWrap w:val="0"/>
            <w:vAlign w:val="center"/>
          </w:tcPr>
          <w:p>
            <w:pPr>
              <w:spacing w:line="30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w:t>
            </w:r>
          </w:p>
        </w:tc>
        <w:tc>
          <w:tcPr>
            <w:tcW w:w="3994"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水分</w:t>
            </w:r>
          </w:p>
        </w:tc>
        <w:tc>
          <w:tcPr>
            <w:tcW w:w="3303" w:type="dxa"/>
            <w:noWrap w:val="0"/>
            <w:vAlign w:val="center"/>
          </w:tcPr>
          <w:p>
            <w:pPr>
              <w:spacing w:line="300" w:lineRule="exact"/>
              <w:jc w:val="center"/>
              <w:rPr>
                <w:rFonts w:hint="default" w:ascii="Times New Roman" w:hAnsi="Times New Roman" w:eastAsia="宋体" w:cs="Times New Roman"/>
                <w:szCs w:val="21"/>
                <w:lang w:val="en-US" w:eastAsia="zh-CN"/>
              </w:rPr>
            </w:pPr>
            <w:r>
              <w:rPr>
                <w:rFonts w:ascii="Times New Roman" w:hAnsi="Times New Roman" w:eastAsia="宋体" w:cs="Times New Roman"/>
                <w:szCs w:val="21"/>
              </w:rPr>
              <w:t>GB/T 260</w:t>
            </w:r>
            <w:r>
              <w:rPr>
                <w:rFonts w:hint="eastAsia" w:eastAsia="宋体" w:cs="Times New Roman"/>
                <w:szCs w:val="21"/>
                <w:lang w:eastAsia="zh-CN"/>
              </w:rPr>
              <w:t>-</w:t>
            </w:r>
            <w:r>
              <w:rPr>
                <w:rFonts w:ascii="Times New Roman" w:hAnsi="Times New Roman" w:eastAsia="宋体" w:cs="Times New Roman"/>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noWrap w:val="0"/>
            <w:vAlign w:val="center"/>
          </w:tcPr>
          <w:p>
            <w:pPr>
              <w:spacing w:line="30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w:t>
            </w:r>
          </w:p>
        </w:tc>
        <w:tc>
          <w:tcPr>
            <w:tcW w:w="3994" w:type="dxa"/>
            <w:noWrap w:val="0"/>
            <w:vAlign w:val="center"/>
          </w:tcPr>
          <w:p>
            <w:pPr>
              <w:spacing w:line="300" w:lineRule="exact"/>
              <w:jc w:val="center"/>
              <w:rPr>
                <w:rFonts w:hint="eastAsia" w:ascii="Times New Roman" w:hAnsi="Times New Roman" w:eastAsia="宋体" w:cs="Times New Roman"/>
                <w:szCs w:val="21"/>
                <w:lang w:eastAsia="zh-CN"/>
              </w:rPr>
            </w:pPr>
            <w:r>
              <w:rPr>
                <w:rFonts w:ascii="Times New Roman" w:hAnsi="Times New Roman" w:eastAsia="宋体" w:cs="Times New Roman"/>
                <w:szCs w:val="21"/>
              </w:rPr>
              <w:t>机械杂质</w:t>
            </w:r>
          </w:p>
        </w:tc>
        <w:tc>
          <w:tcPr>
            <w:tcW w:w="3303"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GB/T 511</w:t>
            </w:r>
            <w:r>
              <w:rPr>
                <w:rFonts w:hint="eastAsia" w:eastAsia="宋体" w:cs="Times New Roman"/>
                <w:szCs w:val="21"/>
                <w:lang w:eastAsia="zh-CN"/>
              </w:rPr>
              <w:t>-</w:t>
            </w:r>
            <w:r>
              <w:rPr>
                <w:rFonts w:ascii="Times New Roman" w:hAnsi="Times New Roman" w:eastAsia="宋体" w:cs="Times New Roman"/>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36" w:type="dxa"/>
            <w:noWrap w:val="0"/>
            <w:vAlign w:val="center"/>
          </w:tcPr>
          <w:p>
            <w:pPr>
              <w:spacing w:line="30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6</w:t>
            </w:r>
          </w:p>
        </w:tc>
        <w:tc>
          <w:tcPr>
            <w:tcW w:w="3994" w:type="dxa"/>
            <w:noWrap w:val="0"/>
            <w:vAlign w:val="center"/>
          </w:tcPr>
          <w:p>
            <w:pPr>
              <w:spacing w:line="300" w:lineRule="exact"/>
              <w:jc w:val="center"/>
              <w:rPr>
                <w:rFonts w:hint="eastAsia" w:ascii="Times New Roman" w:hAnsi="Times New Roman" w:eastAsia="宋体" w:cs="Times New Roman"/>
                <w:color w:val="auto"/>
                <w:szCs w:val="21"/>
                <w:lang w:eastAsia="zh-CN"/>
              </w:rPr>
            </w:pPr>
            <w:r>
              <w:rPr>
                <w:rFonts w:ascii="Times New Roman" w:hAnsi="Times New Roman" w:eastAsia="宋体" w:cs="Times New Roman"/>
                <w:szCs w:val="21"/>
              </w:rPr>
              <w:t>闪点（开口）</w:t>
            </w:r>
          </w:p>
        </w:tc>
        <w:tc>
          <w:tcPr>
            <w:tcW w:w="3303" w:type="dxa"/>
            <w:noWrap w:val="0"/>
            <w:vAlign w:val="center"/>
          </w:tcPr>
          <w:p>
            <w:pPr>
              <w:spacing w:line="300" w:lineRule="exact"/>
              <w:jc w:val="center"/>
              <w:rPr>
                <w:rFonts w:ascii="Times New Roman" w:hAnsi="Times New Roman" w:eastAsia="宋体" w:cs="Times New Roman"/>
                <w:szCs w:val="21"/>
              </w:rPr>
            </w:pPr>
            <w:r>
              <w:rPr>
                <w:rFonts w:ascii="Times New Roman" w:hAnsi="Times New Roman" w:eastAsia="宋体" w:cs="Times New Roman"/>
                <w:szCs w:val="21"/>
              </w:rPr>
              <w:t>GB/T 3536</w:t>
            </w:r>
            <w:r>
              <w:rPr>
                <w:rFonts w:hint="eastAsia" w:eastAsia="宋体" w:cs="Times New Roman"/>
                <w:szCs w:val="21"/>
                <w:lang w:eastAsia="zh-CN"/>
              </w:rPr>
              <w:t>-</w:t>
            </w:r>
            <w:r>
              <w:rPr>
                <w:rFonts w:ascii="Times New Roman" w:hAnsi="Times New Roman" w:eastAsia="宋体" w:cs="Times New Roman"/>
                <w:szCs w:val="21"/>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exact"/>
          <w:jc w:val="center"/>
        </w:trPr>
        <w:tc>
          <w:tcPr>
            <w:tcW w:w="8333" w:type="dxa"/>
            <w:gridSpan w:val="3"/>
            <w:noWrap w:val="0"/>
            <w:vAlign w:val="center"/>
          </w:tcPr>
          <w:p>
            <w:pPr>
              <w:spacing w:line="300" w:lineRule="exact"/>
              <w:jc w:val="both"/>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szCs w:val="21"/>
                <w:lang w:val="en-US" w:eastAsia="zh-CN"/>
              </w:rPr>
              <w:t>注：</w:t>
            </w:r>
            <w:r>
              <w:rPr>
                <w:rFonts w:hint="eastAsia" w:eastAsia="宋体" w:cs="Times New Roman"/>
                <w:szCs w:val="21"/>
                <w:lang w:val="en-US" w:eastAsia="zh-CN"/>
              </w:rPr>
              <w:t>适用于生产日期在2026.7.1之后、标明检测标准为</w:t>
            </w:r>
            <w:r>
              <w:rPr>
                <w:rFonts w:hint="eastAsia" w:ascii="Times New Roman" w:hAnsi="Times New Roman" w:eastAsia="宋体" w:cs="Times New Roman"/>
                <w:color w:val="auto"/>
                <w:szCs w:val="21"/>
                <w:lang w:val="en-US" w:eastAsia="zh-CN"/>
              </w:rPr>
              <w:t>GB 11121</w:t>
            </w: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auto"/>
                <w:szCs w:val="21"/>
                <w:lang w:val="en-US" w:eastAsia="zh-CN"/>
              </w:rPr>
              <w:t>2025、GB 11122</w:t>
            </w: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auto"/>
                <w:szCs w:val="21"/>
                <w:lang w:val="en-US" w:eastAsia="zh-CN"/>
              </w:rPr>
              <w:t>2025</w:t>
            </w:r>
            <w:r>
              <w:rPr>
                <w:rFonts w:hint="eastAsia" w:eastAsia="宋体" w:cs="Times New Roman"/>
                <w:szCs w:val="21"/>
                <w:lang w:val="en-US" w:eastAsia="zh-CN"/>
              </w:rPr>
              <w:t>的产品</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0" w:name="_Hlk32567754"/>
      <w:r>
        <w:rPr>
          <w:rFonts w:hint="eastAsia" w:cs="宋体"/>
          <w:szCs w:val="21"/>
        </w:rPr>
        <w:t>GB 11121-200《汽油机油》</w:t>
      </w:r>
    </w:p>
    <w:p>
      <w:pPr>
        <w:spacing w:line="440" w:lineRule="exact"/>
        <w:ind w:firstLine="420" w:firstLineChars="200"/>
        <w:rPr>
          <w:rFonts w:hint="eastAsia" w:cs="宋体"/>
          <w:szCs w:val="21"/>
        </w:rPr>
      </w:pPr>
      <w:r>
        <w:rPr>
          <w:rFonts w:hint="eastAsia" w:cs="宋体"/>
          <w:szCs w:val="21"/>
        </w:rPr>
        <w:t>GB 11121-2025《汽油机油》</w:t>
      </w:r>
    </w:p>
    <w:p>
      <w:pPr>
        <w:spacing w:line="440" w:lineRule="exact"/>
        <w:ind w:firstLine="420" w:firstLineChars="200"/>
        <w:rPr>
          <w:rFonts w:hint="eastAsia" w:cs="宋体"/>
          <w:szCs w:val="21"/>
        </w:rPr>
      </w:pPr>
      <w:r>
        <w:rPr>
          <w:rFonts w:hint="eastAsia" w:cs="宋体"/>
          <w:szCs w:val="21"/>
        </w:rPr>
        <w:t>GB 11122-2006《柴油机油》</w:t>
      </w:r>
    </w:p>
    <w:p>
      <w:pPr>
        <w:spacing w:line="440" w:lineRule="exact"/>
        <w:ind w:firstLine="420" w:firstLineChars="200"/>
        <w:rPr>
          <w:rFonts w:hint="eastAsia" w:cs="宋体"/>
          <w:szCs w:val="21"/>
        </w:rPr>
      </w:pPr>
      <w:r>
        <w:rPr>
          <w:rFonts w:hint="eastAsia" w:cs="宋体"/>
          <w:szCs w:val="21"/>
        </w:rPr>
        <w:t>GB 11122-2025《柴油机油》</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hint="eastAsia" w:eastAsia="宋体"/>
          <w:color w:val="000000"/>
          <w:szCs w:val="21"/>
          <w:u w:val="single"/>
          <w:lang w:eastAsia="zh-CN"/>
        </w:rPr>
      </w:pPr>
      <w:r>
        <w:rPr>
          <w:rFonts w:ascii="宋体" w:hAnsi="宋体"/>
          <w:color w:val="000000"/>
          <w:szCs w:val="21"/>
        </w:rPr>
        <w:t>若被检产品明示的质量要求缺少本细则中检验项目依据的推荐性标准要求时，该项目不参与判定。</w:t>
      </w:r>
      <w:bookmarkStart w:id="1" w:name="_GoBack"/>
      <w:bookmarkEnd w:id="1"/>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5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056C"/>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A36C0"/>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953AF6"/>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40210"/>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054290"/>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CED5F04"/>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120B3E"/>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3079"/>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30AE5"/>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AB3BE8"/>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DFB75EB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864</Words>
  <Characters>1478</Characters>
  <Lines>5</Lines>
  <Paragraphs>1</Paragraphs>
  <TotalTime>1</TotalTime>
  <ScaleCrop>false</ScaleCrop>
  <LinksUpToDate>false</LinksUpToDate>
  <CharactersWithSpaces>1544</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2026-07-22T11:10:09Z</cp:lastPrinted>
  <dcterms:modified xsi:type="dcterms:W3CDTF">2026-07-22T11:10:36Z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3346E91D69F54C2EAD8CD868DC9D49C0_13</vt:lpwstr>
  </property>
  <property fmtid="{D5CDD505-2E9C-101B-9397-08002B2CF9AE}" pid="4" name="KSOTemplateDocerSaveRecord">
    <vt:lpwstr>eyJoZGlkIjoiZjFmZWIzNDg2MmIzZjExOTIzMmViNTBmYTMwYTk0ZWYiLCJ1c2VySWQiOiIzOTg1Njg2NDcifQ==</vt:lpwstr>
  </property>
</Properties>
</file>