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吐鲁番市食品用塑料袋</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每批次产品抽取100</w:t>
      </w:r>
      <w:r>
        <w:rPr>
          <w:rFonts w:hint="eastAsia"/>
          <w:color w:val="000000"/>
          <w:szCs w:val="21"/>
        </w:rPr>
        <w:t>个/</w:t>
      </w:r>
      <w:r>
        <w:rPr>
          <w:color w:val="000000"/>
          <w:szCs w:val="21"/>
        </w:rPr>
        <w:t>2</w:t>
      </w:r>
      <w:r>
        <w:rPr>
          <w:rFonts w:hint="eastAsia"/>
          <w:color w:val="000000"/>
          <w:szCs w:val="21"/>
        </w:rPr>
        <w:t>卷</w:t>
      </w:r>
      <w:r>
        <w:rPr>
          <w:color w:val="000000"/>
          <w:szCs w:val="21"/>
        </w:rPr>
        <w:t>。其中50</w:t>
      </w:r>
      <w:r>
        <w:rPr>
          <w:rFonts w:hint="eastAsia"/>
          <w:color w:val="000000"/>
          <w:szCs w:val="21"/>
        </w:rPr>
        <w:t>个/</w:t>
      </w:r>
      <w:r>
        <w:rPr>
          <w:color w:val="000000"/>
          <w:szCs w:val="21"/>
        </w:rPr>
        <w:t>1</w:t>
      </w:r>
      <w:r>
        <w:rPr>
          <w:rFonts w:hint="eastAsia"/>
          <w:color w:val="000000"/>
          <w:szCs w:val="21"/>
        </w:rPr>
        <w:t>卷</w:t>
      </w:r>
      <w:r>
        <w:rPr>
          <w:color w:val="000000"/>
          <w:szCs w:val="21"/>
        </w:rPr>
        <w:t>作为检验样品，50</w:t>
      </w:r>
      <w:r>
        <w:rPr>
          <w:rFonts w:hint="eastAsia"/>
          <w:color w:val="000000"/>
          <w:szCs w:val="21"/>
        </w:rPr>
        <w:t>个/</w:t>
      </w:r>
      <w:r>
        <w:rPr>
          <w:color w:val="000000"/>
          <w:szCs w:val="21"/>
        </w:rPr>
        <w:t>1</w:t>
      </w:r>
      <w:r>
        <w:rPr>
          <w:rFonts w:hint="eastAsia"/>
          <w:color w:val="000000"/>
          <w:szCs w:val="21"/>
        </w:rPr>
        <w:t>卷</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食品用塑料袋</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color w:val="000000"/>
                <w:sz w:val="20"/>
                <w:szCs w:val="20"/>
              </w:rPr>
              <w:t>感官要求</w:t>
            </w:r>
          </w:p>
        </w:tc>
        <w:tc>
          <w:tcPr>
            <w:tcW w:w="2010" w:type="pct"/>
            <w:vAlign w:val="center"/>
          </w:tcPr>
          <w:p>
            <w:pPr>
              <w:spacing w:line="300" w:lineRule="exact"/>
              <w:jc w:val="center"/>
              <w:rPr>
                <w:szCs w:val="21"/>
              </w:rPr>
            </w:pPr>
            <w:bookmarkStart w:id="0" w:name="OLE_LINK19"/>
            <w:bookmarkStart w:id="1" w:name="OLE_LINK20"/>
            <w:r>
              <w:rPr>
                <w:rFonts w:cs="宋体"/>
                <w:szCs w:val="21"/>
              </w:rPr>
              <w:t>GB 4806.7</w:t>
            </w:r>
            <w:r>
              <w:rPr>
                <w:szCs w:val="21"/>
              </w:rPr>
              <w:t>—</w:t>
            </w:r>
            <w:r>
              <w:rPr>
                <w:rFonts w:cs="宋体"/>
                <w:szCs w:val="21"/>
              </w:rPr>
              <w:t>2023</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总迁移量</w:t>
            </w:r>
          </w:p>
        </w:tc>
        <w:tc>
          <w:tcPr>
            <w:tcW w:w="2010" w:type="pct"/>
            <w:vAlign w:val="center"/>
          </w:tcPr>
          <w:p>
            <w:pPr>
              <w:spacing w:line="300" w:lineRule="exact"/>
              <w:jc w:val="center"/>
              <w:rPr>
                <w:szCs w:val="21"/>
              </w:rPr>
            </w:pPr>
            <w:r>
              <w:rPr>
                <w:rFonts w:cs="宋体"/>
                <w:szCs w:val="21"/>
              </w:rPr>
              <w:t>GB 31604.8—2021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高锰酸钾消耗量</w:t>
            </w:r>
          </w:p>
        </w:tc>
        <w:tc>
          <w:tcPr>
            <w:tcW w:w="2010" w:type="pct"/>
            <w:vAlign w:val="center"/>
          </w:tcPr>
          <w:p>
            <w:pPr>
              <w:spacing w:line="300" w:lineRule="exact"/>
              <w:jc w:val="center"/>
              <w:rPr>
                <w:szCs w:val="21"/>
              </w:rPr>
            </w:pPr>
            <w:r>
              <w:rPr>
                <w:rFonts w:cs="宋体"/>
                <w:szCs w:val="21"/>
              </w:rPr>
              <w:t xml:space="preserve">GB 31604.2—2016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重金属（以Pb计）</w:t>
            </w:r>
          </w:p>
        </w:tc>
        <w:tc>
          <w:tcPr>
            <w:tcW w:w="2010" w:type="pct"/>
            <w:vAlign w:val="center"/>
          </w:tcPr>
          <w:p>
            <w:pPr>
              <w:spacing w:line="300" w:lineRule="exact"/>
              <w:jc w:val="center"/>
              <w:rPr>
                <w:szCs w:val="21"/>
              </w:rPr>
            </w:pPr>
            <w:r>
              <w:rPr>
                <w:rFonts w:cs="宋体"/>
                <w:szCs w:val="21"/>
              </w:rPr>
              <w:t xml:space="preserve">GB 31604.9—2016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5</w:t>
            </w:r>
          </w:p>
        </w:tc>
        <w:tc>
          <w:tcPr>
            <w:tcW w:w="2045" w:type="pct"/>
            <w:vAlign w:val="center"/>
          </w:tcPr>
          <w:p>
            <w:pPr>
              <w:spacing w:line="300" w:lineRule="exact"/>
              <w:jc w:val="center"/>
              <w:rPr>
                <w:szCs w:val="21"/>
              </w:rPr>
            </w:pPr>
            <w:r>
              <w:rPr>
                <w:rFonts w:hint="eastAsia"/>
                <w:color w:val="000000"/>
                <w:sz w:val="20"/>
                <w:szCs w:val="20"/>
              </w:rPr>
              <w:t>脱色试验</w:t>
            </w:r>
          </w:p>
        </w:tc>
        <w:tc>
          <w:tcPr>
            <w:tcW w:w="2010" w:type="pct"/>
            <w:vAlign w:val="center"/>
          </w:tcPr>
          <w:p>
            <w:pPr>
              <w:spacing w:line="300" w:lineRule="exact"/>
              <w:jc w:val="center"/>
              <w:rPr>
                <w:szCs w:val="21"/>
              </w:rPr>
            </w:pPr>
            <w:r>
              <w:rPr>
                <w:rFonts w:cs="宋体"/>
                <w:szCs w:val="21"/>
              </w:rPr>
              <w:t>GB 31604.7—2023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6</w:t>
            </w:r>
          </w:p>
        </w:tc>
        <w:tc>
          <w:tcPr>
            <w:tcW w:w="2045" w:type="pct"/>
            <w:vAlign w:val="center"/>
          </w:tcPr>
          <w:p>
            <w:pPr>
              <w:spacing w:line="300" w:lineRule="exact"/>
              <w:jc w:val="center"/>
              <w:rPr>
                <w:szCs w:val="21"/>
              </w:rPr>
            </w:pPr>
            <w:r>
              <w:rPr>
                <w:rFonts w:hint="eastAsia"/>
                <w:color w:val="000000"/>
                <w:sz w:val="20"/>
                <w:szCs w:val="20"/>
              </w:rPr>
              <w:t>芳香族伯胺迁移总量</w:t>
            </w:r>
          </w:p>
        </w:tc>
        <w:tc>
          <w:tcPr>
            <w:tcW w:w="2010" w:type="pct"/>
            <w:vAlign w:val="center"/>
          </w:tcPr>
          <w:p>
            <w:pPr>
              <w:spacing w:line="300" w:lineRule="exact"/>
              <w:jc w:val="center"/>
              <w:rPr>
                <w:szCs w:val="21"/>
              </w:rPr>
            </w:pPr>
            <w:r>
              <w:rPr>
                <w:rFonts w:cs="宋体"/>
                <w:szCs w:val="21"/>
              </w:rPr>
              <w:t>GB 31604.52—2021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7</w:t>
            </w:r>
          </w:p>
        </w:tc>
        <w:tc>
          <w:tcPr>
            <w:tcW w:w="2045" w:type="pct"/>
            <w:vAlign w:val="center"/>
          </w:tcPr>
          <w:p>
            <w:pPr>
              <w:spacing w:line="300" w:lineRule="exact"/>
              <w:jc w:val="center"/>
              <w:rPr>
                <w:szCs w:val="21"/>
              </w:rPr>
            </w:pPr>
            <w:r>
              <w:rPr>
                <w:rFonts w:hint="eastAsia" w:cs="宋体"/>
                <w:szCs w:val="21"/>
              </w:rPr>
              <w:t>特定迁移总量（以己内酰胺计）（限</w:t>
            </w:r>
            <w:r>
              <w:rPr>
                <w:rFonts w:cs="宋体"/>
                <w:szCs w:val="21"/>
              </w:rPr>
              <w:t>PA</w:t>
            </w:r>
            <w:r>
              <w:rPr>
                <w:rFonts w:hint="eastAsia" w:cs="宋体"/>
                <w:szCs w:val="21"/>
              </w:rPr>
              <w:t>材质）</w:t>
            </w:r>
          </w:p>
        </w:tc>
        <w:tc>
          <w:tcPr>
            <w:tcW w:w="2010" w:type="pct"/>
            <w:vAlign w:val="center"/>
          </w:tcPr>
          <w:p>
            <w:pPr>
              <w:spacing w:line="300" w:lineRule="exact"/>
              <w:jc w:val="center"/>
              <w:rPr>
                <w:szCs w:val="21"/>
              </w:rPr>
            </w:pPr>
            <w:r>
              <w:rPr>
                <w:rFonts w:cs="宋体"/>
                <w:szCs w:val="21"/>
              </w:rPr>
              <w:t>GB 31604.19—2016</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color w:val="000000"/>
          <w:szCs w:val="21"/>
        </w:rPr>
      </w:pPr>
      <w:bookmarkStart w:id="2" w:name="_Hlk32567754"/>
      <w:r>
        <w:rPr>
          <w:rFonts w:hint="eastAsia" w:cs="宋体"/>
          <w:szCs w:val="21"/>
        </w:rPr>
        <w:t>GB 4806.7—2023 食品安全国家标准 食品接触用塑料材料及制品</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2"/>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3" w:name="_GoBack"/>
      <w:bookmarkEnd w:id="3"/>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DACDDB4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131</Words>
  <Characters>748</Characters>
  <Lines>6</Lines>
  <Paragraphs>1</Paragraphs>
  <TotalTime>1</TotalTime>
  <ScaleCrop>false</ScaleCrop>
  <LinksUpToDate>false</LinksUpToDate>
  <CharactersWithSpaces>878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2026-07-21T14:21:00Z</dcterms:created>
  <dc:creator>Legend User</dc:creator>
  <cp:lastModifiedBy> </cp:lastModifiedBy>
  <cp:lastPrinted>2020-10-08T10:52:00Z</cp:lastPrinted>
  <dcterms:modified xsi:type="dcterms:W3CDTF">2026-07-22T11:52:30Z</dcterms:modified>
  <dc:title>××产品质量监督抽查实施细则</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