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仿宋" w:hAnsi="仿宋" w:eastAsia="仿宋" w:cs="仿宋"/>
          <w:sz w:val="28"/>
          <w:szCs w:val="28"/>
        </w:rPr>
        <w:sectPr>
          <w:pgSz w:w="11906" w:h="16838"/>
          <w:pgMar w:top="1440" w:right="1800" w:bottom="1440" w:left="1800" w:header="851" w:footer="992" w:gutter="0"/>
          <w:cols w:space="425" w:num="1"/>
          <w:docGrid w:type="lines" w:linePitch="312" w:charSpace="0"/>
        </w:sectPr>
      </w:pPr>
    </w:p>
    <w:p>
      <w:pPr>
        <w:rPr>
          <w:rFonts w:ascii="仿宋_GB2312" w:hAnsi="仿宋" w:eastAsia="仿宋_GB2312" w:cs="仿宋"/>
          <w:sz w:val="32"/>
          <w:szCs w:val="32"/>
        </w:rPr>
      </w:pPr>
      <w:r>
        <w:rPr>
          <w:rFonts w:hint="eastAsia" w:ascii="仿宋_GB2312" w:hAnsi="仿宋" w:eastAsia="仿宋_GB2312" w:cs="仿宋"/>
          <w:sz w:val="32"/>
          <w:szCs w:val="32"/>
        </w:rPr>
        <w:t>附件1：</w:t>
      </w:r>
    </w:p>
    <w:p>
      <w:pPr>
        <w:jc w:val="center"/>
        <w:rPr>
          <w:rFonts w:ascii="仿宋_GB2312" w:hAnsi="仿宋" w:eastAsia="仿宋_GB2312" w:cs="仿宋"/>
          <w:sz w:val="32"/>
          <w:szCs w:val="32"/>
        </w:rPr>
        <w:sectPr>
          <w:pgSz w:w="16838" w:h="11906" w:orient="landscape"/>
          <w:pgMar w:top="1797" w:right="1440" w:bottom="1797" w:left="1440" w:header="851" w:footer="992" w:gutter="0"/>
          <w:cols w:space="425" w:num="1"/>
          <w:docGrid w:type="linesAndChars" w:linePitch="312" w:charSpace="0"/>
        </w:sectPr>
      </w:pPr>
      <w:r>
        <w:drawing>
          <wp:inline distT="0" distB="0" distL="0" distR="0">
            <wp:extent cx="6994525" cy="4665345"/>
            <wp:effectExtent l="0" t="0" r="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6994800" cy="4665972"/>
                    </a:xfrm>
                    <a:prstGeom prst="rect">
                      <a:avLst/>
                    </a:prstGeom>
                    <a:noFill/>
                    <a:ln>
                      <a:noFill/>
                    </a:ln>
                  </pic:spPr>
                </pic:pic>
              </a:graphicData>
            </a:graphic>
          </wp:inline>
        </w:drawing>
      </w:r>
    </w:p>
    <w:p>
      <w:pPr>
        <w:spacing w:line="600" w:lineRule="exact"/>
        <w:rPr>
          <w:rFonts w:ascii="仿宋_GB2312" w:hAnsi="仿宋" w:eastAsia="仿宋_GB2312" w:cs="仿宋"/>
          <w:sz w:val="32"/>
          <w:szCs w:val="32"/>
        </w:rPr>
      </w:pPr>
      <w:r>
        <w:rPr>
          <w:rFonts w:hint="eastAsia" w:ascii="仿宋_GB2312" w:hAnsi="仿宋" w:eastAsia="仿宋_GB2312" w:cs="仿宋"/>
          <w:sz w:val="32"/>
          <w:szCs w:val="32"/>
        </w:rPr>
        <w:t>附件2：</w:t>
      </w:r>
    </w:p>
    <w:p>
      <w:pPr>
        <w:pStyle w:val="45"/>
        <w:spacing w:line="600" w:lineRule="exact"/>
        <w:ind w:firstLine="880"/>
        <w:jc w:val="center"/>
        <w:rPr>
          <w:rFonts w:ascii="方正小标宋_GBK" w:hAnsi="仿宋" w:eastAsia="方正小标宋_GBK" w:cs="仿宋"/>
          <w:sz w:val="44"/>
          <w:szCs w:val="44"/>
        </w:rPr>
      </w:pPr>
      <w:r>
        <w:rPr>
          <w:rFonts w:hint="eastAsia" w:ascii="方正小标宋_GBK" w:hAnsi="仿宋" w:eastAsia="方正小标宋_GBK" w:cs="仿宋"/>
          <w:sz w:val="44"/>
          <w:szCs w:val="44"/>
        </w:rPr>
        <w:t>吐鲁番市环境管控单元汇总表</w:t>
      </w:r>
    </w:p>
    <w:p>
      <w:pPr>
        <w:pStyle w:val="45"/>
        <w:spacing w:line="600" w:lineRule="exact"/>
        <w:ind w:firstLine="880"/>
        <w:jc w:val="center"/>
        <w:rPr>
          <w:rFonts w:ascii="方正小标宋_GBK" w:hAnsi="仿宋" w:eastAsia="方正小标宋_GBK" w:cs="仿宋"/>
          <w:sz w:val="44"/>
          <w:szCs w:val="44"/>
        </w:rPr>
      </w:pPr>
    </w:p>
    <w:tbl>
      <w:tblPr>
        <w:tblStyle w:val="38"/>
        <w:tblW w:w="82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1382"/>
        <w:gridCol w:w="1383"/>
        <w:gridCol w:w="1383"/>
        <w:gridCol w:w="1383"/>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2" w:type="dxa"/>
            <w:vMerge w:val="restart"/>
            <w:vAlign w:val="center"/>
          </w:tcPr>
          <w:p>
            <w:pPr>
              <w:spacing w:line="600" w:lineRule="exact"/>
              <w:jc w:val="center"/>
              <w:rPr>
                <w:rFonts w:ascii="仿宋" w:hAnsi="仿宋" w:eastAsia="仿宋"/>
                <w:sz w:val="28"/>
                <w:szCs w:val="28"/>
              </w:rPr>
            </w:pPr>
            <w:r>
              <w:rPr>
                <w:rFonts w:hint="eastAsia" w:ascii="仿宋" w:hAnsi="仿宋" w:eastAsia="仿宋"/>
                <w:sz w:val="28"/>
                <w:szCs w:val="28"/>
              </w:rPr>
              <w:t>序号</w:t>
            </w:r>
          </w:p>
        </w:tc>
        <w:tc>
          <w:tcPr>
            <w:tcW w:w="1382" w:type="dxa"/>
            <w:vMerge w:val="restart"/>
            <w:vAlign w:val="center"/>
          </w:tcPr>
          <w:p>
            <w:pPr>
              <w:spacing w:line="600" w:lineRule="exact"/>
              <w:jc w:val="center"/>
              <w:rPr>
                <w:rFonts w:ascii="仿宋" w:hAnsi="仿宋" w:eastAsia="仿宋"/>
                <w:sz w:val="28"/>
                <w:szCs w:val="28"/>
              </w:rPr>
            </w:pPr>
            <w:r>
              <w:rPr>
                <w:rFonts w:hint="eastAsia" w:ascii="仿宋" w:hAnsi="仿宋" w:eastAsia="仿宋"/>
                <w:sz w:val="28"/>
                <w:szCs w:val="28"/>
              </w:rPr>
              <w:t>区县</w:t>
            </w:r>
          </w:p>
        </w:tc>
        <w:tc>
          <w:tcPr>
            <w:tcW w:w="5532" w:type="dxa"/>
            <w:gridSpan w:val="4"/>
            <w:vAlign w:val="center"/>
          </w:tcPr>
          <w:p>
            <w:pPr>
              <w:spacing w:line="600" w:lineRule="exact"/>
              <w:jc w:val="center"/>
              <w:rPr>
                <w:rFonts w:ascii="仿宋" w:hAnsi="仿宋" w:eastAsia="仿宋"/>
                <w:sz w:val="28"/>
                <w:szCs w:val="28"/>
              </w:rPr>
            </w:pPr>
            <w:r>
              <w:rPr>
                <w:rFonts w:hint="eastAsia" w:ascii="仿宋" w:hAnsi="仿宋" w:eastAsia="仿宋"/>
                <w:sz w:val="28"/>
                <w:szCs w:val="28"/>
              </w:rPr>
              <w:t>单元数量（个）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2" w:type="dxa"/>
            <w:vMerge w:val="continue"/>
            <w:vAlign w:val="center"/>
          </w:tcPr>
          <w:p>
            <w:pPr>
              <w:spacing w:line="600" w:lineRule="exact"/>
              <w:jc w:val="center"/>
              <w:rPr>
                <w:rFonts w:ascii="仿宋" w:hAnsi="仿宋" w:eastAsia="仿宋"/>
                <w:sz w:val="28"/>
                <w:szCs w:val="28"/>
              </w:rPr>
            </w:pPr>
          </w:p>
        </w:tc>
        <w:tc>
          <w:tcPr>
            <w:tcW w:w="1382" w:type="dxa"/>
            <w:vMerge w:val="continue"/>
            <w:vAlign w:val="center"/>
          </w:tcPr>
          <w:p>
            <w:pPr>
              <w:spacing w:line="600" w:lineRule="exact"/>
              <w:jc w:val="center"/>
              <w:rPr>
                <w:rFonts w:ascii="仿宋" w:hAnsi="仿宋" w:eastAsia="仿宋"/>
                <w:sz w:val="28"/>
                <w:szCs w:val="28"/>
              </w:rPr>
            </w:pP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管控单元总数</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优先保护单元</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重点管控单元</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一般管控单元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2"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1</w:t>
            </w:r>
          </w:p>
        </w:tc>
        <w:tc>
          <w:tcPr>
            <w:tcW w:w="1382"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高昌区</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8</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6</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8</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2"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2</w:t>
            </w:r>
          </w:p>
        </w:tc>
        <w:tc>
          <w:tcPr>
            <w:tcW w:w="1382"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鄯善县</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9</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5</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10</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2"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3</w:t>
            </w:r>
          </w:p>
        </w:tc>
        <w:tc>
          <w:tcPr>
            <w:tcW w:w="1382"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托克逊县</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27</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6</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18</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764" w:type="dxa"/>
            <w:gridSpan w:val="2"/>
            <w:vAlign w:val="center"/>
          </w:tcPr>
          <w:p>
            <w:pPr>
              <w:spacing w:line="600" w:lineRule="exact"/>
              <w:jc w:val="center"/>
              <w:rPr>
                <w:rFonts w:ascii="仿宋" w:hAnsi="仿宋" w:eastAsia="仿宋"/>
                <w:sz w:val="28"/>
                <w:szCs w:val="28"/>
              </w:rPr>
            </w:pPr>
            <w:r>
              <w:rPr>
                <w:rFonts w:hint="eastAsia" w:ascii="仿宋" w:hAnsi="仿宋" w:eastAsia="仿宋"/>
                <w:sz w:val="28"/>
                <w:szCs w:val="28"/>
              </w:rPr>
              <w:t>合计</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64</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17</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6</w:t>
            </w:r>
          </w:p>
        </w:tc>
        <w:tc>
          <w:tcPr>
            <w:tcW w:w="1383" w:type="dxa"/>
            <w:vAlign w:val="center"/>
          </w:tcPr>
          <w:p>
            <w:pPr>
              <w:spacing w:line="600" w:lineRule="exact"/>
              <w:jc w:val="center"/>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1</w:t>
            </w:r>
          </w:p>
        </w:tc>
      </w:tr>
    </w:tbl>
    <w:p>
      <w:pPr>
        <w:spacing w:line="600" w:lineRule="exact"/>
        <w:rPr>
          <w:sz w:val="24"/>
          <w:szCs w:val="24"/>
        </w:rPr>
      </w:pPr>
    </w:p>
    <w:p>
      <w:pPr>
        <w:spacing w:line="600" w:lineRule="exact"/>
        <w:rPr>
          <w:sz w:val="24"/>
          <w:szCs w:val="24"/>
        </w:rPr>
      </w:pPr>
    </w:p>
    <w:p>
      <w:pPr>
        <w:spacing w:line="600" w:lineRule="exact"/>
        <w:rPr>
          <w:sz w:val="24"/>
          <w:szCs w:val="24"/>
        </w:rPr>
        <w:sectPr>
          <w:pgSz w:w="11906" w:h="16838"/>
          <w:pgMar w:top="1440" w:right="1797" w:bottom="1440" w:left="1797" w:header="851" w:footer="992" w:gutter="0"/>
          <w:cols w:space="425" w:num="1"/>
          <w:docGrid w:type="lines" w:linePitch="312" w:charSpace="0"/>
        </w:sectPr>
      </w:pPr>
    </w:p>
    <w:p>
      <w:pPr>
        <w:spacing w:line="600" w:lineRule="exact"/>
        <w:rPr>
          <w:rFonts w:ascii="仿宋_GB2312" w:hAnsi="仿宋" w:eastAsia="仿宋_GB2312" w:cs="仿宋"/>
          <w:sz w:val="32"/>
          <w:szCs w:val="32"/>
        </w:rPr>
      </w:pPr>
      <w:bookmarkStart w:id="0" w:name="_Hlk75174156"/>
      <w:r>
        <w:rPr>
          <w:rFonts w:hint="eastAsia" w:ascii="仿宋_GB2312" w:hAnsi="仿宋" w:eastAsia="仿宋_GB2312" w:cs="仿宋"/>
          <w:sz w:val="32"/>
          <w:szCs w:val="32"/>
        </w:rPr>
        <w:t>附件3：</w:t>
      </w:r>
    </w:p>
    <w:p>
      <w:pPr>
        <w:jc w:val="center"/>
        <w:rPr>
          <w:rFonts w:ascii="仿宋_GB2312" w:hAnsi="Times New Roman" w:eastAsia="仿宋_GB2312" w:cs="Times New Roman"/>
          <w:b/>
          <w:sz w:val="48"/>
          <w:szCs w:val="48"/>
        </w:rPr>
      </w:pPr>
    </w:p>
    <w:p>
      <w:pPr>
        <w:snapToGrid w:val="0"/>
        <w:jc w:val="center"/>
        <w:rPr>
          <w:rFonts w:ascii="仿宋_GB2312" w:hAnsi="Times New Roman" w:eastAsia="仿宋_GB2312" w:cs="Times New Roman"/>
          <w:sz w:val="72"/>
          <w:szCs w:val="72"/>
        </w:rPr>
      </w:pPr>
      <w:r>
        <w:rPr>
          <w:rFonts w:hint="eastAsia" w:ascii="仿宋_GB2312" w:eastAsia="仿宋_GB2312"/>
          <w:sz w:val="72"/>
          <w:szCs w:val="72"/>
        </w:rPr>
        <w:t>吐鲁番市生态环境准入清单</w:t>
      </w:r>
    </w:p>
    <w:p>
      <w:pPr>
        <w:jc w:val="center"/>
        <w:rPr>
          <w:rFonts w:ascii="仿宋_GB2312" w:hAnsi="Times New Roman" w:eastAsia="仿宋_GB2312" w:cs="Times New Roman"/>
          <w:b/>
          <w:sz w:val="48"/>
          <w:szCs w:val="48"/>
        </w:rPr>
      </w:pPr>
    </w:p>
    <w:p>
      <w:pPr>
        <w:jc w:val="center"/>
        <w:rPr>
          <w:rFonts w:ascii="仿宋_GB2312" w:hAnsi="Times New Roman" w:eastAsia="仿宋_GB2312" w:cs="Times New Roman"/>
          <w:b/>
          <w:sz w:val="48"/>
          <w:szCs w:val="48"/>
        </w:rPr>
      </w:pPr>
    </w:p>
    <w:p>
      <w:pPr>
        <w:jc w:val="center"/>
        <w:rPr>
          <w:rFonts w:ascii="仿宋_GB2312" w:hAnsi="Times New Roman" w:eastAsia="仿宋_GB2312" w:cs="Times New Roman"/>
          <w:b/>
          <w:sz w:val="48"/>
          <w:szCs w:val="48"/>
        </w:rPr>
      </w:pPr>
    </w:p>
    <w:p>
      <w:pPr>
        <w:jc w:val="center"/>
        <w:rPr>
          <w:rFonts w:ascii="仿宋_GB2312" w:hAnsi="Times New Roman" w:eastAsia="仿宋_GB2312" w:cs="Times New Roman"/>
          <w:b/>
          <w:sz w:val="48"/>
          <w:szCs w:val="48"/>
        </w:rPr>
      </w:pPr>
    </w:p>
    <w:p>
      <w:pPr>
        <w:jc w:val="center"/>
        <w:rPr>
          <w:rFonts w:ascii="仿宋_GB2312" w:hAnsi="Times New Roman" w:eastAsia="仿宋_GB2312" w:cs="Times New Roman"/>
          <w:b/>
          <w:sz w:val="48"/>
          <w:szCs w:val="48"/>
        </w:rPr>
      </w:pPr>
    </w:p>
    <w:p>
      <w:pPr>
        <w:jc w:val="center"/>
        <w:rPr>
          <w:rFonts w:ascii="仿宋_GB2312" w:hAnsi="Times New Roman" w:eastAsia="仿宋_GB2312" w:cs="Times New Roman"/>
          <w:b/>
          <w:sz w:val="48"/>
          <w:szCs w:val="48"/>
        </w:rPr>
      </w:pPr>
    </w:p>
    <w:p>
      <w:pPr>
        <w:jc w:val="center"/>
        <w:rPr>
          <w:rFonts w:ascii="仿宋_GB2312" w:hAnsi="Times New Roman" w:eastAsia="仿宋_GB2312" w:cs="Times New Roman"/>
          <w:b/>
          <w:sz w:val="48"/>
          <w:szCs w:val="48"/>
        </w:rPr>
      </w:pPr>
    </w:p>
    <w:p>
      <w:pPr>
        <w:jc w:val="center"/>
        <w:rPr>
          <w:rFonts w:eastAsia="仿宋_GB2312" w:cs="Times New Roman"/>
          <w:b/>
          <w:sz w:val="48"/>
          <w:szCs w:val="48"/>
        </w:rPr>
      </w:pPr>
    </w:p>
    <w:p>
      <w:pPr>
        <w:jc w:val="center"/>
        <w:rPr>
          <w:rFonts w:eastAsia="仿宋_GB2312" w:cs="Times New Roman"/>
          <w:b/>
          <w:sz w:val="48"/>
          <w:szCs w:val="48"/>
        </w:rPr>
      </w:pPr>
    </w:p>
    <w:p>
      <w:pPr>
        <w:jc w:val="center"/>
        <w:rPr>
          <w:rFonts w:eastAsia="仿宋_GB2312" w:cs="Times New Roman"/>
          <w:b/>
          <w:sz w:val="48"/>
          <w:szCs w:val="48"/>
        </w:rPr>
      </w:pPr>
    </w:p>
    <w:p>
      <w:pPr>
        <w:jc w:val="center"/>
        <w:rPr>
          <w:rFonts w:eastAsia="仿宋_GB2312" w:cs="Times New Roman"/>
          <w:b/>
          <w:sz w:val="48"/>
          <w:szCs w:val="48"/>
        </w:rPr>
      </w:pPr>
    </w:p>
    <w:p>
      <w:pPr>
        <w:jc w:val="center"/>
        <w:rPr>
          <w:rFonts w:ascii="仿宋_GB2312" w:hAnsi="Times New Roman" w:eastAsia="仿宋_GB2312" w:cs="Times New Roman"/>
          <w:b/>
          <w:sz w:val="48"/>
          <w:szCs w:val="48"/>
        </w:rPr>
      </w:pPr>
    </w:p>
    <w:p>
      <w:pPr>
        <w:overflowPunct w:val="0"/>
        <w:topLinePunct/>
        <w:adjustRightInd w:val="0"/>
        <w:spacing w:line="360" w:lineRule="auto"/>
        <w:jc w:val="center"/>
        <w:rPr>
          <w:rFonts w:ascii="仿宋_GB2312" w:hAnsi="Times New Roman" w:eastAsia="仿宋_GB2312" w:cs="Times New Roman"/>
          <w:sz w:val="44"/>
          <w:szCs w:val="44"/>
        </w:rPr>
      </w:pPr>
      <w:r>
        <w:rPr>
          <w:rFonts w:hint="eastAsia" w:ascii="仿宋_GB2312" w:hAnsi="Times New Roman" w:eastAsia="仿宋_GB2312" w:cs="Times New Roman"/>
          <w:sz w:val="44"/>
          <w:szCs w:val="44"/>
        </w:rPr>
        <w:t>吐鲁番市“三线一单”编制组</w:t>
      </w:r>
    </w:p>
    <w:p>
      <w:pPr>
        <w:overflowPunct w:val="0"/>
        <w:topLinePunct/>
        <w:adjustRightInd w:val="0"/>
        <w:spacing w:line="360" w:lineRule="auto"/>
        <w:jc w:val="center"/>
        <w:rPr>
          <w:rFonts w:ascii="仿宋_GB2312" w:hAnsi="Times New Roman" w:eastAsia="仿宋_GB2312" w:cs="Times New Roman"/>
          <w:sz w:val="44"/>
          <w:szCs w:val="44"/>
        </w:rPr>
      </w:pPr>
      <w:r>
        <w:rPr>
          <w:rFonts w:hint="eastAsia" w:ascii="仿宋_GB2312" w:hAnsi="仿宋_GB2312" w:eastAsia="仿宋_GB2312" w:cs="仿宋_GB2312"/>
          <w:sz w:val="44"/>
          <w:szCs w:val="44"/>
        </w:rPr>
        <w:t>二〇二一年六月</w:t>
      </w:r>
    </w:p>
    <w:p>
      <w:pPr>
        <w:rPr>
          <w:rFonts w:ascii="仿宋_GB2312" w:hAnsi="Times New Roman" w:eastAsia="仿宋_GB2312" w:cs="Times New Roman"/>
          <w:b/>
          <w:bCs/>
          <w:sz w:val="32"/>
          <w:szCs w:val="32"/>
        </w:rPr>
        <w:sectPr>
          <w:footerReference r:id="rId3" w:type="default"/>
          <w:pgSz w:w="11906" w:h="16838"/>
          <w:pgMar w:top="1440" w:right="1800" w:bottom="1440" w:left="1800" w:header="851" w:footer="992" w:gutter="0"/>
          <w:cols w:space="0" w:num="1"/>
          <w:docGrid w:linePitch="326" w:charSpace="0"/>
        </w:sectPr>
      </w:pPr>
    </w:p>
    <w:p>
      <w:pPr>
        <w:outlineLvl w:val="0"/>
        <w:rPr>
          <w:rFonts w:ascii="仿宋_GB2312" w:hAnsi="Times New Roman" w:eastAsia="仿宋_GB2312" w:cs="Times New Roman"/>
          <w:b/>
          <w:bCs/>
          <w:sz w:val="32"/>
          <w:szCs w:val="32"/>
        </w:rPr>
      </w:pPr>
      <w:bookmarkStart w:id="1" w:name="_Toc73999318"/>
      <w:r>
        <w:rPr>
          <w:rFonts w:ascii="仿宋_GB2312" w:hAnsi="Times New Roman" w:eastAsia="仿宋_GB2312" w:cs="Times New Roman"/>
          <w:b/>
          <w:bCs/>
          <w:sz w:val="32"/>
          <w:szCs w:val="32"/>
        </w:rPr>
        <w:t>1</w:t>
      </w:r>
      <w:r>
        <w:rPr>
          <w:rFonts w:hint="eastAsia" w:ascii="仿宋_GB2312" w:hAnsi="Times New Roman" w:eastAsia="仿宋_GB2312" w:cs="Times New Roman"/>
          <w:b/>
          <w:bCs/>
          <w:sz w:val="32"/>
          <w:szCs w:val="32"/>
        </w:rPr>
        <w:t>吐鲁番市总体准入要求</w:t>
      </w:r>
      <w:bookmarkEnd w:id="1"/>
    </w:p>
    <w:p>
      <w:pPr>
        <w:adjustRightInd w:val="0"/>
        <w:snapToGrid w:val="0"/>
        <w:spacing w:line="240" w:lineRule="atLeast"/>
        <w:ind w:firstLine="562" w:firstLineChars="200"/>
        <w:jc w:val="center"/>
        <w:rPr>
          <w:rFonts w:ascii="仿宋_GB2312" w:hAnsi="仿宋" w:eastAsia="仿宋_GB2312" w:cs="Times New Roman"/>
          <w:b/>
          <w:iCs/>
          <w:sz w:val="28"/>
          <w:szCs w:val="28"/>
          <w:lang w:bidi="en-US"/>
        </w:rPr>
      </w:pPr>
      <w:bookmarkStart w:id="2" w:name="_Toc44161934"/>
      <w:r>
        <w:rPr>
          <w:rFonts w:hint="eastAsia" w:ascii="仿宋_GB2312" w:hAnsi="仿宋" w:eastAsia="仿宋_GB2312" w:cs="Times New Roman"/>
          <w:b/>
          <w:iCs/>
          <w:sz w:val="28"/>
          <w:szCs w:val="28"/>
          <w:lang w:bidi="en-US"/>
        </w:rPr>
        <w:t>表</w:t>
      </w:r>
      <w:r>
        <w:rPr>
          <w:rFonts w:ascii="仿宋_GB2312" w:hAnsi="仿宋" w:eastAsia="仿宋_GB2312" w:cs="Times New Roman"/>
          <w:b/>
          <w:iCs/>
          <w:sz w:val="28"/>
          <w:szCs w:val="28"/>
          <w:lang w:bidi="en-US"/>
        </w:rPr>
        <w:t>1</w:t>
      </w:r>
      <w:r>
        <w:rPr>
          <w:rFonts w:hint="eastAsia" w:ascii="仿宋_GB2312" w:hAnsi="仿宋" w:eastAsia="仿宋_GB2312" w:cs="Times New Roman"/>
          <w:b/>
          <w:iCs/>
          <w:sz w:val="28"/>
          <w:szCs w:val="28"/>
          <w:lang w:bidi="en-US"/>
        </w:rPr>
        <w:t>-1  吐鲁番市区域特征研判表</w:t>
      </w:r>
    </w:p>
    <w:tbl>
      <w:tblPr>
        <w:tblStyle w:val="37"/>
        <w:tblW w:w="21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3"/>
        <w:gridCol w:w="3260"/>
        <w:gridCol w:w="5528"/>
        <w:gridCol w:w="5700"/>
        <w:gridCol w:w="3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trPr>
        <w:tc>
          <w:tcPr>
            <w:tcW w:w="3823" w:type="dxa"/>
            <w:vAlign w:val="center"/>
          </w:tcPr>
          <w:p>
            <w:pPr>
              <w:adjustRightInd w:val="0"/>
              <w:snapToGrid w:val="0"/>
              <w:spacing w:line="260" w:lineRule="exact"/>
              <w:jc w:val="center"/>
              <w:rPr>
                <w:rFonts w:ascii="仿宋_GB2312" w:hAnsi="Times New Roman" w:eastAsia="仿宋_GB2312" w:cs="Times New Roman"/>
                <w:b/>
                <w:lang w:bidi="en-US"/>
              </w:rPr>
            </w:pPr>
            <w:r>
              <w:rPr>
                <w:rFonts w:hint="eastAsia" w:ascii="仿宋_GB2312" w:hAnsi="Times New Roman" w:eastAsia="仿宋_GB2312" w:cs="Times New Roman"/>
                <w:b/>
                <w:lang w:bidi="en-US"/>
              </w:rPr>
              <w:t>区位特点</w:t>
            </w:r>
          </w:p>
        </w:tc>
        <w:tc>
          <w:tcPr>
            <w:tcW w:w="3260" w:type="dxa"/>
            <w:vAlign w:val="center"/>
          </w:tcPr>
          <w:p>
            <w:pPr>
              <w:adjustRightInd w:val="0"/>
              <w:snapToGrid w:val="0"/>
              <w:spacing w:line="260" w:lineRule="exact"/>
              <w:jc w:val="center"/>
              <w:rPr>
                <w:rFonts w:ascii="仿宋_GB2312" w:hAnsi="Times New Roman" w:eastAsia="仿宋_GB2312" w:cs="Times New Roman"/>
                <w:b/>
                <w:lang w:bidi="en-US"/>
              </w:rPr>
            </w:pPr>
            <w:r>
              <w:rPr>
                <w:rFonts w:hint="eastAsia" w:ascii="仿宋_GB2312" w:hAnsi="Times New Roman" w:eastAsia="仿宋_GB2312" w:cs="Times New Roman"/>
                <w:b/>
                <w:lang w:bidi="en-US"/>
              </w:rPr>
              <w:t>发展定位</w:t>
            </w:r>
          </w:p>
        </w:tc>
        <w:tc>
          <w:tcPr>
            <w:tcW w:w="5528" w:type="dxa"/>
            <w:vAlign w:val="center"/>
          </w:tcPr>
          <w:p>
            <w:pPr>
              <w:adjustRightInd w:val="0"/>
              <w:snapToGrid w:val="0"/>
              <w:spacing w:line="260" w:lineRule="exact"/>
              <w:jc w:val="center"/>
              <w:rPr>
                <w:rFonts w:ascii="仿宋_GB2312" w:hAnsi="Times New Roman" w:eastAsia="仿宋_GB2312" w:cs="Times New Roman"/>
                <w:b/>
                <w:lang w:bidi="en-US"/>
              </w:rPr>
            </w:pPr>
            <w:r>
              <w:rPr>
                <w:rFonts w:hint="eastAsia" w:ascii="仿宋_GB2312" w:hAnsi="Times New Roman" w:eastAsia="仿宋_GB2312" w:cs="Times New Roman"/>
                <w:b/>
                <w:lang w:bidi="en-US"/>
              </w:rPr>
              <w:t>发展规划、现状、问题</w:t>
            </w:r>
          </w:p>
        </w:tc>
        <w:tc>
          <w:tcPr>
            <w:tcW w:w="5700" w:type="dxa"/>
            <w:vAlign w:val="center"/>
          </w:tcPr>
          <w:p>
            <w:pPr>
              <w:adjustRightInd w:val="0"/>
              <w:snapToGrid w:val="0"/>
              <w:spacing w:line="260" w:lineRule="exact"/>
              <w:jc w:val="center"/>
              <w:rPr>
                <w:rFonts w:ascii="仿宋_GB2312" w:hAnsi="Times New Roman" w:eastAsia="仿宋_GB2312" w:cs="Times New Roman"/>
                <w:b/>
                <w:lang w:bidi="en-US"/>
              </w:rPr>
            </w:pPr>
            <w:r>
              <w:rPr>
                <w:rFonts w:hint="eastAsia" w:ascii="仿宋_GB2312" w:hAnsi="Times New Roman" w:eastAsia="仿宋_GB2312" w:cs="Times New Roman"/>
                <w:b/>
                <w:lang w:bidi="en-US"/>
              </w:rPr>
              <w:t>区域环境目标、现状、问题</w:t>
            </w:r>
          </w:p>
        </w:tc>
        <w:tc>
          <w:tcPr>
            <w:tcW w:w="3529" w:type="dxa"/>
            <w:vAlign w:val="center"/>
          </w:tcPr>
          <w:p>
            <w:pPr>
              <w:adjustRightInd w:val="0"/>
              <w:snapToGrid w:val="0"/>
              <w:spacing w:line="260" w:lineRule="exact"/>
              <w:jc w:val="center"/>
              <w:rPr>
                <w:rFonts w:ascii="仿宋_GB2312" w:hAnsi="Times New Roman" w:eastAsia="仿宋_GB2312" w:cs="Times New Roman"/>
                <w:b/>
                <w:lang w:bidi="en-US"/>
              </w:rPr>
            </w:pPr>
            <w:r>
              <w:rPr>
                <w:rFonts w:hint="eastAsia" w:ascii="仿宋_GB2312" w:hAnsi="Times New Roman" w:eastAsia="仿宋_GB2312" w:cs="Times New Roman"/>
                <w:b/>
                <w:lang w:bidi="en-US"/>
              </w:rPr>
              <w:t>管控目标（重点解决问题）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 w:hRule="atLeast"/>
        </w:trPr>
        <w:tc>
          <w:tcPr>
            <w:tcW w:w="3823" w:type="dxa"/>
          </w:tcPr>
          <w:p>
            <w:pPr>
              <w:widowControl/>
              <w:numPr>
                <w:ilvl w:val="0"/>
                <w:numId w:val="4"/>
              </w:numPr>
              <w:adjustRightInd w:val="0"/>
              <w:snapToGrid w:val="0"/>
              <w:spacing w:line="260" w:lineRule="exact"/>
              <w:rPr>
                <w:rFonts w:ascii="仿宋_GB2312" w:hAnsi="Times New Roman" w:eastAsia="仿宋_GB2312" w:cs="Times New Roman"/>
                <w:b/>
                <w:bCs/>
                <w:lang w:bidi="en-US"/>
              </w:rPr>
            </w:pPr>
            <w:r>
              <w:rPr>
                <w:rFonts w:hint="eastAsia" w:ascii="仿宋_GB2312" w:hAnsi="Times New Roman" w:eastAsia="仿宋_GB2312" w:cs="Times New Roman"/>
                <w:b/>
                <w:bCs/>
                <w:lang w:bidi="en-US"/>
              </w:rPr>
              <w:t>位于新疆吐哈片区（七大片区）。</w:t>
            </w:r>
          </w:p>
          <w:p>
            <w:pPr>
              <w:widowControl/>
              <w:numPr>
                <w:ilvl w:val="0"/>
                <w:numId w:val="4"/>
              </w:num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b/>
                <w:bCs/>
                <w:lang w:bidi="en-US"/>
              </w:rPr>
              <w:t>生态功能区划和全国主体功能区划中的特点：</w:t>
            </w:r>
            <w:r>
              <w:rPr>
                <w:rFonts w:hint="eastAsia" w:ascii="仿宋_GB2312" w:hAnsi="Times New Roman" w:eastAsia="仿宋_GB2312" w:cs="Times New Roman"/>
                <w:bCs/>
                <w:lang w:bidi="en-US"/>
              </w:rPr>
              <w:t>根据《全国生态功能区划》，吐鲁番市涉及天山水源涵养与生物多样性保护重要区：该地区是平原绿洲的生命线，对维系天山两侧绿洲农业和城镇发展具有极其重要的作用。该区水土流失和沙漠化敏感性较高。</w:t>
            </w:r>
          </w:p>
          <w:p>
            <w:pPr>
              <w:adjustRightInd w:val="0"/>
              <w:snapToGrid w:val="0"/>
              <w:spacing w:line="260" w:lineRule="exact"/>
              <w:ind w:firstLine="420" w:firstLineChars="200"/>
              <w:rPr>
                <w:rFonts w:ascii="仿宋_GB2312" w:hAnsi="Times New Roman" w:eastAsia="仿宋_GB2312" w:cs="Times New Roman"/>
                <w:lang w:bidi="en-US"/>
              </w:rPr>
            </w:pPr>
            <w:r>
              <w:rPr>
                <w:rFonts w:hint="eastAsia" w:ascii="仿宋_GB2312" w:hAnsi="Times New Roman" w:eastAsia="仿宋_GB2312" w:cs="Times New Roman"/>
                <w:bCs/>
                <w:lang w:bidi="en-US"/>
              </w:rPr>
              <w:t>根据《全国主体功能区规划》，吐鲁番市主要位于天山北坡经济带，是面向中亚、西亚地区对外开放的陆路交通枢纽和重要门户，全国重要的能源基地，我国进口资源的国际大通道，西北地区重要的国际商贸中心、物流中心和对外合作加工基地，石油天然气化工、煤电煤化工、机电工业及纺织工业基地。吐鲁番市属于国家禁止开发的区域有</w:t>
            </w:r>
            <w:r>
              <w:rPr>
                <w:rFonts w:ascii="仿宋_GB2312" w:hAnsi="Times New Roman" w:eastAsia="仿宋_GB2312" w:cs="Times New Roman"/>
                <w:bCs/>
                <w:lang w:bidi="en-US"/>
              </w:rPr>
              <w:t>3处，其中罗布泊野骆驼国家级自然保护区部分区域位于吐鲁番市境内，库木塔格沙漠风景名胜区位于鄯善县，吐鲁番火焰山国家地质公园位于高昌区，应</w:t>
            </w:r>
            <w:r>
              <w:rPr>
                <w:rFonts w:hint="eastAsia" w:ascii="仿宋_GB2312" w:hAnsi="Times New Roman" w:eastAsia="仿宋_GB2312" w:cs="Times New Roman"/>
                <w:bCs/>
                <w:lang w:bidi="en-US"/>
              </w:rPr>
              <w:t>禁止</w:t>
            </w:r>
            <w:r>
              <w:rPr>
                <w:rFonts w:ascii="仿宋_GB2312" w:hAnsi="Times New Roman" w:eastAsia="仿宋_GB2312" w:cs="Times New Roman"/>
                <w:bCs/>
                <w:lang w:bidi="en-US"/>
              </w:rPr>
              <w:t>在国家禁止开发区内实施区域开发。</w:t>
            </w:r>
          </w:p>
          <w:p>
            <w:pPr>
              <w:widowControl/>
              <w:numPr>
                <w:ilvl w:val="0"/>
                <w:numId w:val="4"/>
              </w:num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b/>
                <w:bCs/>
                <w:lang w:bidi="en-US"/>
              </w:rPr>
              <w:t>地理、经济、流域等特殊的区位特点：</w:t>
            </w:r>
            <w:r>
              <w:rPr>
                <w:rFonts w:hint="eastAsia" w:ascii="仿宋_GB2312" w:hAnsi="Times New Roman" w:eastAsia="仿宋_GB2312" w:cs="Times New Roman"/>
                <w:lang w:bidi="en-US"/>
              </w:rPr>
              <w:t>处于新疆</w:t>
            </w:r>
            <w:r>
              <w:rPr>
                <w:rFonts w:hint="eastAsia" w:ascii="仿宋_GB2312" w:hAnsi="Times New Roman" w:eastAsia="仿宋_GB2312" w:cs="Times New Roman"/>
                <w:lang w:eastAsia="zh-CN" w:bidi="en-US"/>
              </w:rPr>
              <w:t>维吾尔</w:t>
            </w:r>
            <w:bookmarkStart w:id="33" w:name="_GoBack"/>
            <w:bookmarkEnd w:id="33"/>
            <w:r>
              <w:rPr>
                <w:rFonts w:hint="eastAsia" w:ascii="仿宋_GB2312" w:hAnsi="Times New Roman" w:eastAsia="仿宋_GB2312" w:cs="Times New Roman"/>
                <w:lang w:bidi="en-US"/>
              </w:rPr>
              <w:t>自治区的中东部，东临哈密，西、南与巴音郭楞蒙古自治州毗连，北隔天山与乌鲁木齐市及昌吉回族自治州相接。位居丝绸之路要冲，是名闻遐迩的历史重镇，是国家“一带一路”</w:t>
            </w:r>
            <w:r>
              <w:rPr>
                <w:rFonts w:hint="eastAsia" w:ascii="仿宋_GB2312" w:hAnsi="Times New Roman" w:eastAsia="仿宋_GB2312" w:cs="Times New Roman"/>
                <w:lang w:eastAsia="zh-CN" w:bidi="en-US"/>
              </w:rPr>
              <w:t>倡议</w:t>
            </w:r>
            <w:r>
              <w:rPr>
                <w:rFonts w:hint="eastAsia" w:ascii="仿宋_GB2312" w:hAnsi="Times New Roman" w:eastAsia="仿宋_GB2312" w:cs="Times New Roman"/>
                <w:lang w:bidi="en-US"/>
              </w:rPr>
              <w:t>重要节点。吐鲁番盆地河流发源于北部的博格达山地和西部的喀拉乌成山，补给源为冰雪融水和山区降水。</w:t>
            </w:r>
          </w:p>
          <w:p>
            <w:pPr>
              <w:widowControl/>
              <w:numPr>
                <w:ilvl w:val="0"/>
                <w:numId w:val="4"/>
              </w:num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b/>
                <w:bCs/>
                <w:lang w:bidi="en-US"/>
              </w:rPr>
              <w:t>资源禀赋：</w:t>
            </w:r>
            <w:r>
              <w:rPr>
                <w:rFonts w:ascii="Times New Roman" w:hAnsi="Times New Roman" w:eastAsia="仿宋_GB2312" w:cs="Times New Roman"/>
                <w:lang w:bidi="en-US"/>
              </w:rPr>
              <w:t>矿产资源丰富，种类齐全，资源禀赋居全自治区前列。水资源极度匮乏，季节性缺水严重。土地资源总量大，但大部分为戈壁、荒漠，土地利用率低。</w:t>
            </w:r>
          </w:p>
        </w:tc>
        <w:tc>
          <w:tcPr>
            <w:tcW w:w="3260" w:type="dxa"/>
          </w:tcPr>
          <w:p>
            <w:pPr>
              <w:widowControl/>
              <w:numPr>
                <w:ilvl w:val="0"/>
                <w:numId w:val="5"/>
              </w:numPr>
              <w:adjustRightInd w:val="0"/>
              <w:snapToGrid w:val="0"/>
              <w:spacing w:line="260" w:lineRule="exact"/>
              <w:rPr>
                <w:rFonts w:ascii="仿宋_GB2312" w:hAnsi="Times New Roman" w:eastAsia="仿宋_GB2312" w:cs="Times New Roman"/>
                <w:b/>
                <w:bCs/>
                <w:lang w:bidi="en-US"/>
              </w:rPr>
            </w:pPr>
            <w:r>
              <w:rPr>
                <w:rFonts w:hint="eastAsia" w:ascii="仿宋_GB2312" w:hAnsi="Times New Roman" w:eastAsia="仿宋_GB2312" w:cs="Times New Roman"/>
                <w:b/>
                <w:bCs/>
                <w:lang w:bidi="en-US"/>
              </w:rPr>
              <w:t>功能定位</w:t>
            </w:r>
          </w:p>
          <w:p>
            <w:pPr>
              <w:pStyle w:val="45"/>
              <w:widowControl/>
              <w:numPr>
                <w:ilvl w:val="0"/>
                <w:numId w:val="6"/>
              </w:numPr>
              <w:adjustRightInd w:val="0"/>
              <w:snapToGrid w:val="0"/>
              <w:spacing w:line="260" w:lineRule="exact"/>
              <w:ind w:firstLineChars="0"/>
              <w:jc w:val="left"/>
              <w:rPr>
                <w:rFonts w:ascii="仿宋_GB2312" w:hAnsi="Times New Roman" w:eastAsia="仿宋_GB2312" w:cs="Times New Roman"/>
                <w:lang w:bidi="en-US"/>
              </w:rPr>
            </w:pPr>
            <w:r>
              <w:rPr>
                <w:rFonts w:hint="eastAsia" w:ascii="仿宋_GB2312" w:hAnsi="Times New Roman" w:eastAsia="仿宋_GB2312" w:cs="Times New Roman"/>
                <w:lang w:bidi="en-US"/>
              </w:rPr>
              <w:t>丝绸之路经济带核心区先行区和重要增长极。</w:t>
            </w:r>
          </w:p>
          <w:p>
            <w:pPr>
              <w:widowControl/>
              <w:numPr>
                <w:ilvl w:val="0"/>
                <w:numId w:val="6"/>
              </w:numPr>
              <w:adjustRightInd w:val="0"/>
              <w:snapToGrid w:val="0"/>
              <w:spacing w:line="260" w:lineRule="exact"/>
              <w:rPr>
                <w:rFonts w:ascii="仿宋_GB2312" w:hAnsi="Times New Roman" w:eastAsia="仿宋_GB2312" w:cs="Times New Roman"/>
                <w:lang w:bidi="en-US"/>
              </w:rPr>
            </w:pPr>
            <w:r>
              <w:rPr>
                <w:rFonts w:ascii="Times New Roman" w:hAnsi="Times New Roman" w:eastAsia="仿宋_GB2312" w:cs="Times New Roman"/>
                <w:lang w:bidi="en-US"/>
              </w:rPr>
              <w:t>衔接“五中心三基地一通道”，积极推进经济建设。依托现有产业和资源，打造煤炭煤电煤化工基地、油气储备基地；加快建设交通次枢纽，商贸物流核心圈、区域文化旅游中心、重要金融支点</w:t>
            </w:r>
            <w:r>
              <w:rPr>
                <w:rFonts w:hint="eastAsia" w:ascii="仿宋_GB2312" w:hAnsi="Times New Roman" w:eastAsia="仿宋_GB2312" w:cs="Times New Roman"/>
                <w:lang w:bidi="en-US"/>
              </w:rPr>
              <w:t>。</w:t>
            </w:r>
          </w:p>
          <w:p>
            <w:pPr>
              <w:widowControl/>
              <w:numPr>
                <w:ilvl w:val="0"/>
                <w:numId w:val="6"/>
              </w:numPr>
              <w:adjustRightInd w:val="0"/>
              <w:snapToGrid w:val="0"/>
              <w:spacing w:line="260" w:lineRule="exact"/>
              <w:rPr>
                <w:rFonts w:ascii="仿宋_GB2312" w:hAnsi="Times New Roman" w:eastAsia="仿宋_GB2312" w:cs="Times New Roman"/>
                <w:lang w:bidi="en-US"/>
              </w:rPr>
            </w:pPr>
            <w:r>
              <w:rPr>
                <w:rFonts w:ascii="Times New Roman" w:hAnsi="Times New Roman" w:eastAsia="仿宋_GB2312" w:cs="Times New Roman"/>
                <w:lang w:bidi="en-US"/>
              </w:rPr>
              <w:t>乌吐经济一体化融合发展，成为乌鲁木齐城市群中的重要一极。形成以物流、商贸、旅游集散主要功能，能源化工、装备制造、新材料为支撑的现代化国际商贸物流旅游城市和自治区重要的能源重化工、装备制造业基地</w:t>
            </w:r>
            <w:r>
              <w:rPr>
                <w:rFonts w:hint="eastAsia" w:ascii="Times New Roman" w:hAnsi="Times New Roman" w:eastAsia="仿宋_GB2312" w:cs="Times New Roman"/>
                <w:lang w:bidi="en-US"/>
              </w:rPr>
              <w:t>。</w:t>
            </w:r>
          </w:p>
          <w:p>
            <w:pPr>
              <w:widowControl/>
              <w:numPr>
                <w:ilvl w:val="0"/>
                <w:numId w:val="6"/>
              </w:numPr>
              <w:adjustRightInd w:val="0"/>
              <w:snapToGrid w:val="0"/>
              <w:spacing w:line="260" w:lineRule="exact"/>
              <w:rPr>
                <w:rFonts w:ascii="仿宋_GB2312" w:hAnsi="Times New Roman" w:eastAsia="仿宋_GB2312" w:cs="Times New Roman"/>
                <w:lang w:bidi="en-US"/>
              </w:rPr>
            </w:pPr>
            <w:r>
              <w:rPr>
                <w:rFonts w:ascii="Times New Roman" w:hAnsi="Times New Roman" w:eastAsia="仿宋_GB2312" w:cs="Times New Roman"/>
                <w:lang w:bidi="en-US"/>
              </w:rPr>
              <w:t>乌鲁木齐都市圈的次中心城市</w:t>
            </w:r>
            <w:r>
              <w:rPr>
                <w:rFonts w:hint="eastAsia" w:ascii="仿宋_GB2312" w:hAnsi="Times New Roman" w:eastAsia="仿宋_GB2312" w:cs="Times New Roman"/>
                <w:lang w:bidi="en-US"/>
              </w:rPr>
              <w:t>。</w:t>
            </w:r>
          </w:p>
          <w:p>
            <w:pPr>
              <w:adjustRightInd w:val="0"/>
              <w:snapToGrid w:val="0"/>
              <w:spacing w:line="260" w:lineRule="exact"/>
              <w:rPr>
                <w:rFonts w:ascii="仿宋_GB2312" w:hAnsi="Times New Roman" w:eastAsia="仿宋_GB2312" w:cs="Times New Roman"/>
                <w:b/>
                <w:bCs/>
                <w:lang w:bidi="en-US"/>
              </w:rPr>
            </w:pPr>
            <w:r>
              <w:rPr>
                <w:rFonts w:hint="eastAsia" w:ascii="仿宋_GB2312" w:hAnsi="Times New Roman" w:eastAsia="仿宋_GB2312" w:cs="Times New Roman"/>
                <w:b/>
                <w:bCs/>
                <w:lang w:bidi="en-US"/>
              </w:rPr>
              <w:t>2.规划发展产业</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大力实施“</w:t>
            </w:r>
            <w:r>
              <w:rPr>
                <w:rFonts w:ascii="仿宋_GB2312" w:hAnsi="Times New Roman" w:eastAsia="仿宋_GB2312" w:cs="Times New Roman"/>
                <w:lang w:bidi="en-US"/>
              </w:rPr>
              <w:t>1065”产业升级计划，围绕煤电煤化工、石油化工、新型材料加工、旅游康养、现代物流、农产品精深加工、葡萄酒、馕、纺织服装、热资源“十大产业”，推动产业关键技术的引进和应用，实施重大关键技术攻关和集成创新，进一步优化产业创新发展。</w:t>
            </w:r>
          </w:p>
        </w:tc>
        <w:tc>
          <w:tcPr>
            <w:tcW w:w="5528" w:type="dxa"/>
          </w:tcPr>
          <w:p>
            <w:pPr>
              <w:widowControl/>
              <w:numPr>
                <w:ilvl w:val="0"/>
                <w:numId w:val="7"/>
              </w:numPr>
              <w:adjustRightInd w:val="0"/>
              <w:snapToGrid w:val="0"/>
              <w:spacing w:line="260" w:lineRule="exact"/>
              <w:rPr>
                <w:rFonts w:ascii="仿宋_GB2312" w:hAnsi="Times New Roman" w:eastAsia="仿宋_GB2312" w:cs="Times New Roman"/>
                <w:b/>
                <w:lang w:bidi="en-US"/>
              </w:rPr>
            </w:pPr>
            <w:r>
              <w:rPr>
                <w:rFonts w:hint="eastAsia" w:ascii="仿宋_GB2312" w:hAnsi="Times New Roman" w:eastAsia="仿宋_GB2312" w:cs="Times New Roman"/>
                <w:b/>
                <w:lang w:bidi="en-US"/>
              </w:rPr>
              <w:t>产业发展规划</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w:t>
            </w:r>
            <w:r>
              <w:rPr>
                <w:rFonts w:ascii="仿宋_GB2312" w:hAnsi="Times New Roman" w:eastAsia="仿宋_GB2312" w:cs="Times New Roman"/>
                <w:lang w:bidi="en-US"/>
              </w:rPr>
              <w:t>1）大力发展现代煤炭煤电煤化工产业，积极打造现代绿色煤化工产业基地</w:t>
            </w:r>
            <w:r>
              <w:rPr>
                <w:rFonts w:hint="eastAsia" w:ascii="仿宋_GB2312" w:hAnsi="Times New Roman" w:eastAsia="仿宋_GB2312" w:cs="Times New Roman"/>
                <w:lang w:bidi="en-US"/>
              </w:rPr>
              <w:t>。</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煤炭：重点建设克（布）尔碱矿区、黑山矿区、库木塔格矿区、七克台矿区、七泉湖矿区和沙尔湖矿区（吐鲁番区域），积极培育大型煤炭企业集团，形成以大型煤炭企业和大型煤矿为主的煤炭产业格局，构建开发有序、集约高效、安全绿色的现代煤炭工业体系。煤电：推进“疆电外送”第四通道、疆内“北电南送”配套煤电基地的研究，鼓励建设单机</w:t>
            </w:r>
            <w:r>
              <w:rPr>
                <w:rFonts w:ascii="仿宋_GB2312" w:hAnsi="Times New Roman" w:eastAsia="仿宋_GB2312" w:cs="Times New Roman"/>
                <w:lang w:bidi="en-US"/>
              </w:rPr>
              <w:t>66-100万千瓦超临界燃煤发电机组和煤电联营项目，打造吐鲁番煤电基地。煤化工：</w:t>
            </w:r>
            <w:r>
              <w:rPr>
                <w:rFonts w:hint="eastAsia" w:ascii="仿宋_GB2312" w:hAnsi="Times New Roman" w:eastAsia="仿宋_GB2312" w:cs="Times New Roman"/>
                <w:lang w:bidi="en-US"/>
              </w:rPr>
              <w:t>重点发展煤炭分质利用、煤制天然气、煤制烯烃、煤制乙二醇、煤油共炼等现代煤化工，大力推进中泰煤基新材料升级示范等一批现代煤化工项目</w:t>
            </w:r>
            <w:r>
              <w:rPr>
                <w:rFonts w:ascii="仿宋_GB2312" w:hAnsi="Times New Roman" w:eastAsia="仿宋_GB2312" w:cs="Times New Roman"/>
                <w:lang w:bidi="en-US"/>
              </w:rPr>
              <w:t>。</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w:t>
            </w:r>
            <w:r>
              <w:rPr>
                <w:rFonts w:ascii="仿宋_GB2312" w:hAnsi="Times New Roman" w:eastAsia="仿宋_GB2312" w:cs="Times New Roman"/>
                <w:lang w:bidi="en-US"/>
              </w:rPr>
              <w:t>2）建设油气加工和储备基地。将鄯善县建设成为全疆油气储备基地。</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w:t>
            </w:r>
            <w:r>
              <w:rPr>
                <w:rFonts w:ascii="仿宋_GB2312" w:hAnsi="Times New Roman" w:eastAsia="仿宋_GB2312" w:cs="Times New Roman"/>
                <w:lang w:bidi="en-US"/>
              </w:rPr>
              <w:t>3）推动传统产业升级发展</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石材产业：积极引导和推动石材企业整合升级，淘汰落后生产工艺，实现产品向高端产品转型。钢铁产业：加快淘汰钢铁落后产能，延伸钢铁产业链，推动钢铁产业向精密铸造和新能源装备制造产业转型升级。</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w:t>
            </w:r>
            <w:r>
              <w:rPr>
                <w:rFonts w:ascii="仿宋_GB2312" w:hAnsi="Times New Roman" w:eastAsia="仿宋_GB2312" w:cs="Times New Roman"/>
                <w:lang w:bidi="en-US"/>
              </w:rPr>
              <w:t>4）培育发展战略新兴产业。包括硅基新材料产业、镁基新材料产业、装配式建筑新型材料产业、新能源产业</w:t>
            </w:r>
            <w:r>
              <w:rPr>
                <w:rFonts w:hint="eastAsia" w:ascii="仿宋_GB2312" w:hAnsi="Times New Roman" w:eastAsia="仿宋_GB2312" w:cs="Times New Roman"/>
                <w:lang w:bidi="en-US"/>
              </w:rPr>
              <w:t>、生物医药产业、现代装备制造业</w:t>
            </w:r>
            <w:r>
              <w:rPr>
                <w:rFonts w:ascii="仿宋_GB2312" w:hAnsi="Times New Roman" w:eastAsia="仿宋_GB2312" w:cs="Times New Roman"/>
                <w:lang w:bidi="en-US"/>
              </w:rPr>
              <w:t>等。</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（5）持续发展纺织服装业和农副产品加工业，积极发展馕产业和葡萄酒产业。</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（6）大力发展现代旅游业、现代商贸物流业。</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（7）全面推进乡村振兴战略。积极调整优化农业产业结构、大力促进农村产业融合发展。</w:t>
            </w:r>
          </w:p>
          <w:p>
            <w:pPr>
              <w:widowControl/>
              <w:numPr>
                <w:ilvl w:val="0"/>
                <w:numId w:val="7"/>
              </w:numPr>
              <w:adjustRightInd w:val="0"/>
              <w:snapToGrid w:val="0"/>
              <w:spacing w:line="260" w:lineRule="exact"/>
              <w:rPr>
                <w:rFonts w:ascii="仿宋_GB2312" w:hAnsi="Times New Roman" w:eastAsia="仿宋_GB2312" w:cs="Times New Roman"/>
                <w:b/>
                <w:lang w:bidi="en-US"/>
              </w:rPr>
            </w:pPr>
            <w:r>
              <w:rPr>
                <w:rFonts w:hint="eastAsia" w:ascii="仿宋_GB2312" w:hAnsi="Times New Roman" w:eastAsia="仿宋_GB2312" w:cs="Times New Roman"/>
                <w:b/>
                <w:lang w:bidi="en-US"/>
              </w:rPr>
              <w:t>产业现状</w:t>
            </w:r>
          </w:p>
          <w:p>
            <w:pPr>
              <w:widowControl/>
              <w:numPr>
                <w:ilvl w:val="0"/>
                <w:numId w:val="8"/>
              </w:num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主要产业：吐鲁番光热资源丰富，种植业在第一产业中占据主导地位。吐鲁番矿产资源丰富，极具开发价值和潜力，石化行业、采矿业、煤电煤化工是吐鲁番市第二产业中的支柱产业；目前吐鲁番的工业发展正处于转型升级、产业链继续向下游延伸的阶段，在新能源、新材料等产业发展上取得一定进展。</w:t>
            </w:r>
          </w:p>
          <w:p>
            <w:pPr>
              <w:widowControl/>
              <w:numPr>
                <w:ilvl w:val="0"/>
                <w:numId w:val="8"/>
              </w:num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园区：吐鲁番经济开发区、鄯善工业园区、鄯善石材工业园区、托克逊县能源重化工工业园区4个自治区级工业园区产业聚集发展，承载能力日益增强，高昌区重点发展纺织服装-农副产品深加工-商贸物流相关产业，鄯善县重点发展煤-电-硅循环经济一体化硅基新材料和镁基新材料循环经济产业，托克逊县重点发展煤-电-盐循环经济一体化产业的格局，建设自治区级煤基新材料基地。</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b/>
                <w:lang w:bidi="en-US"/>
              </w:rPr>
              <w:t>3</w:t>
            </w:r>
            <w:r>
              <w:rPr>
                <w:rFonts w:hint="eastAsia" w:ascii="仿宋_GB2312" w:hAnsi="Times New Roman" w:eastAsia="仿宋_GB2312" w:cs="Times New Roman"/>
                <w:lang w:bidi="en-US"/>
              </w:rPr>
              <w:t>.</w:t>
            </w:r>
            <w:r>
              <w:rPr>
                <w:rFonts w:hint="eastAsia" w:ascii="仿宋_GB2312" w:hAnsi="Times New Roman" w:eastAsia="仿宋_GB2312" w:cs="Times New Roman"/>
                <w:b/>
                <w:lang w:bidi="en-US"/>
              </w:rPr>
              <w:t>产业发展问题：</w:t>
            </w:r>
            <w:r>
              <w:rPr>
                <w:rFonts w:hint="eastAsia" w:ascii="仿宋_GB2312" w:hAnsi="Times New Roman" w:eastAsia="仿宋_GB2312" w:cs="Times New Roman"/>
                <w:lang w:bidi="en-US"/>
              </w:rPr>
              <w:t>产业结构单一，产业层次偏低，产业转型任务艰巨；矿产资源丰富，但综合利用水平低，</w:t>
            </w:r>
            <w:r>
              <w:rPr>
                <w:rFonts w:ascii="仿宋_GB2312" w:hAnsi="Times New Roman" w:eastAsia="仿宋_GB2312" w:cs="Times New Roman"/>
                <w:lang w:bidi="en-US"/>
              </w:rPr>
              <w:t>矿产资源开发与生态环境保护</w:t>
            </w:r>
            <w:r>
              <w:rPr>
                <w:rFonts w:hint="eastAsia" w:ascii="仿宋_GB2312" w:hAnsi="Times New Roman" w:eastAsia="仿宋_GB2312" w:cs="Times New Roman"/>
                <w:lang w:bidi="en-US"/>
              </w:rPr>
              <w:t>存在</w:t>
            </w:r>
            <w:r>
              <w:rPr>
                <w:rFonts w:ascii="仿宋_GB2312" w:hAnsi="Times New Roman" w:eastAsia="仿宋_GB2312" w:cs="Times New Roman"/>
                <w:lang w:bidi="en-US"/>
              </w:rPr>
              <w:t>矛盾</w:t>
            </w:r>
            <w:r>
              <w:rPr>
                <w:rFonts w:hint="eastAsia" w:ascii="仿宋_GB2312" w:hAnsi="Times New Roman" w:eastAsia="仿宋_GB2312" w:cs="Times New Roman"/>
                <w:lang w:bidi="en-US"/>
              </w:rPr>
              <w:t>；水资源短缺制约经济发展。</w:t>
            </w:r>
          </w:p>
        </w:tc>
        <w:tc>
          <w:tcPr>
            <w:tcW w:w="5700" w:type="dxa"/>
          </w:tcPr>
          <w:p>
            <w:pPr>
              <w:widowControl/>
              <w:numPr>
                <w:ilvl w:val="0"/>
                <w:numId w:val="9"/>
              </w:numPr>
              <w:adjustRightInd w:val="0"/>
              <w:snapToGrid w:val="0"/>
              <w:spacing w:line="260" w:lineRule="exact"/>
              <w:rPr>
                <w:rFonts w:ascii="仿宋_GB2312" w:hAnsi="Times New Roman" w:eastAsia="仿宋_GB2312" w:cs="Times New Roman"/>
                <w:b/>
                <w:lang w:bidi="en-US"/>
              </w:rPr>
            </w:pPr>
            <w:r>
              <w:rPr>
                <w:rFonts w:hint="eastAsia" w:ascii="仿宋_GB2312" w:hAnsi="Times New Roman" w:eastAsia="仿宋_GB2312" w:cs="Times New Roman"/>
                <w:b/>
                <w:lang w:bidi="en-US"/>
              </w:rPr>
              <w:t>生态环境目标</w:t>
            </w:r>
          </w:p>
          <w:p>
            <w:pPr>
              <w:adjustRightInd w:val="0"/>
              <w:snapToGrid w:val="0"/>
              <w:spacing w:line="260" w:lineRule="exact"/>
              <w:rPr>
                <w:rFonts w:ascii="仿宋_GB2312" w:hAnsi="Times New Roman" w:eastAsia="仿宋_GB2312" w:cs="Times New Roman"/>
                <w:b/>
                <w:lang w:bidi="en-US"/>
              </w:rPr>
            </w:pPr>
            <w:r>
              <w:rPr>
                <w:rFonts w:hint="eastAsia" w:ascii="仿宋_GB2312" w:hAnsi="Times New Roman" w:eastAsia="仿宋_GB2312" w:cs="Times New Roman"/>
                <w:b/>
                <w:lang w:bidi="en-US"/>
              </w:rPr>
              <w:t>总体目标：</w:t>
            </w:r>
            <w:r>
              <w:rPr>
                <w:rFonts w:hint="eastAsia" w:ascii="仿宋_GB2312" w:hAnsi="Times New Roman" w:eastAsia="仿宋_GB2312" w:cs="Times New Roman"/>
                <w:bCs/>
                <w:lang w:bidi="en-US"/>
              </w:rPr>
              <w:t>到</w:t>
            </w:r>
            <w:r>
              <w:rPr>
                <w:rFonts w:ascii="仿宋_GB2312" w:hAnsi="Times New Roman" w:eastAsia="仿宋_GB2312" w:cs="Times New Roman"/>
                <w:bCs/>
                <w:lang w:bidi="en-US"/>
              </w:rPr>
              <w:t>2025年，</w:t>
            </w:r>
            <w:r>
              <w:rPr>
                <w:rFonts w:hint="eastAsia" w:ascii="仿宋_GB2312" w:hAnsi="Times New Roman" w:eastAsia="仿宋_GB2312" w:cs="Times New Roman"/>
                <w:bCs/>
                <w:lang w:bidi="en-US"/>
              </w:rPr>
              <w:t>全市生态环境质量得到持续改善，环境风险管控能力和水平全面提升。建立较为完善的生态环境分区管控体系，社会经济发展与生态环境保护进一步融合，生态环境治理体系与治理能力现代化迈出重大步伐。到</w:t>
            </w:r>
            <w:r>
              <w:rPr>
                <w:rFonts w:ascii="仿宋_GB2312" w:hAnsi="Times New Roman" w:eastAsia="仿宋_GB2312" w:cs="Times New Roman"/>
                <w:bCs/>
                <w:lang w:bidi="en-US"/>
              </w:rPr>
              <w:t>2035年，全市生态环境质量全面改善并根本好转，生态功能显著提升，生态安全得到全面保障。建立完善的生态环境分区管控体系，环境保护与经济发展实现良性循环，基本实现环境治理体系和治理能力的现代化。</w:t>
            </w:r>
          </w:p>
          <w:p>
            <w:pPr>
              <w:numPr>
                <w:ilvl w:val="0"/>
                <w:numId w:val="10"/>
              </w:num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b/>
                <w:bCs/>
                <w:lang w:bidi="en-US"/>
              </w:rPr>
              <w:t>大气环境：</w:t>
            </w:r>
            <w:r>
              <w:rPr>
                <w:rFonts w:hint="eastAsia" w:ascii="仿宋_GB2312" w:hAnsi="Times New Roman" w:eastAsia="仿宋_GB2312" w:cs="Times New Roman"/>
                <w:lang w:bidi="en-US"/>
              </w:rPr>
              <w:t>到2025年，吐鲁番市大气环境质量进一步改善，高昌区PM</w:t>
            </w:r>
            <w:r>
              <w:rPr>
                <w:rFonts w:hint="eastAsia" w:ascii="仿宋_GB2312" w:hAnsi="Times New Roman" w:eastAsia="仿宋_GB2312" w:cs="Times New Roman"/>
                <w:vertAlign w:val="subscript"/>
                <w:lang w:bidi="en-US"/>
              </w:rPr>
              <w:t>2.5</w:t>
            </w:r>
            <w:r>
              <w:rPr>
                <w:rFonts w:hint="eastAsia" w:ascii="仿宋_GB2312" w:hAnsi="Times New Roman" w:eastAsia="仿宋_GB2312" w:cs="Times New Roman"/>
                <w:lang w:bidi="en-US"/>
              </w:rPr>
              <w:t>目标值为44μg/m</w:t>
            </w:r>
            <w:r>
              <w:rPr>
                <w:rFonts w:hint="eastAsia" w:ascii="仿宋_GB2312" w:hAnsi="Times New Roman" w:eastAsia="仿宋_GB2312" w:cs="Times New Roman"/>
                <w:vertAlign w:val="superscript"/>
                <w:lang w:bidi="en-US"/>
              </w:rPr>
              <w:t>3</w:t>
            </w:r>
            <w:r>
              <w:rPr>
                <w:rFonts w:hint="eastAsia" w:ascii="仿宋_GB2312" w:hAnsi="Times New Roman" w:eastAsia="仿宋_GB2312" w:cs="Times New Roman"/>
                <w:lang w:bidi="en-US"/>
              </w:rPr>
              <w:t>（扣除沙尘影响，下同）、鄯善县PM</w:t>
            </w:r>
            <w:r>
              <w:rPr>
                <w:rFonts w:hint="eastAsia" w:ascii="仿宋_GB2312" w:hAnsi="Times New Roman" w:eastAsia="仿宋_GB2312" w:cs="Times New Roman"/>
                <w:vertAlign w:val="subscript"/>
                <w:lang w:bidi="en-US"/>
              </w:rPr>
              <w:t>2.5</w:t>
            </w:r>
            <w:r>
              <w:rPr>
                <w:rFonts w:hint="eastAsia" w:ascii="仿宋_GB2312" w:hAnsi="Times New Roman" w:eastAsia="仿宋_GB2312" w:cs="Times New Roman"/>
                <w:lang w:bidi="en-US"/>
              </w:rPr>
              <w:t>目标值为46μg/m</w:t>
            </w:r>
            <w:r>
              <w:rPr>
                <w:rFonts w:hint="eastAsia" w:ascii="仿宋_GB2312" w:hAnsi="Times New Roman" w:eastAsia="仿宋_GB2312" w:cs="Times New Roman"/>
                <w:vertAlign w:val="superscript"/>
                <w:lang w:bidi="en-US"/>
              </w:rPr>
              <w:t>3</w:t>
            </w:r>
            <w:r>
              <w:rPr>
                <w:rFonts w:hint="eastAsia" w:ascii="仿宋_GB2312" w:hAnsi="Times New Roman" w:eastAsia="仿宋_GB2312" w:cs="Times New Roman"/>
                <w:lang w:bidi="en-US"/>
              </w:rPr>
              <w:t>、托克逊县PM</w:t>
            </w:r>
            <w:r>
              <w:rPr>
                <w:rFonts w:hint="eastAsia" w:ascii="仿宋_GB2312" w:hAnsi="Times New Roman" w:eastAsia="仿宋_GB2312" w:cs="Times New Roman"/>
                <w:vertAlign w:val="subscript"/>
                <w:lang w:bidi="en-US"/>
              </w:rPr>
              <w:t>2.5</w:t>
            </w:r>
            <w:r>
              <w:rPr>
                <w:rFonts w:hint="eastAsia" w:ascii="仿宋_GB2312" w:hAnsi="Times New Roman" w:eastAsia="仿宋_GB2312" w:cs="Times New Roman"/>
                <w:lang w:bidi="en-US"/>
              </w:rPr>
              <w:t>目标值为35μg/m</w:t>
            </w:r>
            <w:r>
              <w:rPr>
                <w:rFonts w:hint="eastAsia" w:ascii="仿宋_GB2312" w:hAnsi="Times New Roman" w:eastAsia="仿宋_GB2312" w:cs="Times New Roman"/>
                <w:vertAlign w:val="superscript"/>
                <w:lang w:bidi="en-US"/>
              </w:rPr>
              <w:t>3</w:t>
            </w:r>
            <w:r>
              <w:rPr>
                <w:rFonts w:hint="eastAsia" w:ascii="仿宋_GB2312" w:hAnsi="Times New Roman" w:eastAsia="仿宋_GB2312" w:cs="Times New Roman"/>
                <w:lang w:bidi="en-US"/>
              </w:rPr>
              <w:t>；到2035年，吐鲁番市大气环境质量持续改善，高昌区PM</w:t>
            </w:r>
            <w:r>
              <w:rPr>
                <w:rFonts w:hint="eastAsia" w:ascii="仿宋_GB2312" w:hAnsi="Times New Roman" w:eastAsia="仿宋_GB2312" w:cs="Times New Roman"/>
                <w:vertAlign w:val="subscript"/>
                <w:lang w:bidi="en-US"/>
              </w:rPr>
              <w:t>2.5</w:t>
            </w:r>
            <w:r>
              <w:rPr>
                <w:rFonts w:hint="eastAsia" w:ascii="仿宋_GB2312" w:hAnsi="Times New Roman" w:eastAsia="仿宋_GB2312" w:cs="Times New Roman"/>
                <w:lang w:bidi="en-US"/>
              </w:rPr>
              <w:t>目标值为43μg/m</w:t>
            </w:r>
            <w:r>
              <w:rPr>
                <w:rFonts w:hint="eastAsia" w:ascii="仿宋_GB2312" w:hAnsi="Times New Roman" w:eastAsia="仿宋_GB2312" w:cs="Times New Roman"/>
                <w:vertAlign w:val="superscript"/>
                <w:lang w:bidi="en-US"/>
              </w:rPr>
              <w:t>3</w:t>
            </w:r>
            <w:r>
              <w:rPr>
                <w:rFonts w:hint="eastAsia" w:ascii="仿宋_GB2312" w:hAnsi="Times New Roman" w:eastAsia="仿宋_GB2312" w:cs="Times New Roman"/>
                <w:lang w:bidi="en-US"/>
              </w:rPr>
              <w:t>、鄯善县PM</w:t>
            </w:r>
            <w:r>
              <w:rPr>
                <w:rFonts w:hint="eastAsia" w:ascii="仿宋_GB2312" w:hAnsi="Times New Roman" w:eastAsia="仿宋_GB2312" w:cs="Times New Roman"/>
                <w:vertAlign w:val="subscript"/>
                <w:lang w:bidi="en-US"/>
              </w:rPr>
              <w:t>2.5</w:t>
            </w:r>
            <w:r>
              <w:rPr>
                <w:rFonts w:hint="eastAsia" w:ascii="仿宋_GB2312" w:hAnsi="Times New Roman" w:eastAsia="仿宋_GB2312" w:cs="Times New Roman"/>
                <w:lang w:bidi="en-US"/>
              </w:rPr>
              <w:t>目标值为45μg/m</w:t>
            </w:r>
            <w:r>
              <w:rPr>
                <w:rFonts w:hint="eastAsia" w:ascii="仿宋_GB2312" w:hAnsi="Times New Roman" w:eastAsia="仿宋_GB2312" w:cs="Times New Roman"/>
                <w:vertAlign w:val="superscript"/>
                <w:lang w:bidi="en-US"/>
              </w:rPr>
              <w:t>3</w:t>
            </w:r>
            <w:r>
              <w:rPr>
                <w:rFonts w:hint="eastAsia" w:ascii="仿宋_GB2312" w:hAnsi="Times New Roman" w:eastAsia="仿宋_GB2312" w:cs="Times New Roman"/>
                <w:lang w:bidi="en-US"/>
              </w:rPr>
              <w:t>、托克逊县PM</w:t>
            </w:r>
            <w:r>
              <w:rPr>
                <w:rFonts w:hint="eastAsia" w:ascii="仿宋_GB2312" w:hAnsi="Times New Roman" w:eastAsia="仿宋_GB2312" w:cs="Times New Roman"/>
                <w:vertAlign w:val="subscript"/>
                <w:lang w:bidi="en-US"/>
              </w:rPr>
              <w:t>2.5</w:t>
            </w:r>
            <w:r>
              <w:rPr>
                <w:rFonts w:hint="eastAsia" w:ascii="仿宋_GB2312" w:hAnsi="Times New Roman" w:eastAsia="仿宋_GB2312" w:cs="Times New Roman"/>
                <w:lang w:bidi="en-US"/>
              </w:rPr>
              <w:t>目标值为35μg/m</w:t>
            </w:r>
            <w:r>
              <w:rPr>
                <w:rFonts w:hint="eastAsia" w:ascii="仿宋_GB2312" w:hAnsi="Times New Roman" w:eastAsia="仿宋_GB2312" w:cs="Times New Roman"/>
                <w:vertAlign w:val="superscript"/>
                <w:lang w:bidi="en-US"/>
              </w:rPr>
              <w:t>3</w:t>
            </w:r>
            <w:r>
              <w:rPr>
                <w:rFonts w:hint="eastAsia" w:ascii="仿宋_GB2312" w:hAnsi="Times New Roman" w:eastAsia="仿宋_GB2312" w:cs="Times New Roman"/>
                <w:lang w:bidi="en-US"/>
              </w:rPr>
              <w:t>。</w:t>
            </w:r>
          </w:p>
          <w:p>
            <w:pPr>
              <w:numPr>
                <w:ilvl w:val="0"/>
                <w:numId w:val="10"/>
              </w:num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b/>
                <w:bCs/>
                <w:lang w:bidi="en-US"/>
              </w:rPr>
              <w:t>水环境</w:t>
            </w:r>
            <w:r>
              <w:rPr>
                <w:rFonts w:hint="eastAsia" w:ascii="仿宋_GB2312" w:hAnsi="Times New Roman" w:eastAsia="仿宋_GB2312" w:cs="Times New Roman"/>
                <w:lang w:bidi="en-US"/>
              </w:rPr>
              <w:t>：到2025年，全市水环境质量持续改善，饮用水安全保障水平持续提升，地下水超采得到严格控制，地下水环境质量保持稳定；河流水环境质量及主要湖泊生态环境稳中趋好。境内主要河湖考核断面达标比例</w:t>
            </w:r>
            <w:r>
              <w:rPr>
                <w:rFonts w:ascii="仿宋_GB2312" w:hAnsi="Times New Roman" w:eastAsia="仿宋_GB2312" w:cs="Times New Roman"/>
                <w:lang w:bidi="en-US"/>
              </w:rPr>
              <w:t>100%；集中式饮用水水源地（包括地表水和地下水）达标比例100%，境内主要坎儿井水质达到或优于Ⅲ类比例100%；艾丁湖水生态环境有所改善。</w:t>
            </w:r>
            <w:r>
              <w:rPr>
                <w:rFonts w:hint="eastAsia" w:ascii="仿宋_GB2312" w:hAnsi="Times New Roman" w:eastAsia="仿宋_GB2312" w:cs="Times New Roman"/>
                <w:lang w:bidi="en-US"/>
              </w:rPr>
              <w:t>到</w:t>
            </w:r>
            <w:r>
              <w:rPr>
                <w:rFonts w:ascii="仿宋_GB2312" w:hAnsi="Times New Roman" w:eastAsia="仿宋_GB2312" w:cs="Times New Roman"/>
                <w:lang w:bidi="en-US"/>
              </w:rPr>
              <w:t>2035年，力争生态环境质量全面改善，生态系统实现良性循环。</w:t>
            </w:r>
            <w:r>
              <w:rPr>
                <w:rFonts w:hint="eastAsia" w:ascii="仿宋_GB2312" w:hAnsi="Times New Roman" w:eastAsia="仿宋_GB2312" w:cs="Times New Roman"/>
                <w:lang w:bidi="en-US"/>
              </w:rPr>
              <w:t>境内主要河湖考核断面达标比例</w:t>
            </w:r>
            <w:r>
              <w:rPr>
                <w:rFonts w:ascii="仿宋_GB2312" w:hAnsi="Times New Roman" w:eastAsia="仿宋_GB2312" w:cs="Times New Roman"/>
                <w:lang w:bidi="en-US"/>
              </w:rPr>
              <w:t>100%；集中式饮用水水源地（包括地表水和地下水）达标比例100%，境内主要坎儿井水质达到或优于Ⅲ类比例100%；艾丁湖生态功能基本恢复。</w:t>
            </w:r>
          </w:p>
          <w:p>
            <w:pPr>
              <w:numPr>
                <w:ilvl w:val="0"/>
                <w:numId w:val="10"/>
              </w:num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b/>
                <w:bCs/>
                <w:lang w:bidi="en-US"/>
              </w:rPr>
              <w:t>土壤环境</w:t>
            </w:r>
            <w:r>
              <w:rPr>
                <w:rFonts w:hint="eastAsia" w:ascii="仿宋_GB2312" w:hAnsi="Times New Roman" w:eastAsia="仿宋_GB2312" w:cs="Times New Roman"/>
                <w:lang w:bidi="en-US"/>
              </w:rPr>
              <w:t>：到2025年，全市土壤环境质量稳中向好，农用地和建设用地土壤环境安全得到有效保障，土壤环境风险得到全面管控。受污染耕地安全利用率保持</w:t>
            </w:r>
            <w:r>
              <w:rPr>
                <w:rFonts w:ascii="仿宋_GB2312" w:hAnsi="Times New Roman" w:eastAsia="仿宋_GB2312" w:cs="Times New Roman"/>
                <w:lang w:bidi="en-US"/>
              </w:rPr>
              <w:t>98%以上，污染地块安全利用率达到93%以上</w:t>
            </w:r>
            <w:r>
              <w:rPr>
                <w:rFonts w:hint="eastAsia" w:ascii="仿宋_GB2312" w:hAnsi="Times New Roman" w:eastAsia="仿宋_GB2312" w:cs="Times New Roman"/>
                <w:lang w:bidi="en-US"/>
              </w:rPr>
              <w:t>。到2035年，全市的受污染耕地安全利用率和污染地块安全利用率持续改善。</w:t>
            </w:r>
          </w:p>
          <w:p>
            <w:pPr>
              <w:widowControl/>
              <w:numPr>
                <w:ilvl w:val="0"/>
                <w:numId w:val="9"/>
              </w:numPr>
              <w:adjustRightInd w:val="0"/>
              <w:snapToGrid w:val="0"/>
              <w:spacing w:line="260" w:lineRule="exact"/>
              <w:rPr>
                <w:rFonts w:ascii="仿宋_GB2312" w:hAnsi="Times New Roman" w:eastAsia="仿宋_GB2312" w:cs="Times New Roman"/>
                <w:b/>
                <w:lang w:bidi="en-US"/>
              </w:rPr>
            </w:pPr>
            <w:r>
              <w:rPr>
                <w:rFonts w:hint="eastAsia" w:ascii="仿宋_GB2312" w:hAnsi="Times New Roman" w:eastAsia="仿宋_GB2312" w:cs="Times New Roman"/>
                <w:b/>
                <w:lang w:bidi="en-US"/>
              </w:rPr>
              <w:t>生态环境现状及问题</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（1）大气环境：吐鲁番市环境空气质量尚未达标，整体空气质量状况一般，主要超标因子为PM</w:t>
            </w:r>
            <w:r>
              <w:rPr>
                <w:rFonts w:hint="eastAsia" w:ascii="仿宋_GB2312" w:hAnsi="Times New Roman" w:eastAsia="仿宋_GB2312" w:cs="Times New Roman"/>
                <w:vertAlign w:val="subscript"/>
                <w:lang w:bidi="en-US"/>
              </w:rPr>
              <w:t>10</w:t>
            </w:r>
            <w:r>
              <w:rPr>
                <w:rFonts w:hint="eastAsia" w:ascii="仿宋_GB2312" w:hAnsi="Times New Roman" w:eastAsia="仿宋_GB2312" w:cs="Times New Roman"/>
                <w:lang w:bidi="en-US"/>
              </w:rPr>
              <w:t>和PM</w:t>
            </w:r>
            <w:r>
              <w:rPr>
                <w:rFonts w:hint="eastAsia" w:ascii="仿宋_GB2312" w:hAnsi="Times New Roman" w:eastAsia="仿宋_GB2312" w:cs="Times New Roman"/>
                <w:vertAlign w:val="subscript"/>
                <w:lang w:bidi="en-US"/>
              </w:rPr>
              <w:t>2.5</w:t>
            </w:r>
            <w:r>
              <w:rPr>
                <w:rFonts w:hint="eastAsia" w:ascii="仿宋_GB2312" w:hAnsi="Times New Roman" w:eastAsia="仿宋_GB2312" w:cs="Times New Roman"/>
                <w:lang w:bidi="en-US"/>
              </w:rPr>
              <w:t>，因此PM</w:t>
            </w:r>
            <w:r>
              <w:rPr>
                <w:rFonts w:hint="eastAsia" w:ascii="仿宋_GB2312" w:hAnsi="Times New Roman" w:eastAsia="仿宋_GB2312" w:cs="Times New Roman"/>
                <w:vertAlign w:val="subscript"/>
                <w:lang w:bidi="en-US"/>
              </w:rPr>
              <w:t>10</w:t>
            </w:r>
            <w:r>
              <w:rPr>
                <w:rFonts w:hint="eastAsia" w:ascii="仿宋_GB2312" w:hAnsi="Times New Roman" w:eastAsia="仿宋_GB2312" w:cs="Times New Roman"/>
                <w:lang w:bidi="en-US"/>
              </w:rPr>
              <w:t>和PM</w:t>
            </w:r>
            <w:r>
              <w:rPr>
                <w:rFonts w:hint="eastAsia" w:ascii="仿宋_GB2312" w:hAnsi="Times New Roman" w:eastAsia="仿宋_GB2312" w:cs="Times New Roman"/>
                <w:vertAlign w:val="subscript"/>
                <w:lang w:bidi="en-US"/>
              </w:rPr>
              <w:t>2.5</w:t>
            </w:r>
            <w:r>
              <w:rPr>
                <w:rFonts w:hint="eastAsia" w:ascii="仿宋_GB2312" w:hAnsi="Times New Roman" w:eastAsia="仿宋_GB2312" w:cs="Times New Roman"/>
                <w:lang w:bidi="en-US"/>
              </w:rPr>
              <w:t>是影响吐鲁番市环境空气质量的关键点。</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（2）水环境：吐鲁番市常规的地表水监测断面达标率为100%，坎儿井水质持续改善，能够达到</w:t>
            </w:r>
            <w:r>
              <w:rPr>
                <w:rFonts w:ascii="仿宋_GB2312" w:hAnsi="Times New Roman" w:eastAsia="仿宋_GB2312" w:cs="Times New Roman"/>
                <w:lang w:bidi="en-US"/>
              </w:rPr>
              <w:fldChar w:fldCharType="begin"/>
            </w:r>
            <w:r>
              <w:rPr>
                <w:rFonts w:ascii="仿宋_GB2312" w:hAnsi="Times New Roman" w:eastAsia="仿宋_GB2312" w:cs="Times New Roman"/>
                <w:lang w:bidi="en-US"/>
              </w:rPr>
              <w:instrText xml:space="preserve"> </w:instrText>
            </w:r>
            <w:r>
              <w:rPr>
                <w:rFonts w:hint="eastAsia" w:ascii="仿宋_GB2312" w:hAnsi="Times New Roman" w:eastAsia="仿宋_GB2312" w:cs="Times New Roman"/>
                <w:lang w:bidi="en-US"/>
              </w:rPr>
              <w:instrText xml:space="preserve">= 3 \* ROMAN</w:instrText>
            </w:r>
            <w:r>
              <w:rPr>
                <w:rFonts w:ascii="仿宋_GB2312" w:hAnsi="Times New Roman" w:eastAsia="仿宋_GB2312" w:cs="Times New Roman"/>
                <w:lang w:bidi="en-US"/>
              </w:rPr>
              <w:instrText xml:space="preserve"> </w:instrText>
            </w:r>
            <w:r>
              <w:rPr>
                <w:rFonts w:ascii="仿宋_GB2312" w:hAnsi="Times New Roman" w:eastAsia="仿宋_GB2312" w:cs="Times New Roman"/>
                <w:lang w:bidi="en-US"/>
              </w:rPr>
              <w:fldChar w:fldCharType="separate"/>
            </w:r>
            <w:r>
              <w:rPr>
                <w:rFonts w:ascii="仿宋_GB2312" w:hAnsi="Times New Roman" w:eastAsia="仿宋_GB2312" w:cs="Times New Roman"/>
                <w:lang w:bidi="en-US"/>
              </w:rPr>
              <w:t>III</w:t>
            </w:r>
            <w:r>
              <w:rPr>
                <w:rFonts w:ascii="仿宋_GB2312" w:hAnsi="Times New Roman" w:eastAsia="仿宋_GB2312" w:cs="Times New Roman"/>
                <w:lang w:bidi="en-US"/>
              </w:rPr>
              <w:fldChar w:fldCharType="end"/>
            </w:r>
            <w:r>
              <w:rPr>
                <w:rFonts w:hint="eastAsia" w:ascii="仿宋_GB2312" w:hAnsi="Times New Roman" w:eastAsia="仿宋_GB2312" w:cs="Times New Roman"/>
                <w:lang w:bidi="en-US"/>
              </w:rPr>
              <w:t>类水质要求；集中式饮用水水源地水质保持稳定达标。</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（3）土壤环境：2018年吐鲁番市各类农村土壤满足《土壤环境质量标准》（GB15618-1995）中的相应标准值，重点企业的土壤满足二级标准。</w:t>
            </w:r>
          </w:p>
        </w:tc>
        <w:tc>
          <w:tcPr>
            <w:tcW w:w="3529" w:type="dxa"/>
          </w:tcPr>
          <w:p>
            <w:pPr>
              <w:adjustRightInd w:val="0"/>
              <w:snapToGrid w:val="0"/>
              <w:spacing w:line="260" w:lineRule="exact"/>
              <w:rPr>
                <w:rFonts w:ascii="仿宋_GB2312" w:hAnsi="Times New Roman" w:eastAsia="仿宋_GB2312" w:cs="Times New Roman"/>
                <w:b/>
                <w:lang w:bidi="en-US"/>
              </w:rPr>
            </w:pPr>
            <w:r>
              <w:rPr>
                <w:rFonts w:hint="eastAsia" w:ascii="仿宋_GB2312" w:hAnsi="Times New Roman" w:eastAsia="仿宋_GB2312" w:cs="Times New Roman"/>
                <w:b/>
                <w:lang w:bidi="en-US"/>
              </w:rPr>
              <w:t>重点解决问题</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w:t>
            </w:r>
            <w:r>
              <w:rPr>
                <w:rFonts w:ascii="仿宋_GB2312" w:hAnsi="Times New Roman" w:eastAsia="仿宋_GB2312" w:cs="Times New Roman"/>
                <w:lang w:bidi="en-US"/>
              </w:rPr>
              <w:t>1）荒漠化面积有所减少，但局部区域荒漠化程度加深</w:t>
            </w:r>
            <w:r>
              <w:rPr>
                <w:rFonts w:hint="eastAsia" w:ascii="仿宋_GB2312" w:hAnsi="Times New Roman" w:eastAsia="仿宋_GB2312" w:cs="Times New Roman"/>
                <w:lang w:bidi="en-US"/>
              </w:rPr>
              <w:t>，</w:t>
            </w:r>
            <w:r>
              <w:rPr>
                <w:rFonts w:ascii="仿宋_GB2312" w:hAnsi="Times New Roman" w:eastAsia="仿宋_GB2312" w:cs="Times New Roman"/>
                <w:lang w:bidi="en-US"/>
              </w:rPr>
              <w:t>人为因素是荒漠化发展的动因之一。</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w:t>
            </w:r>
            <w:r>
              <w:rPr>
                <w:rFonts w:ascii="仿宋_GB2312" w:hAnsi="Times New Roman" w:eastAsia="仿宋_GB2312" w:cs="Times New Roman"/>
                <w:lang w:bidi="en-US"/>
              </w:rPr>
              <w:t>2）水资源短缺、地下水水位下降，绿洲保护、生态系统维持压力巨大。目前，地下水引水条件较好的区域，绿洲波动变化小，而北部紧靠火焰山，南部紧邻戈壁荒漠，山区地形复杂，荒漠地区缺水、盐渍化问题较重，出现了绿洲退缩现象。</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w:t>
            </w:r>
            <w:r>
              <w:rPr>
                <w:rFonts w:ascii="仿宋_GB2312" w:hAnsi="Times New Roman" w:eastAsia="仿宋_GB2312" w:cs="Times New Roman"/>
                <w:lang w:bidi="en-US"/>
              </w:rPr>
              <w:t>3）矿产资源丰富，但矿产资源开发与生态环境保护</w:t>
            </w:r>
            <w:r>
              <w:rPr>
                <w:rFonts w:hint="eastAsia" w:ascii="仿宋_GB2312" w:hAnsi="Times New Roman" w:eastAsia="仿宋_GB2312" w:cs="Times New Roman"/>
                <w:lang w:bidi="en-US"/>
              </w:rPr>
              <w:t>存在</w:t>
            </w:r>
            <w:r>
              <w:rPr>
                <w:rFonts w:ascii="仿宋_GB2312" w:hAnsi="Times New Roman" w:eastAsia="仿宋_GB2312" w:cs="Times New Roman"/>
                <w:lang w:bidi="en-US"/>
              </w:rPr>
              <w:t>矛盾。吐鲁番市的矿产资源所处位置多位于生态环境较为脆弱的荒漠区域，因此对吐鲁番市的矿产资源开发需提出更高的环境保护要求。</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（4</w:t>
            </w:r>
            <w:r>
              <w:rPr>
                <w:rFonts w:ascii="仿宋_GB2312" w:hAnsi="Times New Roman" w:eastAsia="仿宋_GB2312" w:cs="Times New Roman"/>
                <w:lang w:bidi="en-US"/>
              </w:rPr>
              <w:t>）大气环境质量改善难度大。吐鲁番的区域扩散条件和其产业的发展导致其大气环境质量改善的难度大。</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（5</w:t>
            </w:r>
            <w:r>
              <w:rPr>
                <w:rFonts w:ascii="仿宋_GB2312" w:hAnsi="Times New Roman" w:eastAsia="仿宋_GB2312" w:cs="Times New Roman"/>
                <w:lang w:bidi="en-US"/>
              </w:rPr>
              <w:t>）对艾丁湖的保护刻不容缓。综合气候、地下水超采、上游地表径流截流引用等原因，进入艾丁湖的水量大幅减少，至2010年，湖泊水体面积较1940年减少了98%。</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（6</w:t>
            </w:r>
            <w:r>
              <w:rPr>
                <w:rFonts w:ascii="仿宋_GB2312" w:hAnsi="Times New Roman" w:eastAsia="仿宋_GB2312" w:cs="Times New Roman"/>
                <w:lang w:bidi="en-US"/>
              </w:rPr>
              <w:t>）存在土壤环境污染风险隐患。</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（7</w:t>
            </w:r>
            <w:r>
              <w:rPr>
                <w:rFonts w:ascii="仿宋_GB2312" w:hAnsi="Times New Roman" w:eastAsia="仿宋_GB2312" w:cs="Times New Roman"/>
                <w:lang w:bidi="en-US"/>
              </w:rPr>
              <w:t>）地下水超采严重。长期过量开采地下水，导致地下水水位下降，有些地区地下水水位下降了20余米，平均每年降幅达到了2m以上。</w:t>
            </w:r>
          </w:p>
          <w:p>
            <w:pPr>
              <w:adjustRightInd w:val="0"/>
              <w:snapToGrid w:val="0"/>
              <w:spacing w:line="260" w:lineRule="exact"/>
              <w:rPr>
                <w:rFonts w:ascii="仿宋_GB2312" w:hAnsi="Times New Roman" w:eastAsia="仿宋_GB2312" w:cs="Times New Roman"/>
                <w:lang w:bidi="en-US"/>
              </w:rPr>
            </w:pPr>
            <w:r>
              <w:rPr>
                <w:rFonts w:hint="eastAsia" w:ascii="仿宋_GB2312" w:hAnsi="Times New Roman" w:eastAsia="仿宋_GB2312" w:cs="Times New Roman"/>
                <w:lang w:bidi="en-US"/>
              </w:rPr>
              <w:t>（8</w:t>
            </w:r>
            <w:r>
              <w:rPr>
                <w:rFonts w:ascii="仿宋_GB2312" w:hAnsi="Times New Roman" w:eastAsia="仿宋_GB2312" w:cs="Times New Roman"/>
                <w:lang w:bidi="en-US"/>
              </w:rPr>
              <w:t>）坎儿井急剧衰减。2009 年据三普资料可知，吐鲁番</w:t>
            </w:r>
            <w:r>
              <w:rPr>
                <w:rFonts w:hint="eastAsia" w:ascii="仿宋_GB2312" w:hAnsi="Times New Roman" w:eastAsia="仿宋_GB2312" w:cs="Times New Roman"/>
                <w:lang w:bidi="en-US"/>
              </w:rPr>
              <w:t>市</w:t>
            </w:r>
            <w:r>
              <w:rPr>
                <w:rFonts w:ascii="仿宋_GB2312" w:hAnsi="Times New Roman" w:eastAsia="仿宋_GB2312" w:cs="Times New Roman"/>
                <w:lang w:bidi="en-US"/>
              </w:rPr>
              <w:t>共有1108 条坎儿井，其中有水坎儿井为279条。2014年，吐鲁番</w:t>
            </w:r>
            <w:r>
              <w:rPr>
                <w:rFonts w:hint="eastAsia" w:ascii="仿宋_GB2312" w:hAnsi="Times New Roman" w:eastAsia="仿宋_GB2312" w:cs="Times New Roman"/>
                <w:lang w:bidi="en-US"/>
              </w:rPr>
              <w:t>市</w:t>
            </w:r>
            <w:r>
              <w:rPr>
                <w:rFonts w:ascii="仿宋_GB2312" w:hAnsi="Times New Roman" w:eastAsia="仿宋_GB2312" w:cs="Times New Roman"/>
                <w:lang w:bidi="en-US"/>
              </w:rPr>
              <w:t>有水坎儿井的数量减少为214 条。</w:t>
            </w:r>
          </w:p>
        </w:tc>
      </w:tr>
    </w:tbl>
    <w:p>
      <w:pPr>
        <w:adjustRightInd w:val="0"/>
        <w:snapToGrid w:val="0"/>
        <w:spacing w:line="240" w:lineRule="atLeast"/>
        <w:ind w:firstLine="562" w:firstLineChars="200"/>
        <w:jc w:val="center"/>
        <w:rPr>
          <w:rFonts w:ascii="仿宋_GB2312" w:hAnsi="仿宋" w:eastAsia="仿宋_GB2312" w:cs="Times New Roman"/>
          <w:b/>
          <w:iCs/>
          <w:sz w:val="28"/>
          <w:szCs w:val="28"/>
          <w:lang w:bidi="en-US"/>
        </w:rPr>
      </w:pPr>
    </w:p>
    <w:p>
      <w:pPr>
        <w:jc w:val="center"/>
        <w:rPr>
          <w:rFonts w:ascii="仿宋_GB2312" w:hAnsi="仿宋" w:eastAsia="仿宋_GB2312" w:cs="Times New Roman"/>
          <w:b/>
          <w:iCs/>
          <w:sz w:val="28"/>
          <w:szCs w:val="28"/>
        </w:rPr>
      </w:pPr>
      <w:r>
        <w:rPr>
          <w:rFonts w:ascii="仿宋_GB2312" w:hAnsi="仿宋" w:eastAsia="仿宋_GB2312" w:cs="Times New Roman"/>
          <w:b/>
          <w:iCs/>
          <w:sz w:val="28"/>
          <w:szCs w:val="28"/>
          <w:lang w:bidi="en-US"/>
        </w:rPr>
        <w:br w:type="page"/>
      </w:r>
      <w:r>
        <w:rPr>
          <w:rFonts w:hint="eastAsia" w:ascii="仿宋_GB2312" w:hAnsi="仿宋" w:eastAsia="仿宋_GB2312" w:cs="Times New Roman"/>
          <w:b/>
          <w:iCs/>
          <w:sz w:val="28"/>
          <w:szCs w:val="21"/>
        </w:rPr>
        <w:t>表</w:t>
      </w:r>
      <w:r>
        <w:rPr>
          <w:rFonts w:ascii="仿宋_GB2312" w:hAnsi="仿宋" w:eastAsia="仿宋_GB2312" w:cs="Times New Roman"/>
          <w:b/>
          <w:iCs/>
          <w:sz w:val="28"/>
          <w:szCs w:val="21"/>
        </w:rPr>
        <w:t>1</w:t>
      </w:r>
      <w:r>
        <w:rPr>
          <w:rFonts w:hint="eastAsia" w:ascii="仿宋_GB2312" w:hAnsi="仿宋" w:eastAsia="仿宋_GB2312" w:cs="Times New Roman"/>
          <w:b/>
          <w:iCs/>
          <w:sz w:val="28"/>
          <w:szCs w:val="21"/>
        </w:rPr>
        <w:t xml:space="preserve">-2  </w:t>
      </w:r>
      <w:r>
        <w:rPr>
          <w:rFonts w:hint="eastAsia" w:ascii="仿宋_GB2312" w:hAnsi="仿宋" w:eastAsia="仿宋_GB2312" w:cs="Times New Roman"/>
          <w:b/>
          <w:iCs/>
          <w:sz w:val="28"/>
          <w:szCs w:val="28"/>
          <w:lang w:bidi="en-US"/>
        </w:rPr>
        <w:t>吐鲁番市</w:t>
      </w:r>
      <w:r>
        <w:rPr>
          <w:rFonts w:hint="eastAsia" w:ascii="仿宋_GB2312" w:hAnsi="仿宋" w:eastAsia="仿宋_GB2312" w:cs="Times New Roman"/>
          <w:b/>
          <w:iCs/>
          <w:sz w:val="28"/>
          <w:szCs w:val="28"/>
        </w:rPr>
        <w:t>总体管控要求</w:t>
      </w:r>
    </w:p>
    <w:tbl>
      <w:tblPr>
        <w:tblStyle w:val="37"/>
        <w:tblW w:w="210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9752"/>
        <w:gridCol w:w="3261"/>
        <w:gridCol w:w="6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271" w:type="dxa"/>
            <w:vMerge w:val="restart"/>
            <w:vAlign w:val="center"/>
          </w:tcPr>
          <w:p>
            <w:pPr>
              <w:adjustRightInd w:val="0"/>
              <w:snapToGrid w:val="0"/>
              <w:jc w:val="center"/>
              <w:rPr>
                <w:rFonts w:ascii="仿宋_GB2312" w:hAnsi="仿宋" w:eastAsia="仿宋_GB2312" w:cs="仿宋"/>
                <w:b/>
                <w:bCs/>
              </w:rPr>
            </w:pPr>
            <w:r>
              <w:rPr>
                <w:rFonts w:hint="eastAsia" w:ascii="仿宋_GB2312" w:hAnsi="仿宋" w:eastAsia="仿宋_GB2312" w:cs="仿宋"/>
                <w:b/>
                <w:bCs/>
              </w:rPr>
              <w:t>管控类别</w:t>
            </w:r>
          </w:p>
        </w:tc>
        <w:tc>
          <w:tcPr>
            <w:tcW w:w="9752" w:type="dxa"/>
            <w:vMerge w:val="restart"/>
            <w:vAlign w:val="center"/>
          </w:tcPr>
          <w:p>
            <w:pPr>
              <w:adjustRightInd w:val="0"/>
              <w:snapToGrid w:val="0"/>
              <w:jc w:val="center"/>
              <w:rPr>
                <w:rFonts w:ascii="仿宋_GB2312" w:hAnsi="仿宋" w:eastAsia="仿宋_GB2312" w:cs="仿宋"/>
                <w:b/>
                <w:bCs/>
              </w:rPr>
            </w:pPr>
            <w:r>
              <w:rPr>
                <w:rFonts w:hint="eastAsia" w:ascii="仿宋_GB2312" w:hAnsi="仿宋" w:eastAsia="仿宋_GB2312" w:cs="仿宋"/>
                <w:b/>
                <w:bCs/>
              </w:rPr>
              <w:t>总体管控要求</w:t>
            </w:r>
          </w:p>
        </w:tc>
        <w:tc>
          <w:tcPr>
            <w:tcW w:w="10070" w:type="dxa"/>
            <w:gridSpan w:val="2"/>
            <w:vAlign w:val="center"/>
          </w:tcPr>
          <w:p>
            <w:pPr>
              <w:adjustRightInd w:val="0"/>
              <w:snapToGrid w:val="0"/>
              <w:jc w:val="center"/>
              <w:rPr>
                <w:rFonts w:ascii="仿宋_GB2312" w:hAnsi="仿宋" w:eastAsia="仿宋_GB2312" w:cs="仿宋"/>
                <w:b/>
                <w:bCs/>
              </w:rPr>
            </w:pPr>
            <w:r>
              <w:rPr>
                <w:rFonts w:hint="eastAsia" w:ascii="仿宋_GB2312" w:hAnsi="仿宋" w:eastAsia="仿宋_GB2312" w:cs="Times New Roman"/>
                <w:b/>
                <w:bCs/>
              </w:rPr>
              <w:t>管控来源及依据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271" w:type="dxa"/>
            <w:vMerge w:val="continue"/>
            <w:vAlign w:val="center"/>
          </w:tcPr>
          <w:p>
            <w:pPr>
              <w:adjustRightInd w:val="0"/>
              <w:snapToGrid w:val="0"/>
              <w:jc w:val="center"/>
              <w:rPr>
                <w:rFonts w:ascii="仿宋_GB2312" w:hAnsi="仿宋" w:eastAsia="仿宋_GB2312" w:cs="仿宋"/>
                <w:b/>
                <w:bCs/>
              </w:rPr>
            </w:pPr>
          </w:p>
        </w:tc>
        <w:tc>
          <w:tcPr>
            <w:tcW w:w="9752" w:type="dxa"/>
            <w:vMerge w:val="continue"/>
            <w:vAlign w:val="center"/>
          </w:tcPr>
          <w:p>
            <w:pPr>
              <w:adjustRightInd w:val="0"/>
              <w:snapToGrid w:val="0"/>
              <w:rPr>
                <w:rFonts w:ascii="仿宋_GB2312" w:hAnsi="仿宋" w:eastAsia="仿宋_GB2312" w:cs="仿宋"/>
                <w:b/>
                <w:bCs/>
              </w:rPr>
            </w:pPr>
          </w:p>
        </w:tc>
        <w:tc>
          <w:tcPr>
            <w:tcW w:w="3261" w:type="dxa"/>
            <w:vAlign w:val="center"/>
          </w:tcPr>
          <w:p>
            <w:pPr>
              <w:adjustRightInd w:val="0"/>
              <w:snapToGrid w:val="0"/>
              <w:jc w:val="center"/>
              <w:rPr>
                <w:rFonts w:ascii="仿宋_GB2312" w:hAnsi="仿宋" w:eastAsia="仿宋_GB2312" w:cs="Times New Roman"/>
                <w:b/>
                <w:bCs/>
              </w:rPr>
            </w:pPr>
            <w:r>
              <w:rPr>
                <w:rFonts w:hint="eastAsia" w:ascii="仿宋_GB2312" w:hAnsi="仿宋" w:eastAsia="仿宋_GB2312" w:cs="Times New Roman"/>
                <w:b/>
                <w:bCs/>
              </w:rPr>
              <w:t>重大环境问题</w:t>
            </w:r>
          </w:p>
        </w:tc>
        <w:tc>
          <w:tcPr>
            <w:tcW w:w="6809" w:type="dxa"/>
            <w:vAlign w:val="center"/>
          </w:tcPr>
          <w:p>
            <w:pPr>
              <w:adjustRightInd w:val="0"/>
              <w:snapToGrid w:val="0"/>
              <w:jc w:val="center"/>
              <w:rPr>
                <w:rFonts w:ascii="仿宋_GB2312" w:hAnsi="仿宋" w:eastAsia="仿宋_GB2312" w:cs="Times New Roman"/>
                <w:b/>
                <w:bCs/>
              </w:rPr>
            </w:pPr>
            <w:r>
              <w:rPr>
                <w:rFonts w:hint="eastAsia" w:ascii="仿宋_GB2312" w:hAnsi="仿宋" w:eastAsia="仿宋_GB2312" w:cs="Times New Roman"/>
                <w:b/>
                <w:bCs/>
              </w:rPr>
              <w:t>相关文件依据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restart"/>
            <w:vAlign w:val="center"/>
          </w:tcPr>
          <w:p>
            <w:pPr>
              <w:adjustRightInd w:val="0"/>
              <w:snapToGrid w:val="0"/>
              <w:jc w:val="center"/>
              <w:rPr>
                <w:rFonts w:ascii="仿宋_GB2312" w:hAnsi="仿宋" w:eastAsia="仿宋_GB2312" w:cs="仿宋"/>
                <w:bCs/>
              </w:rPr>
            </w:pPr>
            <w:r>
              <w:rPr>
                <w:rFonts w:hint="eastAsia" w:ascii="仿宋_GB2312" w:hAnsi="仿宋" w:eastAsia="仿宋_GB2312" w:cs="仿宋"/>
                <w:bCs/>
              </w:rPr>
              <w:t>空间布局</w:t>
            </w:r>
          </w:p>
          <w:p>
            <w:pPr>
              <w:adjustRightInd w:val="0"/>
              <w:snapToGrid w:val="0"/>
              <w:jc w:val="center"/>
              <w:rPr>
                <w:rFonts w:ascii="仿宋_GB2312" w:hAnsi="仿宋" w:eastAsia="仿宋_GB2312" w:cs="仿宋"/>
                <w:bCs/>
              </w:rPr>
            </w:pPr>
            <w:r>
              <w:rPr>
                <w:rFonts w:hint="eastAsia" w:ascii="仿宋_GB2312" w:hAnsi="仿宋" w:eastAsia="仿宋_GB2312" w:cs="仿宋"/>
                <w:bCs/>
              </w:rPr>
              <w:t>约束</w:t>
            </w:r>
          </w:p>
        </w:tc>
        <w:tc>
          <w:tcPr>
            <w:tcW w:w="9752" w:type="dxa"/>
            <w:vAlign w:val="center"/>
          </w:tcPr>
          <w:p>
            <w:pPr>
              <w:adjustRightInd w:val="0"/>
              <w:snapToGrid w:val="0"/>
              <w:rPr>
                <w:rFonts w:ascii="仿宋_GB2312" w:hAnsi="仿宋" w:eastAsia="仿宋_GB2312" w:cs="仿宋"/>
              </w:rPr>
            </w:pPr>
            <w:r>
              <w:rPr>
                <w:rFonts w:hint="eastAsia" w:ascii="仿宋_GB2312" w:hAnsi="仿宋" w:eastAsia="仿宋_GB2312" w:cs="仿宋"/>
              </w:rPr>
              <w:t>1</w:t>
            </w:r>
            <w:r>
              <w:rPr>
                <w:rFonts w:ascii="仿宋_GB2312" w:hAnsi="仿宋" w:eastAsia="仿宋_GB2312" w:cs="仿宋"/>
              </w:rPr>
              <w:t>.1严格执行自治区总体准入要求、自治区七大片区分区总体要求</w:t>
            </w:r>
            <w:r>
              <w:rPr>
                <w:rFonts w:hint="eastAsia" w:ascii="仿宋_GB2312" w:hAnsi="仿宋" w:eastAsia="仿宋_GB2312" w:cs="仿宋"/>
              </w:rPr>
              <w:t>以及吐哈片区管控要求中关于“空间布局约束”的各项要求。</w:t>
            </w:r>
          </w:p>
        </w:tc>
        <w:tc>
          <w:tcPr>
            <w:tcW w:w="3261" w:type="dxa"/>
            <w:vAlign w:val="center"/>
          </w:tcPr>
          <w:p>
            <w:pPr>
              <w:adjustRightInd w:val="0"/>
              <w:snapToGrid w:val="0"/>
              <w:rPr>
                <w:rFonts w:ascii="仿宋_GB2312" w:hAnsi="仿宋" w:eastAsia="仿宋_GB2312" w:cs="仿宋"/>
                <w:bCs/>
              </w:rPr>
            </w:pPr>
          </w:p>
        </w:tc>
        <w:tc>
          <w:tcPr>
            <w:tcW w:w="6809" w:type="dxa"/>
            <w:vAlign w:val="center"/>
          </w:tcPr>
          <w:p>
            <w:pPr>
              <w:adjustRightInd w:val="0"/>
              <w:snapToGrid w:val="0"/>
              <w:rPr>
                <w:rFonts w:ascii="仿宋_GB2312" w:hAnsi="仿宋" w:eastAsia="仿宋_GB2312" w:cs="Times New Roman"/>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rPr>
            </w:pPr>
            <w:r>
              <w:rPr>
                <w:rFonts w:hint="eastAsia" w:ascii="仿宋_GB2312" w:hAnsi="仿宋" w:eastAsia="仿宋_GB2312" w:cs="仿宋"/>
                <w:bCs/>
              </w:rPr>
              <w:t>1.</w:t>
            </w:r>
            <w:r>
              <w:rPr>
                <w:rFonts w:ascii="仿宋_GB2312" w:hAnsi="仿宋" w:eastAsia="仿宋_GB2312" w:cs="仿宋"/>
                <w:bCs/>
              </w:rPr>
              <w:t>2</w:t>
            </w:r>
            <w:r>
              <w:rPr>
                <w:rFonts w:hint="eastAsia" w:ascii="仿宋_GB2312" w:hAnsi="仿宋" w:eastAsia="仿宋_GB2312" w:cs="仿宋"/>
                <w:bCs/>
              </w:rPr>
              <w:t>禁止各类保护地的矿产资源开发，禁止优先保护单元等生态敏感区域的大规模的矿产资源开发。</w:t>
            </w:r>
          </w:p>
        </w:tc>
        <w:tc>
          <w:tcPr>
            <w:tcW w:w="3261" w:type="dxa"/>
            <w:vAlign w:val="center"/>
          </w:tcPr>
          <w:p>
            <w:pPr>
              <w:adjustRightInd w:val="0"/>
              <w:snapToGrid w:val="0"/>
              <w:rPr>
                <w:rFonts w:ascii="仿宋_GB2312" w:hAnsi="仿宋" w:eastAsia="仿宋_GB2312" w:cs="仿宋"/>
                <w:bCs/>
              </w:rPr>
            </w:pPr>
            <w:r>
              <w:rPr>
                <w:rFonts w:hint="eastAsia" w:ascii="仿宋_GB2312" w:hAnsi="仿宋" w:eastAsia="仿宋_GB2312" w:cs="仿宋"/>
                <w:bCs/>
              </w:rPr>
              <w:t>矿产资源丰富，但矿产资源开发与生态环境保护存在矛盾</w:t>
            </w:r>
          </w:p>
        </w:tc>
        <w:tc>
          <w:tcPr>
            <w:tcW w:w="6809" w:type="dxa"/>
            <w:vAlign w:val="center"/>
          </w:tcPr>
          <w:p>
            <w:pPr>
              <w:adjustRightInd w:val="0"/>
              <w:snapToGrid w:val="0"/>
              <w:rPr>
                <w:rFonts w:ascii="仿宋_GB2312" w:hAnsi="仿宋" w:eastAsia="仿宋_GB2312" w:cs="Times New Roman"/>
                <w:bCs/>
              </w:rPr>
            </w:pPr>
            <w:r>
              <w:rPr>
                <w:rFonts w:hint="eastAsia" w:ascii="仿宋_GB2312" w:hAnsi="仿宋" w:eastAsia="仿宋_GB2312" w:cs="Times New Roman"/>
                <w:bCs/>
              </w:rPr>
              <w:t>《中华人民共和国环境保护法》</w:t>
            </w:r>
          </w:p>
          <w:p>
            <w:pPr>
              <w:adjustRightInd w:val="0"/>
              <w:snapToGrid w:val="0"/>
              <w:rPr>
                <w:rFonts w:ascii="仿宋_GB2312" w:hAnsi="仿宋" w:eastAsia="仿宋_GB2312" w:cs="Times New Roman"/>
                <w:bCs/>
              </w:rPr>
            </w:pPr>
            <w:r>
              <w:rPr>
                <w:rFonts w:hint="eastAsia" w:ascii="仿宋_GB2312" w:hAnsi="仿宋" w:eastAsia="仿宋_GB2312" w:cs="Times New Roman"/>
                <w:bCs/>
              </w:rPr>
              <w:t>《中华人民共和国自然保护区条例》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rPr>
            </w:pPr>
            <w:r>
              <w:rPr>
                <w:rFonts w:hint="eastAsia" w:ascii="仿宋_GB2312" w:hAnsi="仿宋" w:eastAsia="仿宋_GB2312" w:cs="仿宋"/>
                <w:bCs/>
              </w:rPr>
              <w:t>1.</w:t>
            </w:r>
            <w:r>
              <w:rPr>
                <w:rFonts w:ascii="仿宋_GB2312" w:hAnsi="仿宋" w:eastAsia="仿宋_GB2312" w:cs="仿宋"/>
                <w:bCs/>
              </w:rPr>
              <w:t>3</w:t>
            </w:r>
            <w:r>
              <w:rPr>
                <w:rFonts w:hint="eastAsia" w:ascii="仿宋_GB2312" w:hAnsi="仿宋" w:eastAsia="仿宋_GB2312" w:cs="仿宋"/>
                <w:bCs/>
                <w:lang w:bidi="en-US"/>
              </w:rPr>
              <w:t>禁止在源头水区域内进行污染环境的任何开发建设活动，现行法律、法规明确豁免的开发建设活动除外；禁止在源头水周围建设重化工、涉重金属等工业污染项目；除改善水质为目的治理工程、重要生境保护与修复、水土流失治理工程、专项河湖整治工程等之外，禁止进行大规模对水环境造成影响的国土资源开发和经济活动。</w:t>
            </w:r>
          </w:p>
        </w:tc>
        <w:tc>
          <w:tcPr>
            <w:tcW w:w="3261" w:type="dxa"/>
            <w:vAlign w:val="center"/>
          </w:tcPr>
          <w:p>
            <w:pPr>
              <w:adjustRightInd w:val="0"/>
              <w:snapToGrid w:val="0"/>
              <w:jc w:val="center"/>
              <w:rPr>
                <w:rFonts w:ascii="仿宋_GB2312" w:hAnsi="仿宋" w:eastAsia="仿宋_GB2312" w:cs="仿宋"/>
                <w:bCs/>
              </w:rPr>
            </w:pPr>
            <w:r>
              <w:rPr>
                <w:rFonts w:hint="eastAsia" w:ascii="仿宋_GB2312" w:hAnsi="仿宋" w:eastAsia="仿宋_GB2312" w:cs="仿宋"/>
                <w:bCs/>
              </w:rPr>
              <w:t>水资源短缺、艾丁湖湖面萎缩</w:t>
            </w:r>
          </w:p>
        </w:tc>
        <w:tc>
          <w:tcPr>
            <w:tcW w:w="6809" w:type="dxa"/>
            <w:vAlign w:val="center"/>
          </w:tcPr>
          <w:p>
            <w:pPr>
              <w:adjustRightInd w:val="0"/>
              <w:snapToGrid w:val="0"/>
              <w:rPr>
                <w:rFonts w:ascii="仿宋_GB2312" w:hAnsi="仿宋" w:eastAsia="仿宋_GB2312" w:cs="Times New Roman"/>
                <w:bCs/>
              </w:rPr>
            </w:pPr>
            <w:r>
              <w:rPr>
                <w:rFonts w:ascii="Times New Roman" w:hAnsi="Times New Roman" w:eastAsia="仿宋_GB2312" w:cs="Times New Roman"/>
                <w:bCs/>
                <w:lang w:bidi="en-US"/>
              </w:rPr>
              <w:t>《新疆维吾尔自治区环境保护条例》、《吐鲁番市用水总量控制实施方案》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1.</w:t>
            </w:r>
            <w:r>
              <w:rPr>
                <w:rFonts w:ascii="仿宋_GB2312" w:hAnsi="仿宋" w:eastAsia="仿宋_GB2312" w:cs="仿宋"/>
                <w:bCs/>
                <w:lang w:bidi="en-US"/>
              </w:rPr>
              <w:t>4</w:t>
            </w:r>
            <w:r>
              <w:rPr>
                <w:rFonts w:hint="eastAsia" w:ascii="仿宋_GB2312" w:hAnsi="仿宋" w:eastAsia="仿宋_GB2312" w:cs="仿宋"/>
                <w:bCs/>
                <w:lang w:bidi="en-US"/>
              </w:rPr>
              <w:t>禁止新建、扩建《产业结构调整指导目录（</w:t>
            </w:r>
            <w:r>
              <w:rPr>
                <w:rFonts w:ascii="仿宋_GB2312" w:hAnsi="仿宋" w:eastAsia="仿宋_GB2312" w:cs="仿宋"/>
                <w:bCs/>
                <w:lang w:bidi="en-US"/>
              </w:rPr>
              <w:t>2019年本）》中</w:t>
            </w:r>
            <w:r>
              <w:rPr>
                <w:rFonts w:hint="eastAsia" w:ascii="仿宋_GB2312" w:hAnsi="仿宋" w:eastAsia="仿宋_GB2312" w:cs="仿宋"/>
                <w:bCs/>
                <w:lang w:bidi="en-US"/>
              </w:rPr>
              <w:t>限制类、</w:t>
            </w:r>
            <w:r>
              <w:rPr>
                <w:rFonts w:ascii="仿宋_GB2312" w:hAnsi="仿宋" w:eastAsia="仿宋_GB2312" w:cs="仿宋"/>
                <w:bCs/>
                <w:lang w:bidi="en-US"/>
              </w:rPr>
              <w:t>淘汰类项目。禁止引入《市场准入负面清单（2019年版）》禁止准入类事项。除国家规划项目外，</w:t>
            </w:r>
            <w:r>
              <w:rPr>
                <w:rFonts w:hint="eastAsia" w:ascii="仿宋_GB2312" w:hAnsi="仿宋" w:eastAsia="仿宋_GB2312" w:cs="仿宋"/>
                <w:bCs/>
                <w:lang w:bidi="en-US"/>
              </w:rPr>
              <w:t>禁止</w:t>
            </w:r>
            <w:r>
              <w:rPr>
                <w:rFonts w:ascii="仿宋_GB2312" w:hAnsi="仿宋" w:eastAsia="仿宋_GB2312" w:cs="仿宋"/>
                <w:bCs/>
                <w:lang w:bidi="en-US"/>
              </w:rPr>
              <w:t>新</w:t>
            </w:r>
            <w:r>
              <w:rPr>
                <w:rFonts w:hint="eastAsia" w:ascii="仿宋_GB2312" w:hAnsi="仿宋" w:eastAsia="仿宋_GB2312" w:cs="仿宋"/>
                <w:bCs/>
                <w:lang w:bidi="en-US"/>
              </w:rPr>
              <w:t>建、扩</w:t>
            </w:r>
            <w:r>
              <w:rPr>
                <w:rFonts w:ascii="仿宋_GB2312" w:hAnsi="仿宋" w:eastAsia="仿宋_GB2312" w:cs="仿宋"/>
                <w:bCs/>
                <w:lang w:bidi="en-US"/>
              </w:rPr>
              <w:t>建</w:t>
            </w:r>
            <w:r>
              <w:rPr>
                <w:rFonts w:hint="eastAsia" w:ascii="仿宋_GB2312" w:hAnsi="仿宋" w:eastAsia="仿宋_GB2312" w:cs="仿宋"/>
                <w:bCs/>
                <w:lang w:bidi="en-US"/>
              </w:rPr>
              <w:t>、改建“</w:t>
            </w:r>
            <w:r>
              <w:rPr>
                <w:rFonts w:ascii="仿宋_GB2312" w:hAnsi="仿宋" w:eastAsia="仿宋_GB2312" w:cs="仿宋"/>
                <w:bCs/>
                <w:lang w:bidi="en-US"/>
              </w:rPr>
              <w:t>三高</w:t>
            </w:r>
            <w:r>
              <w:rPr>
                <w:rFonts w:hint="eastAsia" w:eastAsia="仿宋_GB2312" w:cs="仿宋"/>
                <w:bCs/>
                <w:lang w:bidi="en-US"/>
              </w:rPr>
              <w:t>”</w:t>
            </w:r>
            <w:r>
              <w:rPr>
                <w:rFonts w:ascii="仿宋_GB2312" w:hAnsi="仿宋" w:eastAsia="仿宋_GB2312" w:cs="仿宋"/>
                <w:bCs/>
                <w:lang w:bidi="en-US"/>
              </w:rPr>
              <w:t>项目</w:t>
            </w:r>
            <w:r>
              <w:rPr>
                <w:rFonts w:hint="eastAsia" w:ascii="仿宋_GB2312" w:hAnsi="仿宋" w:eastAsia="仿宋_GB2312" w:cs="仿宋"/>
                <w:bCs/>
                <w:lang w:bidi="en-US"/>
              </w:rPr>
              <w:t>。</w:t>
            </w:r>
          </w:p>
        </w:tc>
        <w:tc>
          <w:tcPr>
            <w:tcW w:w="3261" w:type="dxa"/>
            <w:vAlign w:val="center"/>
          </w:tcPr>
          <w:p>
            <w:pPr>
              <w:adjustRightInd w:val="0"/>
              <w:snapToGrid w:val="0"/>
              <w:jc w:val="center"/>
              <w:rPr>
                <w:rFonts w:ascii="仿宋_GB2312" w:hAnsi="仿宋" w:eastAsia="仿宋_GB2312" w:cs="仿宋"/>
                <w:bCs/>
                <w:lang w:bidi="en-US"/>
              </w:rPr>
            </w:pPr>
          </w:p>
        </w:tc>
        <w:tc>
          <w:tcPr>
            <w:tcW w:w="6809"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《产业结构调整指导目录（</w:t>
            </w:r>
            <w:r>
              <w:rPr>
                <w:rFonts w:ascii="仿宋_GB2312" w:hAnsi="仿宋" w:eastAsia="仿宋_GB2312" w:cs="仿宋"/>
                <w:bCs/>
                <w:lang w:bidi="en-US"/>
              </w:rPr>
              <w:t>2019年本）》《市场准入负面清单（2019年版）》、《自治区严禁“三高”项目进新疆推动经济高质量发展实施方案》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1.</w:t>
            </w:r>
            <w:r>
              <w:rPr>
                <w:rFonts w:ascii="仿宋_GB2312" w:hAnsi="仿宋" w:eastAsia="仿宋_GB2312" w:cs="仿宋"/>
                <w:bCs/>
                <w:lang w:bidi="en-US"/>
              </w:rPr>
              <w:t>5</w:t>
            </w:r>
            <w:r>
              <w:rPr>
                <w:rFonts w:hint="eastAsia" w:ascii="仿宋_GB2312" w:hAnsi="仿宋" w:eastAsia="仿宋_GB2312" w:cs="仿宋"/>
                <w:bCs/>
                <w:lang w:bidi="en-US"/>
              </w:rPr>
              <w:t>大气弱扩散区禁止新建、扩建原油加工、天然气加工、油母页岩提炼原油、煤制原油及其他石油制品、煤化工、炼焦、煤炭热解、电石、除单纯混合和分装外的化学原料制造、化学品制造、炼钢、炼铁、金属冶炼等三类工业项目，现有三类工业项目改建不得增加污染物排放总量。</w:t>
            </w:r>
          </w:p>
        </w:tc>
        <w:tc>
          <w:tcPr>
            <w:tcW w:w="3261" w:type="dxa"/>
            <w:vMerge w:val="restart"/>
            <w:vAlign w:val="center"/>
          </w:tcPr>
          <w:p>
            <w:pPr>
              <w:adjustRightInd w:val="0"/>
              <w:snapToGrid w:val="0"/>
              <w:jc w:val="center"/>
              <w:rPr>
                <w:rFonts w:ascii="仿宋_GB2312" w:hAnsi="仿宋" w:eastAsia="仿宋_GB2312" w:cs="仿宋"/>
                <w:bCs/>
              </w:rPr>
            </w:pPr>
            <w:r>
              <w:rPr>
                <w:rFonts w:hint="eastAsia" w:ascii="仿宋_GB2312" w:hAnsi="仿宋" w:eastAsia="仿宋_GB2312" w:cs="仿宋"/>
                <w:bCs/>
              </w:rPr>
              <w:t>大气环境质量超标</w:t>
            </w:r>
          </w:p>
        </w:tc>
        <w:tc>
          <w:tcPr>
            <w:tcW w:w="6809" w:type="dxa"/>
            <w:vMerge w:val="restart"/>
            <w:vAlign w:val="center"/>
          </w:tcPr>
          <w:p>
            <w:pPr>
              <w:adjustRightInd w:val="0"/>
              <w:snapToGrid w:val="0"/>
              <w:rPr>
                <w:rFonts w:ascii="仿宋_GB2312" w:hAnsi="仿宋" w:eastAsia="仿宋_GB2312" w:cs="Times New Roman"/>
                <w:bCs/>
                <w:lang w:bidi="en-US"/>
              </w:rPr>
            </w:pPr>
            <w:r>
              <w:rPr>
                <w:rFonts w:hint="eastAsia" w:ascii="仿宋_GB2312" w:hAnsi="仿宋" w:eastAsia="仿宋_GB2312" w:cs="Times New Roman"/>
                <w:bCs/>
                <w:lang w:bidi="en-US"/>
              </w:rPr>
              <w:t>吐鲁番市大气环境质量底线专题</w:t>
            </w:r>
          </w:p>
          <w:p>
            <w:pPr>
              <w:adjustRightInd w:val="0"/>
              <w:snapToGrid w:val="0"/>
              <w:rPr>
                <w:rFonts w:ascii="仿宋_GB2312" w:hAnsi="仿宋" w:eastAsia="仿宋_GB2312" w:cs="Times New Roman"/>
                <w:bCs/>
                <w:lang w:bidi="en-US"/>
              </w:rPr>
            </w:pPr>
            <w:r>
              <w:rPr>
                <w:rFonts w:hint="eastAsia" w:ascii="仿宋_GB2312" w:hAnsi="仿宋" w:eastAsia="仿宋_GB2312" w:cs="Times New Roman"/>
                <w:bCs/>
                <w:lang w:bidi="en-US"/>
              </w:rPr>
              <w:t>《吐鲁番市挥发性有机物污染防治实施方案（</w:t>
            </w:r>
            <w:r>
              <w:rPr>
                <w:rFonts w:ascii="仿宋_GB2312" w:hAnsi="仿宋" w:eastAsia="仿宋_GB2312" w:cs="Times New Roman"/>
                <w:bCs/>
                <w:lang w:bidi="en-US"/>
              </w:rPr>
              <w:t>2019-2022）》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1.</w:t>
            </w:r>
            <w:r>
              <w:rPr>
                <w:rFonts w:ascii="仿宋_GB2312" w:hAnsi="仿宋" w:eastAsia="仿宋_GB2312" w:cs="仿宋"/>
                <w:bCs/>
                <w:lang w:bidi="en-US"/>
              </w:rPr>
              <w:t>6</w:t>
            </w:r>
            <w:r>
              <w:rPr>
                <w:rFonts w:hint="eastAsia" w:ascii="仿宋_GB2312" w:hAnsi="仿宋" w:eastAsia="仿宋_GB2312" w:cs="仿宋"/>
                <w:bCs/>
                <w:lang w:bidi="en-US"/>
              </w:rPr>
              <w:t>城镇居民集中区域禁止新、改、扩建原油加工、天然气加工、油母页岩提炼原油、煤制原油及其他石油制品、煤化工、炼焦、煤炭热解、电石、除单纯混合和分装外的化学原料制造、化学品制造、炼钢、炼铁、金属冶炼等三类工业项目；禁止新建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仿宋" w:eastAsia="仿宋_GB2312" w:cs="仿宋"/>
                <w:bCs/>
                <w:lang w:bidi="en-US"/>
              </w:rPr>
              <w:t>涉气二类工业项目。</w:t>
            </w:r>
          </w:p>
        </w:tc>
        <w:tc>
          <w:tcPr>
            <w:tcW w:w="3261" w:type="dxa"/>
            <w:vMerge w:val="continue"/>
            <w:vAlign w:val="center"/>
          </w:tcPr>
          <w:p>
            <w:pPr>
              <w:adjustRightInd w:val="0"/>
              <w:snapToGrid w:val="0"/>
              <w:jc w:val="center"/>
              <w:rPr>
                <w:rFonts w:ascii="仿宋_GB2312" w:hAnsi="仿宋" w:eastAsia="仿宋_GB2312" w:cs="仿宋"/>
                <w:bCs/>
              </w:rPr>
            </w:pPr>
          </w:p>
        </w:tc>
        <w:tc>
          <w:tcPr>
            <w:tcW w:w="6809" w:type="dxa"/>
            <w:vMerge w:val="continue"/>
            <w:vAlign w:val="center"/>
          </w:tcPr>
          <w:p>
            <w:pPr>
              <w:adjustRightInd w:val="0"/>
              <w:snapToGrid w:val="0"/>
              <w:rPr>
                <w:rFonts w:ascii="仿宋_GB2312" w:hAnsi="仿宋"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1.</w:t>
            </w:r>
            <w:r>
              <w:rPr>
                <w:rFonts w:ascii="仿宋_GB2312" w:hAnsi="仿宋" w:eastAsia="仿宋_GB2312" w:cs="仿宋"/>
                <w:bCs/>
                <w:lang w:bidi="en-US"/>
              </w:rPr>
              <w:t>7</w:t>
            </w:r>
            <w:r>
              <w:rPr>
                <w:rFonts w:hint="eastAsia" w:ascii="仿宋_GB2312" w:hAnsi="仿宋" w:eastAsia="仿宋_GB2312" w:cs="仿宋"/>
                <w:bCs/>
                <w:lang w:bidi="en-US"/>
              </w:rPr>
              <w:t>推动项目集聚发展，石油化工、煤化工、焦化、制药、印染等重点行业需布设在依法设立的产业园区内，并符合园区的规划和规划环评</w:t>
            </w:r>
            <w:r>
              <w:rPr>
                <w:rFonts w:ascii="仿宋_GB2312" w:hAnsi="仿宋" w:eastAsia="仿宋_GB2312" w:cs="仿宋"/>
                <w:bCs/>
                <w:lang w:bidi="en-US"/>
              </w:rPr>
              <w:t>。</w:t>
            </w:r>
          </w:p>
        </w:tc>
        <w:tc>
          <w:tcPr>
            <w:tcW w:w="3261" w:type="dxa"/>
            <w:vMerge w:val="continue"/>
            <w:vAlign w:val="center"/>
          </w:tcPr>
          <w:p>
            <w:pPr>
              <w:adjustRightInd w:val="0"/>
              <w:snapToGrid w:val="0"/>
              <w:jc w:val="center"/>
              <w:rPr>
                <w:rFonts w:ascii="仿宋_GB2312" w:hAnsi="仿宋" w:eastAsia="仿宋_GB2312" w:cs="仿宋"/>
                <w:bCs/>
              </w:rPr>
            </w:pPr>
          </w:p>
        </w:tc>
        <w:tc>
          <w:tcPr>
            <w:tcW w:w="6809" w:type="dxa"/>
            <w:vMerge w:val="continue"/>
            <w:vAlign w:val="center"/>
          </w:tcPr>
          <w:p>
            <w:pPr>
              <w:adjustRightInd w:val="0"/>
              <w:snapToGrid w:val="0"/>
              <w:rPr>
                <w:rFonts w:ascii="仿宋_GB2312" w:hAnsi="仿宋"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ascii="仿宋_GB2312" w:hAnsi="仿宋" w:eastAsia="仿宋_GB2312" w:cs="仿宋"/>
                <w:bCs/>
                <w:lang w:bidi="en-US"/>
              </w:rPr>
              <w:t>1.8</w:t>
            </w:r>
            <w:r>
              <w:rPr>
                <w:rFonts w:hint="eastAsia" w:ascii="仿宋_GB2312" w:hAnsi="仿宋" w:eastAsia="仿宋_GB2312" w:cs="仿宋"/>
                <w:bCs/>
                <w:lang w:bidi="en-US"/>
              </w:rPr>
              <w:t>合理布局工业、商业、居住、科教等功能区块，严格控制噪声、废气、恶臭等影响较大的建设项目布局于居住、科教等功能区块。</w:t>
            </w:r>
          </w:p>
        </w:tc>
        <w:tc>
          <w:tcPr>
            <w:tcW w:w="3261" w:type="dxa"/>
            <w:vAlign w:val="center"/>
          </w:tcPr>
          <w:p>
            <w:pPr>
              <w:adjustRightInd w:val="0"/>
              <w:snapToGrid w:val="0"/>
              <w:jc w:val="center"/>
              <w:rPr>
                <w:rFonts w:ascii="仿宋_GB2312" w:hAnsi="仿宋" w:eastAsia="仿宋_GB2312" w:cs="仿宋"/>
                <w:bCs/>
              </w:rPr>
            </w:pPr>
          </w:p>
        </w:tc>
        <w:tc>
          <w:tcPr>
            <w:tcW w:w="6809"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lang w:bidi="en-US"/>
              </w:rPr>
              <w:t>《吐鲁番市大气环境质量限期达标规划》</w:t>
            </w:r>
          </w:p>
          <w:p>
            <w:pPr>
              <w:adjustRightInd w:val="0"/>
              <w:snapToGrid w:val="0"/>
              <w:rPr>
                <w:rFonts w:ascii="仿宋_GB2312" w:hAnsi="仿宋" w:eastAsia="仿宋_GB2312" w:cs="仿宋"/>
                <w:lang w:bidi="en-US"/>
              </w:rPr>
            </w:pPr>
            <w:r>
              <w:rPr>
                <w:rFonts w:hint="eastAsia" w:ascii="仿宋_GB2312" w:hAnsi="仿宋" w:eastAsia="仿宋_GB2312" w:cs="仿宋"/>
                <w:lang w:bidi="en-US"/>
              </w:rPr>
              <w:t>《吐鲁番市打赢蓝天保卫战三年行动计划实施方案（2018-2020）》</w:t>
            </w:r>
          </w:p>
          <w:p>
            <w:pPr>
              <w:adjustRightInd w:val="0"/>
              <w:snapToGrid w:val="0"/>
              <w:rPr>
                <w:rFonts w:ascii="仿宋_GB2312" w:hAnsi="仿宋" w:eastAsia="仿宋_GB2312" w:cs="Times New Roman"/>
                <w:bCs/>
                <w:lang w:bidi="en-US"/>
              </w:rPr>
            </w:pPr>
            <w:r>
              <w:rPr>
                <w:rFonts w:hint="eastAsia" w:ascii="仿宋_GB2312" w:hAnsi="仿宋" w:eastAsia="仿宋_GB2312" w:cs="仿宋"/>
                <w:lang w:bidi="en-US"/>
              </w:rPr>
              <w:t>《吐鲁番市生态环境保护“十四五”规划》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1.</w:t>
            </w:r>
            <w:r>
              <w:rPr>
                <w:rFonts w:ascii="仿宋_GB2312" w:hAnsi="仿宋" w:eastAsia="仿宋_GB2312" w:cs="仿宋"/>
                <w:bCs/>
                <w:lang w:bidi="en-US"/>
              </w:rPr>
              <w:t>9</w:t>
            </w:r>
            <w:r>
              <w:rPr>
                <w:rFonts w:hint="eastAsia" w:ascii="仿宋_GB2312" w:hAnsi="仿宋" w:eastAsia="仿宋_GB2312" w:cs="仿宋"/>
                <w:bCs/>
                <w:lang w:bidi="en-US"/>
              </w:rPr>
              <w:t>严格控制新增燃煤电厂项目建设，严格控制燃煤机组新增装机规模，城市建成区不再新建35蒸吨/小时以下的燃煤锅炉，其他地区禁止新建10蒸吨/小时以下燃煤锅炉。严禁新增钢铁、水泥、平板玻璃等产能严重过剩行业的新建项目，严格控制多晶硅、聚氯乙烯等行业的新增产能项目。</w:t>
            </w:r>
          </w:p>
        </w:tc>
        <w:tc>
          <w:tcPr>
            <w:tcW w:w="3261" w:type="dxa"/>
            <w:vAlign w:val="center"/>
          </w:tcPr>
          <w:p>
            <w:pPr>
              <w:adjustRightInd w:val="0"/>
              <w:snapToGrid w:val="0"/>
              <w:jc w:val="center"/>
              <w:rPr>
                <w:rFonts w:ascii="仿宋_GB2312" w:hAnsi="仿宋" w:eastAsia="仿宋_GB2312" w:cs="仿宋"/>
                <w:bCs/>
              </w:rPr>
            </w:pPr>
            <w:r>
              <w:rPr>
                <w:rFonts w:hint="eastAsia" w:ascii="仿宋_GB2312" w:hAnsi="仿宋" w:eastAsia="仿宋_GB2312" w:cs="仿宋"/>
                <w:bCs/>
              </w:rPr>
              <w:t>大气环境质量超标</w:t>
            </w:r>
          </w:p>
        </w:tc>
        <w:tc>
          <w:tcPr>
            <w:tcW w:w="6809" w:type="dxa"/>
            <w:vMerge w:val="continue"/>
            <w:vAlign w:val="center"/>
          </w:tcPr>
          <w:p>
            <w:pPr>
              <w:adjustRightInd w:val="0"/>
              <w:snapToGrid w:val="0"/>
              <w:rPr>
                <w:rFonts w:ascii="仿宋_GB2312" w:hAnsi="仿宋" w:eastAsia="仿宋_GB2312" w:cs="仿宋"/>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1.</w:t>
            </w:r>
            <w:r>
              <w:rPr>
                <w:rFonts w:ascii="仿宋_GB2312" w:hAnsi="仿宋" w:eastAsia="仿宋_GB2312" w:cs="仿宋"/>
                <w:bCs/>
                <w:lang w:bidi="en-US"/>
              </w:rPr>
              <w:t>10</w:t>
            </w:r>
            <w:r>
              <w:rPr>
                <w:rFonts w:hint="eastAsia" w:ascii="仿宋_GB2312" w:hAnsi="仿宋" w:eastAsia="仿宋_GB2312" w:cs="仿宋"/>
                <w:bCs/>
                <w:lang w:bidi="en-US"/>
              </w:rPr>
              <w:t>禁止新建非机械化开采的煤矿；禁止建设</w:t>
            </w:r>
            <w:r>
              <w:rPr>
                <w:rFonts w:ascii="仿宋_GB2312" w:hAnsi="仿宋" w:eastAsia="仿宋_GB2312" w:cs="仿宋"/>
                <w:bCs/>
                <w:lang w:bidi="en-US"/>
              </w:rPr>
              <w:t>45 万吨/年以下能力的改扩建矿井</w:t>
            </w:r>
            <w:r>
              <w:rPr>
                <w:rFonts w:hint="eastAsia" w:ascii="仿宋_GB2312" w:hAnsi="仿宋" w:eastAsia="仿宋_GB2312" w:cs="仿宋"/>
                <w:bCs/>
                <w:lang w:bidi="en-US"/>
              </w:rPr>
              <w:t>；</w:t>
            </w:r>
            <w:r>
              <w:rPr>
                <w:rFonts w:ascii="仿宋_GB2312" w:hAnsi="仿宋" w:eastAsia="仿宋_GB2312" w:cs="仿宋"/>
                <w:bCs/>
                <w:lang w:bidi="en-US"/>
              </w:rPr>
              <w:t>禁止新建120 万吨/年矿井及400 万吨/年露天以下规模的煤矿项目。</w:t>
            </w:r>
            <w:r>
              <w:rPr>
                <w:rFonts w:hint="eastAsia" w:ascii="仿宋_GB2312" w:hAnsi="仿宋" w:eastAsia="仿宋_GB2312" w:cs="仿宋"/>
                <w:bCs/>
                <w:lang w:bidi="en-US"/>
              </w:rPr>
              <w:t>有色金属年开采量不得少于</w:t>
            </w:r>
            <w:r>
              <w:rPr>
                <w:rFonts w:ascii="仿宋_GB2312" w:hAnsi="仿宋" w:eastAsia="仿宋_GB2312" w:cs="仿宋"/>
                <w:bCs/>
                <w:lang w:bidi="en-US"/>
              </w:rPr>
              <w:t>10</w:t>
            </w:r>
            <w:r>
              <w:rPr>
                <w:rFonts w:hint="eastAsia" w:ascii="仿宋_GB2312" w:hAnsi="仿宋" w:eastAsia="仿宋_GB2312" w:cs="仿宋"/>
                <w:bCs/>
                <w:lang w:bidi="en-US"/>
              </w:rPr>
              <w:t>万吨/年。砂石料矿统一规划、集中开采。</w:t>
            </w:r>
          </w:p>
        </w:tc>
        <w:tc>
          <w:tcPr>
            <w:tcW w:w="3261" w:type="dxa"/>
            <w:vAlign w:val="center"/>
          </w:tcPr>
          <w:p>
            <w:pPr>
              <w:adjustRightInd w:val="0"/>
              <w:snapToGrid w:val="0"/>
              <w:jc w:val="center"/>
              <w:rPr>
                <w:rFonts w:ascii="仿宋_GB2312" w:hAnsi="仿宋" w:eastAsia="仿宋_GB2312" w:cs="仿宋"/>
                <w:bCs/>
              </w:rPr>
            </w:pPr>
          </w:p>
        </w:tc>
        <w:tc>
          <w:tcPr>
            <w:tcW w:w="6809" w:type="dxa"/>
            <w:vAlign w:val="center"/>
          </w:tcPr>
          <w:p>
            <w:pPr>
              <w:adjustRightInd w:val="0"/>
              <w:snapToGrid w:val="0"/>
              <w:rPr>
                <w:rFonts w:ascii="仿宋_GB2312" w:hAnsi="仿宋" w:eastAsia="仿宋_GB2312" w:cs="仿宋"/>
                <w:lang w:bidi="en-US"/>
              </w:rPr>
            </w:pPr>
            <w:r>
              <w:rPr>
                <w:rFonts w:hint="eastAsia" w:ascii="仿宋_GB2312" w:hAnsi="仿宋" w:eastAsia="仿宋_GB2312" w:cs="仿宋"/>
                <w:lang w:bidi="en-US"/>
              </w:rPr>
              <w:t>《新疆维吾尔自治区矿产资源总体规划（2016-2020）》、《产业结构调整指导目录》（</w:t>
            </w:r>
            <w:r>
              <w:rPr>
                <w:rFonts w:ascii="仿宋_GB2312" w:hAnsi="仿宋" w:eastAsia="仿宋_GB2312" w:cs="仿宋"/>
                <w:lang w:bidi="en-US"/>
              </w:rPr>
              <w:t xml:space="preserve">2019年本）、《自治区严禁“三高项目进新疆推动经济高质量发展实施方案”》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1.</w:t>
            </w:r>
            <w:r>
              <w:rPr>
                <w:rFonts w:ascii="仿宋_GB2312" w:hAnsi="仿宋" w:eastAsia="仿宋_GB2312" w:cs="仿宋"/>
                <w:bCs/>
                <w:lang w:bidi="en-US"/>
              </w:rPr>
              <w:t>11</w:t>
            </w:r>
            <w:r>
              <w:rPr>
                <w:rFonts w:hint="eastAsia" w:ascii="仿宋_GB2312" w:hAnsi="仿宋" w:eastAsia="仿宋_GB2312" w:cs="仿宋"/>
                <w:bCs/>
                <w:lang w:bidi="en-US"/>
              </w:rPr>
              <w:t>严格控制新建化工、造纸、印染、煤炭采选、石油炼化等高耗水行业的项目，工艺废水能自身实现回用除外。</w:t>
            </w:r>
          </w:p>
        </w:tc>
        <w:tc>
          <w:tcPr>
            <w:tcW w:w="3261" w:type="dxa"/>
            <w:vAlign w:val="center"/>
          </w:tcPr>
          <w:p>
            <w:pPr>
              <w:adjustRightInd w:val="0"/>
              <w:snapToGrid w:val="0"/>
              <w:jc w:val="center"/>
              <w:rPr>
                <w:rFonts w:ascii="仿宋_GB2312" w:hAnsi="仿宋" w:eastAsia="仿宋_GB2312" w:cs="仿宋"/>
                <w:bCs/>
              </w:rPr>
            </w:pPr>
            <w:r>
              <w:rPr>
                <w:rFonts w:hint="eastAsia" w:ascii="仿宋_GB2312" w:hAnsi="Times New Roman" w:eastAsia="仿宋_GB2312" w:cs="Times New Roman"/>
                <w:lang w:bidi="en-US"/>
              </w:rPr>
              <w:t>水资源短缺、地下水超采</w:t>
            </w:r>
          </w:p>
        </w:tc>
        <w:tc>
          <w:tcPr>
            <w:tcW w:w="6809" w:type="dxa"/>
            <w:vAlign w:val="center"/>
          </w:tcPr>
          <w:p>
            <w:pPr>
              <w:adjustRightInd w:val="0"/>
              <w:snapToGrid w:val="0"/>
              <w:rPr>
                <w:rFonts w:ascii="仿宋_GB2312" w:hAnsi="仿宋" w:eastAsia="仿宋_GB2312" w:cs="仿宋"/>
                <w:lang w:bidi="en-US"/>
              </w:rPr>
            </w:pPr>
            <w:r>
              <w:rPr>
                <w:rFonts w:hint="eastAsia" w:ascii="仿宋_GB2312" w:hAnsi="仿宋" w:eastAsia="仿宋_GB2312" w:cs="仿宋"/>
                <w:lang w:bidi="en-US"/>
              </w:rPr>
              <w:t>《吐鲁番市生态环境保护“十四五”规划》、</w:t>
            </w:r>
            <w:r>
              <w:rPr>
                <w:rFonts w:ascii="Times New Roman" w:hAnsi="Times New Roman" w:eastAsia="仿宋_GB2312" w:cs="Times New Roman"/>
                <w:bCs/>
                <w:lang w:bidi="en-US"/>
              </w:rPr>
              <w:t>《吐鲁番市用水总量控制实施方案》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1.1</w:t>
            </w:r>
            <w:r>
              <w:rPr>
                <w:rFonts w:ascii="仿宋_GB2312" w:hAnsi="仿宋" w:eastAsia="仿宋_GB2312" w:cs="仿宋"/>
                <w:bCs/>
                <w:lang w:bidi="en-US"/>
              </w:rPr>
              <w:t>2</w:t>
            </w:r>
            <w:r>
              <w:rPr>
                <w:rFonts w:hint="eastAsia" w:ascii="仿宋_GB2312" w:hAnsi="仿宋" w:eastAsia="仿宋_GB2312" w:cs="仿宋"/>
                <w:bCs/>
                <w:lang w:bidi="en-US"/>
              </w:rPr>
              <w:t>加强坎儿井的保护。</w:t>
            </w:r>
            <w:r>
              <w:rPr>
                <w:rFonts w:ascii="仿宋_GB2312" w:hAnsi="仿宋" w:eastAsia="仿宋_GB2312" w:cs="仿宋"/>
                <w:bCs/>
                <w:lang w:bidi="en-US"/>
              </w:rPr>
              <w:t>在坎儿井所在地从事水资源开发利用活动，应当遵守坎儿井保护和利用规划，</w:t>
            </w:r>
            <w:r>
              <w:rPr>
                <w:rFonts w:hint="eastAsia" w:ascii="仿宋_GB2312" w:hAnsi="仿宋" w:eastAsia="仿宋_GB2312" w:cs="仿宋"/>
                <w:bCs/>
                <w:lang w:bidi="en-US"/>
              </w:rPr>
              <w:t>新建、扩建、改</w:t>
            </w:r>
            <w:r>
              <w:rPr>
                <w:rFonts w:ascii="仿宋_GB2312" w:hAnsi="仿宋" w:eastAsia="仿宋_GB2312" w:cs="仿宋"/>
                <w:bCs/>
                <w:lang w:bidi="en-US"/>
              </w:rPr>
              <w:t>建水库等控制性水利工程或者打机电井，应当对工程的建设和运行管理进行科学论证，避免对坎儿井水源造成影响。新</w:t>
            </w:r>
            <w:r>
              <w:rPr>
                <w:rFonts w:hint="eastAsia" w:ascii="仿宋_GB2312" w:hAnsi="仿宋" w:eastAsia="仿宋_GB2312" w:cs="仿宋"/>
                <w:bCs/>
                <w:lang w:bidi="en-US"/>
              </w:rPr>
              <w:t>建、扩建、改</w:t>
            </w:r>
            <w:r>
              <w:rPr>
                <w:rFonts w:ascii="仿宋_GB2312" w:hAnsi="仿宋" w:eastAsia="仿宋_GB2312" w:cs="仿宋"/>
                <w:bCs/>
                <w:lang w:bidi="en-US"/>
              </w:rPr>
              <w:t>建公路、铁路、输油输气管道以及石油、</w:t>
            </w:r>
            <w:r>
              <w:rPr>
                <w:rFonts w:hint="eastAsia" w:ascii="仿宋_GB2312" w:hAnsi="仿宋" w:eastAsia="仿宋_GB2312" w:cs="仿宋"/>
                <w:bCs/>
                <w:lang w:bidi="en-US"/>
              </w:rPr>
              <w:t>天然气</w:t>
            </w:r>
            <w:r>
              <w:rPr>
                <w:rFonts w:ascii="仿宋_GB2312" w:hAnsi="仿宋" w:eastAsia="仿宋_GB2312" w:cs="仿宋"/>
                <w:bCs/>
                <w:lang w:bidi="en-US"/>
              </w:rPr>
              <w:t>开采等各类工程，需要穿越、跨越坎儿井的，需对工程建设期间、运行过程中可能给坎儿井造成的危害进行论证，并制定坎儿井保护方案。</w:t>
            </w:r>
          </w:p>
        </w:tc>
        <w:tc>
          <w:tcPr>
            <w:tcW w:w="3261" w:type="dxa"/>
            <w:vAlign w:val="center"/>
          </w:tcPr>
          <w:p>
            <w:pPr>
              <w:adjustRightInd w:val="0"/>
              <w:snapToGrid w:val="0"/>
              <w:jc w:val="center"/>
              <w:rPr>
                <w:rFonts w:ascii="仿宋_GB2312" w:hAnsi="仿宋" w:eastAsia="仿宋_GB2312" w:cs="仿宋"/>
                <w:bCs/>
              </w:rPr>
            </w:pPr>
            <w:r>
              <w:rPr>
                <w:rFonts w:ascii="仿宋_GB2312" w:hAnsi="Times New Roman" w:eastAsia="仿宋_GB2312" w:cs="Times New Roman"/>
                <w:lang w:bidi="en-US"/>
              </w:rPr>
              <w:t>坎儿井急剧衰减</w:t>
            </w:r>
          </w:p>
        </w:tc>
        <w:tc>
          <w:tcPr>
            <w:tcW w:w="6809" w:type="dxa"/>
            <w:vAlign w:val="center"/>
          </w:tcPr>
          <w:p>
            <w:pPr>
              <w:adjustRightInd w:val="0"/>
              <w:snapToGrid w:val="0"/>
              <w:rPr>
                <w:rFonts w:ascii="仿宋_GB2312" w:hAnsi="仿宋" w:eastAsia="仿宋_GB2312" w:cs="仿宋"/>
                <w:lang w:bidi="en-US"/>
              </w:rPr>
            </w:pPr>
            <w:r>
              <w:rPr>
                <w:rFonts w:ascii="Times New Roman" w:hAnsi="Times New Roman" w:eastAsia="仿宋_GB2312" w:cs="Times New Roman"/>
                <w:lang w:bidi="en-US"/>
              </w:rPr>
              <w:t>《吐鲁番市水污染防治总体实施方案》、《新疆维吾尔自治区坎儿井保护条例》、《坎儿井地下水利工程保护规划（2020－2035）》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restart"/>
            <w:vAlign w:val="center"/>
          </w:tcPr>
          <w:p>
            <w:pPr>
              <w:adjustRightInd w:val="0"/>
              <w:snapToGrid w:val="0"/>
              <w:jc w:val="center"/>
              <w:rPr>
                <w:rFonts w:ascii="仿宋_GB2312" w:hAnsi="仿宋" w:eastAsia="仿宋_GB2312" w:cs="仿宋"/>
                <w:bCs/>
              </w:rPr>
            </w:pPr>
            <w:r>
              <w:rPr>
                <w:rFonts w:hint="eastAsia" w:ascii="仿宋_GB2312" w:hAnsi="仿宋" w:eastAsia="仿宋_GB2312" w:cs="仿宋"/>
                <w:bCs/>
              </w:rPr>
              <w:t>污染物</w:t>
            </w:r>
          </w:p>
          <w:p>
            <w:pPr>
              <w:adjustRightInd w:val="0"/>
              <w:snapToGrid w:val="0"/>
              <w:jc w:val="center"/>
              <w:rPr>
                <w:rFonts w:ascii="仿宋_GB2312" w:hAnsi="仿宋" w:eastAsia="仿宋_GB2312" w:cs="仿宋"/>
                <w:bCs/>
              </w:rPr>
            </w:pPr>
            <w:r>
              <w:rPr>
                <w:rFonts w:hint="eastAsia" w:ascii="仿宋_GB2312" w:hAnsi="仿宋" w:eastAsia="仿宋_GB2312" w:cs="仿宋"/>
                <w:bCs/>
              </w:rPr>
              <w:t>排放管控</w:t>
            </w:r>
          </w:p>
        </w:tc>
        <w:tc>
          <w:tcPr>
            <w:tcW w:w="9752" w:type="dxa"/>
            <w:vAlign w:val="center"/>
          </w:tcPr>
          <w:p>
            <w:pPr>
              <w:adjustRightInd w:val="0"/>
              <w:snapToGrid w:val="0"/>
              <w:rPr>
                <w:rFonts w:ascii="仿宋_GB2312" w:hAnsi="仿宋" w:eastAsia="仿宋_GB2312" w:cs="仿宋"/>
                <w:bCs/>
                <w:lang w:bidi="en-US"/>
              </w:rPr>
            </w:pPr>
            <w:r>
              <w:rPr>
                <w:rFonts w:ascii="仿宋_GB2312" w:hAnsi="仿宋" w:eastAsia="仿宋_GB2312" w:cs="仿宋"/>
              </w:rPr>
              <w:t>2.1严格执行自治区总体准入要求、自治区七大片区分区总体要求</w:t>
            </w:r>
            <w:r>
              <w:rPr>
                <w:rFonts w:hint="eastAsia" w:ascii="仿宋_GB2312" w:hAnsi="仿宋" w:eastAsia="仿宋_GB2312" w:cs="仿宋"/>
              </w:rPr>
              <w:t>以及吐哈片区管控要求中关于“污染物排放管控”的各项要求。</w:t>
            </w:r>
          </w:p>
        </w:tc>
        <w:tc>
          <w:tcPr>
            <w:tcW w:w="3261" w:type="dxa"/>
            <w:vAlign w:val="center"/>
          </w:tcPr>
          <w:p>
            <w:pPr>
              <w:adjustRightInd w:val="0"/>
              <w:snapToGrid w:val="0"/>
              <w:jc w:val="center"/>
              <w:rPr>
                <w:rFonts w:ascii="仿宋_GB2312" w:hAnsi="Times New Roman" w:eastAsia="仿宋_GB2312" w:cs="Times New Roman"/>
                <w:lang w:bidi="en-US"/>
              </w:rPr>
            </w:pPr>
          </w:p>
        </w:tc>
        <w:tc>
          <w:tcPr>
            <w:tcW w:w="6809" w:type="dxa"/>
            <w:vAlign w:val="center"/>
          </w:tcPr>
          <w:p>
            <w:pPr>
              <w:adjustRightInd w:val="0"/>
              <w:snapToGrid w:val="0"/>
              <w:rPr>
                <w:rFonts w:ascii="Times New Roman" w:hAnsi="Times New Roman" w:eastAsia="仿宋_GB2312" w:cs="Times New Roman"/>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tcBorders>
              <w:bottom w:val="single" w:color="auto" w:sz="4" w:space="0"/>
            </w:tcBorders>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2.</w:t>
            </w:r>
            <w:r>
              <w:rPr>
                <w:rFonts w:ascii="仿宋_GB2312" w:hAnsi="仿宋" w:eastAsia="仿宋_GB2312" w:cs="仿宋"/>
                <w:bCs/>
                <w:lang w:bidi="en-US"/>
              </w:rPr>
              <w:t>2新</w:t>
            </w:r>
            <w:r>
              <w:rPr>
                <w:rFonts w:hint="eastAsia" w:ascii="仿宋_GB2312" w:hAnsi="仿宋" w:eastAsia="仿宋_GB2312" w:cs="仿宋"/>
                <w:bCs/>
                <w:lang w:bidi="en-US"/>
              </w:rPr>
              <w:t>建、扩建、改</w:t>
            </w:r>
            <w:r>
              <w:rPr>
                <w:rFonts w:ascii="仿宋_GB2312" w:hAnsi="仿宋" w:eastAsia="仿宋_GB2312" w:cs="仿宋"/>
                <w:bCs/>
                <w:lang w:bidi="en-US"/>
              </w:rPr>
              <w:t>建</w:t>
            </w:r>
            <w:r>
              <w:rPr>
                <w:rFonts w:hint="eastAsia" w:ascii="仿宋_GB2312" w:hAnsi="仿宋" w:eastAsia="仿宋_GB2312" w:cs="仿宋"/>
                <w:bCs/>
                <w:lang w:bidi="en-US"/>
              </w:rPr>
              <w:t>项目新增</w:t>
            </w:r>
            <w:r>
              <w:rPr>
                <w:rFonts w:ascii="仿宋_GB2312" w:hAnsi="仿宋" w:eastAsia="仿宋_GB2312" w:cs="仿宋"/>
                <w:bCs/>
                <w:lang w:bidi="en-US"/>
              </w:rPr>
              <w:t>SO</w:t>
            </w:r>
            <w:r>
              <w:rPr>
                <w:rFonts w:ascii="仿宋_GB2312" w:hAnsi="仿宋" w:eastAsia="仿宋_GB2312" w:cs="仿宋"/>
                <w:bCs/>
                <w:vertAlign w:val="subscript"/>
                <w:lang w:bidi="en-US"/>
              </w:rPr>
              <w:t>2</w:t>
            </w:r>
            <w:r>
              <w:rPr>
                <w:rFonts w:ascii="仿宋_GB2312" w:hAnsi="仿宋" w:eastAsia="仿宋_GB2312" w:cs="仿宋"/>
                <w:bCs/>
                <w:lang w:bidi="en-US"/>
              </w:rPr>
              <w:t>、NO</w:t>
            </w:r>
            <w:r>
              <w:rPr>
                <w:rFonts w:ascii="仿宋_GB2312" w:hAnsi="仿宋" w:eastAsia="仿宋_GB2312" w:cs="仿宋"/>
                <w:bCs/>
                <w:vertAlign w:val="subscript"/>
                <w:lang w:bidi="en-US"/>
              </w:rPr>
              <w:t>X</w:t>
            </w:r>
            <w:r>
              <w:rPr>
                <w:rFonts w:ascii="仿宋_GB2312" w:hAnsi="仿宋" w:eastAsia="仿宋_GB2312" w:cs="仿宋"/>
                <w:bCs/>
                <w:lang w:bidi="en-US"/>
              </w:rPr>
              <w:t>、烟粉尘等大气污染物总量</w:t>
            </w:r>
            <w:r>
              <w:rPr>
                <w:rFonts w:hint="eastAsia" w:ascii="仿宋_GB2312" w:hAnsi="仿宋" w:eastAsia="仿宋_GB2312" w:cs="仿宋"/>
                <w:bCs/>
                <w:lang w:bidi="en-US"/>
              </w:rPr>
              <w:t>需实施削减</w:t>
            </w:r>
            <w:r>
              <w:rPr>
                <w:rFonts w:ascii="仿宋_GB2312" w:hAnsi="仿宋" w:eastAsia="仿宋_GB2312" w:cs="仿宋"/>
                <w:bCs/>
                <w:lang w:bidi="en-US"/>
              </w:rPr>
              <w:t>替代</w:t>
            </w:r>
            <w:r>
              <w:rPr>
                <w:rFonts w:hint="eastAsia" w:ascii="仿宋_GB2312" w:hAnsi="仿宋" w:eastAsia="仿宋_GB2312" w:cs="仿宋"/>
                <w:bCs/>
                <w:lang w:bidi="en-US"/>
              </w:rPr>
              <w:t>。</w:t>
            </w:r>
          </w:p>
        </w:tc>
        <w:tc>
          <w:tcPr>
            <w:tcW w:w="3261" w:type="dxa"/>
            <w:vMerge w:val="restart"/>
            <w:tcBorders>
              <w:bottom w:val="single" w:color="auto" w:sz="4" w:space="0"/>
            </w:tcBorders>
            <w:vAlign w:val="center"/>
          </w:tcPr>
          <w:p>
            <w:pPr>
              <w:tabs>
                <w:tab w:val="left" w:pos="0"/>
              </w:tabs>
              <w:adjustRightInd w:val="0"/>
              <w:snapToGrid w:val="0"/>
              <w:jc w:val="center"/>
              <w:rPr>
                <w:rFonts w:ascii="仿宋_GB2312" w:hAnsi="Times New Roman" w:eastAsia="仿宋_GB2312" w:cs="Times New Roman"/>
                <w:lang w:bidi="en-US"/>
              </w:rPr>
            </w:pPr>
            <w:r>
              <w:rPr>
                <w:rFonts w:hint="eastAsia" w:ascii="仿宋_GB2312" w:hAnsi="仿宋" w:eastAsia="仿宋_GB2312" w:cs="仿宋"/>
                <w:bCs/>
              </w:rPr>
              <w:t>大气环境质量超标</w:t>
            </w:r>
          </w:p>
        </w:tc>
        <w:tc>
          <w:tcPr>
            <w:tcW w:w="6809" w:type="dxa"/>
            <w:vMerge w:val="restart"/>
            <w:tcBorders>
              <w:bottom w:val="single" w:color="auto" w:sz="4" w:space="0"/>
            </w:tcBorders>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吐鲁番市大气环境质量底线专题</w:t>
            </w:r>
          </w:p>
          <w:p>
            <w:pPr>
              <w:adjustRightInd w:val="0"/>
              <w:snapToGrid w:val="0"/>
              <w:rPr>
                <w:rFonts w:ascii="仿宋_GB2312" w:hAnsi="仿宋" w:eastAsia="仿宋_GB2312" w:cs="仿宋"/>
                <w:lang w:bidi="en-US"/>
              </w:rPr>
            </w:pPr>
            <w:r>
              <w:rPr>
                <w:rFonts w:hint="eastAsia" w:ascii="仿宋_GB2312" w:hAnsi="仿宋" w:eastAsia="仿宋_GB2312" w:cs="仿宋"/>
                <w:lang w:bidi="en-US"/>
              </w:rPr>
              <w:t>《吐鲁番市大气环境质量限期达标规划》</w:t>
            </w:r>
          </w:p>
          <w:p>
            <w:pPr>
              <w:tabs>
                <w:tab w:val="left" w:pos="0"/>
              </w:tabs>
              <w:adjustRightInd w:val="0"/>
              <w:snapToGrid w:val="0"/>
              <w:rPr>
                <w:rFonts w:ascii="仿宋_GB2312" w:hAnsi="仿宋" w:eastAsia="仿宋_GB2312" w:cs="仿宋"/>
                <w:lang w:bidi="en-US"/>
              </w:rPr>
            </w:pPr>
            <w:r>
              <w:rPr>
                <w:rFonts w:hint="eastAsia" w:ascii="仿宋_GB2312" w:hAnsi="仿宋" w:eastAsia="仿宋_GB2312" w:cs="仿宋"/>
                <w:lang w:bidi="en-US"/>
              </w:rPr>
              <w:t>《吐鲁番市打赢蓝天保卫战三年行动计划实施方案（2018-2020）》</w:t>
            </w:r>
          </w:p>
          <w:p>
            <w:pPr>
              <w:tabs>
                <w:tab w:val="left" w:pos="0"/>
              </w:tabs>
              <w:adjustRightInd w:val="0"/>
              <w:snapToGrid w:val="0"/>
              <w:rPr>
                <w:rFonts w:ascii="仿宋_GB2312" w:hAnsi="仿宋" w:eastAsia="仿宋_GB2312" w:cs="仿宋"/>
                <w:lang w:bidi="en-US"/>
              </w:rPr>
            </w:pPr>
            <w:r>
              <w:rPr>
                <w:rFonts w:hint="eastAsia" w:ascii="仿宋_GB2312" w:hAnsi="仿宋" w:eastAsia="仿宋_GB2312" w:cs="仿宋"/>
                <w:lang w:bidi="en-US"/>
              </w:rPr>
              <w:t>《吐鲁番市生态环境保护“十四五”规划》</w:t>
            </w:r>
          </w:p>
          <w:p>
            <w:pPr>
              <w:tabs>
                <w:tab w:val="left" w:pos="0"/>
              </w:tabs>
              <w:adjustRightInd w:val="0"/>
              <w:snapToGrid w:val="0"/>
              <w:rPr>
                <w:rFonts w:ascii="Times New Roman" w:hAnsi="Times New Roman" w:eastAsia="仿宋_GB2312" w:cs="Times New Roman"/>
                <w:lang w:bidi="en-US"/>
              </w:rPr>
            </w:pPr>
            <w:r>
              <w:rPr>
                <w:rFonts w:hint="eastAsia" w:ascii="仿宋_GB2312" w:hAnsi="仿宋" w:eastAsia="仿宋_GB2312" w:cs="Times New Roman"/>
                <w:bCs/>
                <w:lang w:bidi="en-US"/>
              </w:rPr>
              <w:t>《吐鲁番市挥发性有机物污染防治实施方案（</w:t>
            </w:r>
            <w:r>
              <w:rPr>
                <w:rFonts w:ascii="仿宋_GB2312" w:hAnsi="仿宋" w:eastAsia="仿宋_GB2312" w:cs="Times New Roman"/>
                <w:bCs/>
                <w:lang w:bidi="en-US"/>
              </w:rPr>
              <w:t>2019-2022）》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2.</w:t>
            </w:r>
            <w:r>
              <w:rPr>
                <w:rFonts w:ascii="仿宋_GB2312" w:hAnsi="仿宋" w:eastAsia="仿宋_GB2312" w:cs="仿宋"/>
                <w:bCs/>
                <w:lang w:bidi="en-US"/>
              </w:rPr>
              <w:t>3</w:t>
            </w:r>
            <w:r>
              <w:rPr>
                <w:rFonts w:hint="eastAsia" w:ascii="仿宋_GB2312" w:hAnsi="仿宋" w:eastAsia="仿宋_GB2312" w:cs="仿宋"/>
                <w:bCs/>
                <w:lang w:bidi="en-US"/>
              </w:rPr>
              <w:t>实施</w:t>
            </w:r>
            <w:r>
              <w:rPr>
                <w:rFonts w:ascii="仿宋_GB2312" w:hAnsi="仿宋" w:eastAsia="仿宋_GB2312" w:cs="仿宋"/>
                <w:bCs/>
                <w:lang w:bidi="en-US"/>
              </w:rPr>
              <w:t>VOC</w:t>
            </w:r>
            <w:r>
              <w:rPr>
                <w:rFonts w:hint="eastAsia" w:ascii="仿宋_GB2312" w:hAnsi="仿宋" w:eastAsia="仿宋_GB2312" w:cs="仿宋"/>
                <w:bCs/>
                <w:lang w:bidi="en-US"/>
              </w:rPr>
              <w:t>s总量控制</w:t>
            </w:r>
            <w:r>
              <w:rPr>
                <w:rFonts w:ascii="仿宋_GB2312" w:hAnsi="仿宋" w:eastAsia="仿宋_GB2312" w:cs="仿宋"/>
                <w:bCs/>
                <w:lang w:bidi="en-US"/>
              </w:rPr>
              <w:t>，</w:t>
            </w:r>
            <w:r>
              <w:rPr>
                <w:rFonts w:hint="eastAsia" w:ascii="仿宋_GB2312" w:hAnsi="仿宋" w:eastAsia="仿宋_GB2312" w:cs="仿宋"/>
                <w:bCs/>
                <w:lang w:bidi="en-US"/>
              </w:rPr>
              <w:t>推进产业集聚区域的V</w:t>
            </w:r>
            <w:r>
              <w:rPr>
                <w:rFonts w:ascii="仿宋_GB2312" w:hAnsi="仿宋" w:eastAsia="仿宋_GB2312" w:cs="仿宋"/>
                <w:bCs/>
                <w:lang w:bidi="en-US"/>
              </w:rPr>
              <w:t>OC</w:t>
            </w:r>
            <w:r>
              <w:rPr>
                <w:rFonts w:hint="eastAsia" w:ascii="仿宋_GB2312" w:hAnsi="仿宋" w:eastAsia="仿宋_GB2312" w:cs="仿宋"/>
                <w:bCs/>
                <w:lang w:bidi="en-US"/>
              </w:rPr>
              <w:t>s治理，含有有机化学品储存企业深入开展泄漏检测与修复（L</w:t>
            </w:r>
            <w:r>
              <w:rPr>
                <w:rFonts w:ascii="仿宋_GB2312" w:hAnsi="仿宋" w:eastAsia="仿宋_GB2312" w:cs="仿宋"/>
                <w:bCs/>
                <w:lang w:bidi="en-US"/>
              </w:rPr>
              <w:t>DAR</w:t>
            </w:r>
            <w:r>
              <w:rPr>
                <w:rFonts w:hint="eastAsia" w:ascii="仿宋_GB2312" w:hAnsi="仿宋" w:eastAsia="仿宋_GB2312" w:cs="仿宋"/>
                <w:bCs/>
                <w:lang w:bidi="en-US"/>
              </w:rPr>
              <w:t>）技术改造</w:t>
            </w:r>
            <w:r>
              <w:rPr>
                <w:rFonts w:ascii="仿宋_GB2312" w:hAnsi="仿宋" w:eastAsia="仿宋_GB2312" w:cs="仿宋"/>
                <w:bCs/>
                <w:lang w:bidi="en-US"/>
              </w:rPr>
              <w:t>。</w:t>
            </w:r>
          </w:p>
        </w:tc>
        <w:tc>
          <w:tcPr>
            <w:tcW w:w="3261" w:type="dxa"/>
            <w:vMerge w:val="continue"/>
            <w:vAlign w:val="center"/>
          </w:tcPr>
          <w:p>
            <w:pPr>
              <w:tabs>
                <w:tab w:val="left" w:pos="0"/>
              </w:tabs>
              <w:adjustRightInd w:val="0"/>
              <w:snapToGrid w:val="0"/>
              <w:jc w:val="center"/>
              <w:rPr>
                <w:rFonts w:ascii="仿宋_GB2312" w:hAnsi="仿宋" w:eastAsia="仿宋_GB2312" w:cs="仿宋"/>
                <w:bCs/>
              </w:rPr>
            </w:pPr>
          </w:p>
        </w:tc>
        <w:tc>
          <w:tcPr>
            <w:tcW w:w="6809" w:type="dxa"/>
            <w:vMerge w:val="continue"/>
            <w:vAlign w:val="center"/>
          </w:tcPr>
          <w:p>
            <w:pPr>
              <w:tabs>
                <w:tab w:val="left" w:pos="0"/>
              </w:tabs>
              <w:adjustRightInd w:val="0"/>
              <w:snapToGrid w:val="0"/>
              <w:rPr>
                <w:rFonts w:ascii="仿宋_GB2312" w:hAnsi="仿宋"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2.</w:t>
            </w:r>
            <w:r>
              <w:rPr>
                <w:rFonts w:ascii="仿宋_GB2312" w:hAnsi="仿宋" w:eastAsia="仿宋_GB2312" w:cs="仿宋"/>
                <w:bCs/>
                <w:lang w:bidi="en-US"/>
              </w:rPr>
              <w:t>4严格控制大气环境布局敏感区和弱扩散区大气污染物排放总量，新建涉气项目按照规定实施大气污染物“减量替代”。</w:t>
            </w:r>
          </w:p>
        </w:tc>
        <w:tc>
          <w:tcPr>
            <w:tcW w:w="3261" w:type="dxa"/>
            <w:vMerge w:val="continue"/>
            <w:vAlign w:val="center"/>
          </w:tcPr>
          <w:p>
            <w:pPr>
              <w:tabs>
                <w:tab w:val="left" w:pos="0"/>
              </w:tabs>
              <w:adjustRightInd w:val="0"/>
              <w:snapToGrid w:val="0"/>
              <w:jc w:val="center"/>
              <w:rPr>
                <w:rFonts w:ascii="仿宋_GB2312" w:hAnsi="仿宋" w:eastAsia="仿宋_GB2312" w:cs="仿宋"/>
                <w:bCs/>
              </w:rPr>
            </w:pPr>
          </w:p>
        </w:tc>
        <w:tc>
          <w:tcPr>
            <w:tcW w:w="6809" w:type="dxa"/>
            <w:vMerge w:val="continue"/>
            <w:vAlign w:val="center"/>
          </w:tcPr>
          <w:p>
            <w:pPr>
              <w:tabs>
                <w:tab w:val="left" w:pos="0"/>
              </w:tabs>
              <w:adjustRightInd w:val="0"/>
              <w:snapToGrid w:val="0"/>
              <w:rPr>
                <w:rFonts w:ascii="仿宋_GB2312" w:hAnsi="仿宋"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2.</w:t>
            </w:r>
            <w:r>
              <w:rPr>
                <w:rFonts w:ascii="仿宋_GB2312" w:hAnsi="仿宋" w:eastAsia="仿宋_GB2312" w:cs="仿宋"/>
                <w:bCs/>
                <w:lang w:bidi="en-US"/>
              </w:rPr>
              <w:t>5</w:t>
            </w:r>
            <w:r>
              <w:rPr>
                <w:rFonts w:hint="eastAsia" w:ascii="仿宋_GB2312" w:hAnsi="仿宋" w:eastAsia="仿宋_GB2312" w:cs="仿宋"/>
                <w:bCs/>
                <w:lang w:bidi="en-US"/>
              </w:rPr>
              <w:t>加快推进火电、热电、钢铁、水泥等行业企业超低排放清洁化改造，提高除尘脱硫脱硝效率。推动“工业炉窑”清洁排放改造，工业炉窑依照法律法规和有关规定设置大气污染物排放口，并采取有效的废气治理措施，达到大气污染物排放标准。实施热电锅炉“并小上大”，大力推进“煤改气”、“煤改电”、“电化吐鲁番”工作，继续加大新能源的开发和利用，扩大光伏发电、风电规模和装机容量。</w:t>
            </w:r>
          </w:p>
        </w:tc>
        <w:tc>
          <w:tcPr>
            <w:tcW w:w="3261" w:type="dxa"/>
            <w:vMerge w:val="continue"/>
            <w:vAlign w:val="center"/>
          </w:tcPr>
          <w:p>
            <w:pPr>
              <w:tabs>
                <w:tab w:val="left" w:pos="0"/>
              </w:tabs>
              <w:adjustRightInd w:val="0"/>
              <w:snapToGrid w:val="0"/>
              <w:jc w:val="center"/>
              <w:rPr>
                <w:rFonts w:ascii="仿宋_GB2312" w:hAnsi="仿宋" w:eastAsia="仿宋_GB2312" w:cs="仿宋"/>
                <w:bCs/>
              </w:rPr>
            </w:pPr>
          </w:p>
        </w:tc>
        <w:tc>
          <w:tcPr>
            <w:tcW w:w="6809" w:type="dxa"/>
            <w:vMerge w:val="continue"/>
            <w:vAlign w:val="center"/>
          </w:tcPr>
          <w:p>
            <w:pPr>
              <w:tabs>
                <w:tab w:val="left" w:pos="0"/>
              </w:tabs>
              <w:adjustRightInd w:val="0"/>
              <w:snapToGrid w:val="0"/>
              <w:rPr>
                <w:rFonts w:ascii="仿宋_GB2312" w:hAnsi="仿宋"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2.6加快工业区外的“散乱污”企业搬迁升级改造，落实小产能置换办法，对“小散乱”石材企业的优化整合，积极引导石材企业技术改造。</w:t>
            </w:r>
          </w:p>
        </w:tc>
        <w:tc>
          <w:tcPr>
            <w:tcW w:w="3261" w:type="dxa"/>
            <w:vMerge w:val="continue"/>
            <w:vAlign w:val="center"/>
          </w:tcPr>
          <w:p>
            <w:pPr>
              <w:tabs>
                <w:tab w:val="left" w:pos="0"/>
              </w:tabs>
              <w:adjustRightInd w:val="0"/>
              <w:snapToGrid w:val="0"/>
              <w:jc w:val="center"/>
              <w:rPr>
                <w:rFonts w:ascii="仿宋_GB2312" w:hAnsi="仿宋" w:eastAsia="仿宋_GB2312" w:cs="仿宋"/>
                <w:bCs/>
              </w:rPr>
            </w:pPr>
          </w:p>
        </w:tc>
        <w:tc>
          <w:tcPr>
            <w:tcW w:w="6809" w:type="dxa"/>
            <w:vMerge w:val="continue"/>
            <w:vAlign w:val="center"/>
          </w:tcPr>
          <w:p>
            <w:pPr>
              <w:tabs>
                <w:tab w:val="left" w:pos="0"/>
              </w:tabs>
              <w:adjustRightInd w:val="0"/>
              <w:snapToGrid w:val="0"/>
              <w:rPr>
                <w:rFonts w:ascii="仿宋_GB2312" w:hAnsi="仿宋"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2.7加强机动车污染防治，启动非道路移动机械治理。</w:t>
            </w:r>
          </w:p>
        </w:tc>
        <w:tc>
          <w:tcPr>
            <w:tcW w:w="3261" w:type="dxa"/>
            <w:vMerge w:val="continue"/>
            <w:vAlign w:val="center"/>
          </w:tcPr>
          <w:p>
            <w:pPr>
              <w:tabs>
                <w:tab w:val="left" w:pos="0"/>
              </w:tabs>
              <w:adjustRightInd w:val="0"/>
              <w:snapToGrid w:val="0"/>
              <w:jc w:val="center"/>
              <w:rPr>
                <w:rFonts w:ascii="仿宋_GB2312" w:hAnsi="仿宋" w:eastAsia="仿宋_GB2312" w:cs="仿宋"/>
                <w:bCs/>
              </w:rPr>
            </w:pPr>
          </w:p>
        </w:tc>
        <w:tc>
          <w:tcPr>
            <w:tcW w:w="6809" w:type="dxa"/>
            <w:vMerge w:val="continue"/>
            <w:vAlign w:val="center"/>
          </w:tcPr>
          <w:p>
            <w:pPr>
              <w:tabs>
                <w:tab w:val="left" w:pos="0"/>
              </w:tabs>
              <w:adjustRightInd w:val="0"/>
              <w:snapToGrid w:val="0"/>
              <w:rPr>
                <w:rFonts w:ascii="仿宋_GB2312" w:hAnsi="仿宋"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2</w:t>
            </w:r>
            <w:r>
              <w:rPr>
                <w:rFonts w:ascii="仿宋_GB2312" w:hAnsi="仿宋" w:eastAsia="仿宋_GB2312" w:cs="仿宋"/>
                <w:bCs/>
                <w:lang w:bidi="en-US"/>
              </w:rPr>
              <w:t>.8加快</w:t>
            </w:r>
            <w:r>
              <w:rPr>
                <w:rFonts w:hint="eastAsia" w:ascii="仿宋_GB2312" w:hAnsi="仿宋" w:eastAsia="仿宋_GB2312" w:cs="仿宋"/>
                <w:bCs/>
                <w:lang w:bidi="en-US"/>
              </w:rPr>
              <w:t>矿山治理和</w:t>
            </w:r>
            <w:r>
              <w:rPr>
                <w:rFonts w:ascii="仿宋_GB2312" w:hAnsi="仿宋" w:eastAsia="仿宋_GB2312" w:cs="仿宋"/>
                <w:bCs/>
                <w:lang w:bidi="en-US"/>
              </w:rPr>
              <w:t>绿色</w:t>
            </w:r>
            <w:r>
              <w:rPr>
                <w:rFonts w:hint="eastAsia" w:ascii="仿宋_GB2312" w:hAnsi="仿宋" w:eastAsia="仿宋_GB2312" w:cs="仿宋"/>
                <w:bCs/>
                <w:lang w:bidi="en-US"/>
              </w:rPr>
              <w:t>矿</w:t>
            </w:r>
            <w:r>
              <w:rPr>
                <w:rFonts w:ascii="仿宋_GB2312" w:hAnsi="仿宋" w:eastAsia="仿宋_GB2312" w:cs="仿宋"/>
                <w:bCs/>
                <w:lang w:bidi="en-US"/>
              </w:rPr>
              <w:t>山建设进程，新矿按照绿色标准生产</w:t>
            </w:r>
            <w:r>
              <w:rPr>
                <w:rFonts w:hint="eastAsia" w:ascii="仿宋_GB2312" w:hAnsi="仿宋" w:eastAsia="仿宋_GB2312" w:cs="仿宋"/>
                <w:bCs/>
                <w:lang w:bidi="en-US"/>
              </w:rPr>
              <w:t>，</w:t>
            </w:r>
            <w:r>
              <w:rPr>
                <w:rFonts w:ascii="仿宋_GB2312" w:hAnsi="仿宋" w:eastAsia="仿宋_GB2312" w:cs="仿宋"/>
                <w:bCs/>
                <w:lang w:bidi="en-US"/>
              </w:rPr>
              <w:t>加快改造升级，逐步达到要求</w:t>
            </w:r>
            <w:r>
              <w:rPr>
                <w:rFonts w:hint="eastAsia" w:ascii="仿宋_GB2312" w:hAnsi="仿宋" w:eastAsia="仿宋_GB2312" w:cs="仿宋"/>
                <w:bCs/>
                <w:lang w:bidi="en-US"/>
              </w:rPr>
              <w:t>。</w:t>
            </w:r>
            <w:r>
              <w:rPr>
                <w:rFonts w:ascii="仿宋_GB2312" w:hAnsi="仿宋" w:eastAsia="仿宋_GB2312" w:cs="仿宋"/>
                <w:bCs/>
                <w:lang w:bidi="en-US"/>
              </w:rPr>
              <w:t>强化矿山地质环境保护</w:t>
            </w:r>
            <w:r>
              <w:rPr>
                <w:rFonts w:hint="eastAsia" w:ascii="仿宋_GB2312" w:hAnsi="仿宋" w:eastAsia="仿宋_GB2312" w:cs="仿宋"/>
                <w:bCs/>
                <w:lang w:bidi="en-US"/>
              </w:rPr>
              <w:t>。</w:t>
            </w:r>
          </w:p>
        </w:tc>
        <w:tc>
          <w:tcPr>
            <w:tcW w:w="3261" w:type="dxa"/>
            <w:vAlign w:val="center"/>
          </w:tcPr>
          <w:p>
            <w:pPr>
              <w:tabs>
                <w:tab w:val="left" w:pos="0"/>
              </w:tabs>
              <w:adjustRightInd w:val="0"/>
              <w:snapToGrid w:val="0"/>
              <w:jc w:val="center"/>
              <w:rPr>
                <w:rFonts w:ascii="仿宋_GB2312" w:hAnsi="仿宋" w:eastAsia="仿宋_GB2312" w:cs="仿宋"/>
                <w:bCs/>
              </w:rPr>
            </w:pPr>
            <w:r>
              <w:rPr>
                <w:rFonts w:hint="eastAsia" w:ascii="仿宋_GB2312" w:hAnsi="仿宋" w:eastAsia="仿宋_GB2312" w:cs="仿宋"/>
                <w:bCs/>
              </w:rPr>
              <w:t>矿产资源开发与生态环境保护存在矛盾</w:t>
            </w:r>
          </w:p>
        </w:tc>
        <w:tc>
          <w:tcPr>
            <w:tcW w:w="6809" w:type="dxa"/>
            <w:vAlign w:val="center"/>
          </w:tcPr>
          <w:p>
            <w:pPr>
              <w:tabs>
                <w:tab w:val="left" w:pos="0"/>
              </w:tabs>
              <w:adjustRightInd w:val="0"/>
              <w:snapToGrid w:val="0"/>
              <w:rPr>
                <w:rFonts w:ascii="仿宋_GB2312" w:hAnsi="仿宋" w:eastAsia="仿宋_GB2312" w:cs="Times New Roman"/>
                <w:bCs/>
                <w:lang w:bidi="en-US"/>
              </w:rPr>
            </w:pPr>
            <w:r>
              <w:rPr>
                <w:rFonts w:hint="eastAsia" w:ascii="仿宋_GB2312" w:hAnsi="仿宋" w:eastAsia="仿宋_GB2312" w:cs="仿宋"/>
                <w:lang w:bidi="en-US"/>
              </w:rPr>
              <w:t>《吐鲁番市生态环境保护“十四五”规划》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2</w:t>
            </w:r>
            <w:r>
              <w:rPr>
                <w:rFonts w:ascii="仿宋_GB2312" w:hAnsi="仿宋" w:eastAsia="仿宋_GB2312" w:cs="仿宋"/>
                <w:bCs/>
                <w:lang w:bidi="en-US"/>
              </w:rPr>
              <w:t>.9</w:t>
            </w:r>
            <w:r>
              <w:rPr>
                <w:rFonts w:hint="eastAsia" w:ascii="仿宋_GB2312" w:hAnsi="仿宋" w:eastAsia="仿宋_GB2312" w:cs="仿宋"/>
                <w:bCs/>
                <w:lang w:bidi="en-US"/>
              </w:rPr>
              <w:t>加强天然林保护，加强防护林建设，开展绿洲外围的荒漠区生态治理和绿洲内部退化林修复；推进“两滩”绿化建设，加强分布在山前、沙漠、绿洲外围的荒漠灌木林保护；全面实施退耕还林（草），控制水土流失，增强涵养水源，保护生物多样性；荒漠区域加强防风固沙工程建设，采取封沙育林育草。</w:t>
            </w:r>
          </w:p>
        </w:tc>
        <w:tc>
          <w:tcPr>
            <w:tcW w:w="3261" w:type="dxa"/>
            <w:vAlign w:val="center"/>
          </w:tcPr>
          <w:p>
            <w:pPr>
              <w:tabs>
                <w:tab w:val="left" w:pos="0"/>
              </w:tabs>
              <w:adjustRightInd w:val="0"/>
              <w:snapToGrid w:val="0"/>
              <w:jc w:val="center"/>
              <w:rPr>
                <w:rFonts w:ascii="仿宋_GB2312" w:hAnsi="仿宋" w:eastAsia="仿宋_GB2312" w:cs="仿宋"/>
                <w:bCs/>
              </w:rPr>
            </w:pPr>
            <w:r>
              <w:rPr>
                <w:rFonts w:hint="eastAsia" w:ascii="仿宋_GB2312" w:hAnsi="仿宋" w:eastAsia="仿宋_GB2312" w:cs="仿宋"/>
                <w:bCs/>
              </w:rPr>
              <w:t>荒漠化面积减少，但局部荒漠化程度加深</w:t>
            </w:r>
          </w:p>
        </w:tc>
        <w:tc>
          <w:tcPr>
            <w:tcW w:w="6809" w:type="dxa"/>
            <w:vAlign w:val="center"/>
          </w:tcPr>
          <w:p>
            <w:pPr>
              <w:adjustRightInd w:val="0"/>
              <w:snapToGrid w:val="0"/>
              <w:rPr>
                <w:rFonts w:ascii="仿宋_GB2312" w:hAnsi="仿宋"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2.</w:t>
            </w:r>
            <w:r>
              <w:rPr>
                <w:rFonts w:ascii="仿宋_GB2312" w:hAnsi="仿宋" w:eastAsia="仿宋_GB2312" w:cs="仿宋"/>
                <w:bCs/>
                <w:lang w:bidi="en-US"/>
              </w:rPr>
              <w:t>10</w:t>
            </w:r>
            <w:r>
              <w:rPr>
                <w:rFonts w:hint="eastAsia" w:ascii="仿宋_GB2312" w:hAnsi="仿宋" w:eastAsia="仿宋_GB2312" w:cs="仿宋"/>
                <w:bCs/>
                <w:lang w:bidi="en-US"/>
              </w:rPr>
              <w:t>推进农业农村污染防治，防治畜禽养殖污染，科学规划布局畜禽养殖，配套建设粪便污水贮存、处理、利用设施，</w:t>
            </w:r>
            <w:r>
              <w:rPr>
                <w:rFonts w:ascii="仿宋_GB2312" w:hAnsi="仿宋" w:eastAsia="仿宋_GB2312" w:cs="仿宋"/>
                <w:bCs/>
                <w:lang w:bidi="en-US"/>
              </w:rPr>
              <w:t>新</w:t>
            </w:r>
            <w:r>
              <w:rPr>
                <w:rFonts w:hint="eastAsia" w:ascii="仿宋_GB2312" w:hAnsi="仿宋" w:eastAsia="仿宋_GB2312" w:cs="仿宋"/>
                <w:bCs/>
                <w:lang w:bidi="en-US"/>
              </w:rPr>
              <w:t>建、扩建、改</w:t>
            </w:r>
            <w:r>
              <w:rPr>
                <w:rFonts w:ascii="仿宋_GB2312" w:hAnsi="仿宋" w:eastAsia="仿宋_GB2312" w:cs="仿宋"/>
                <w:bCs/>
                <w:lang w:bidi="en-US"/>
              </w:rPr>
              <w:t>建</w:t>
            </w:r>
            <w:r>
              <w:rPr>
                <w:rFonts w:hint="eastAsia" w:ascii="仿宋_GB2312" w:hAnsi="仿宋" w:eastAsia="仿宋_GB2312" w:cs="仿宋"/>
                <w:bCs/>
                <w:lang w:bidi="en-US"/>
              </w:rPr>
              <w:t>规模化畜禽养殖场（小区）要实施雨污分流、粪便污水资源化利用；控制农业面源污染，控制农田化肥农药使用量，大力发展生态循环农业，加快推广测土配方施肥、安全用药、绿色防控、农业废弃物资源化利用等农业清洁生产技术与装备；优化种植业结构与布局；加快农村环境综合整治。</w:t>
            </w:r>
          </w:p>
        </w:tc>
        <w:tc>
          <w:tcPr>
            <w:tcW w:w="3261" w:type="dxa"/>
            <w:vAlign w:val="center"/>
          </w:tcPr>
          <w:p>
            <w:pPr>
              <w:tabs>
                <w:tab w:val="left" w:pos="0"/>
              </w:tabs>
              <w:adjustRightInd w:val="0"/>
              <w:snapToGrid w:val="0"/>
              <w:jc w:val="center"/>
              <w:rPr>
                <w:rFonts w:ascii="仿宋_GB2312" w:hAnsi="仿宋" w:eastAsia="仿宋_GB2312" w:cs="仿宋"/>
                <w:bCs/>
              </w:rPr>
            </w:pPr>
          </w:p>
        </w:tc>
        <w:tc>
          <w:tcPr>
            <w:tcW w:w="6809" w:type="dxa"/>
            <w:vAlign w:val="center"/>
          </w:tcPr>
          <w:p>
            <w:pPr>
              <w:tabs>
                <w:tab w:val="left" w:pos="0"/>
              </w:tabs>
              <w:adjustRightInd w:val="0"/>
              <w:snapToGrid w:val="0"/>
              <w:rPr>
                <w:rFonts w:ascii="仿宋_GB2312" w:hAnsi="仿宋" w:eastAsia="仿宋_GB2312" w:cs="Times New Roman"/>
                <w:bCs/>
                <w:lang w:bidi="en-US"/>
              </w:rPr>
            </w:pPr>
            <w:r>
              <w:rPr>
                <w:rFonts w:hint="eastAsia" w:ascii="仿宋_GB2312" w:hAnsi="仿宋" w:eastAsia="仿宋_GB2312" w:cs="Times New Roman"/>
                <w:bCs/>
                <w:lang w:bidi="en-US"/>
              </w:rPr>
              <w:t>《新疆维吾尔自治区水污染防治工作方案》</w:t>
            </w:r>
          </w:p>
          <w:p>
            <w:pPr>
              <w:tabs>
                <w:tab w:val="left" w:pos="0"/>
              </w:tabs>
              <w:adjustRightInd w:val="0"/>
              <w:snapToGrid w:val="0"/>
              <w:rPr>
                <w:rFonts w:ascii="仿宋_GB2312" w:hAnsi="仿宋" w:eastAsia="仿宋_GB2312" w:cs="Times New Roman"/>
                <w:bCs/>
                <w:lang w:bidi="en-US"/>
              </w:rPr>
            </w:pPr>
            <w:r>
              <w:rPr>
                <w:rFonts w:hint="eastAsia" w:ascii="仿宋_GB2312" w:hAnsi="仿宋" w:eastAsia="仿宋_GB2312" w:cs="Times New Roman"/>
                <w:bCs/>
                <w:lang w:bidi="en-US"/>
              </w:rPr>
              <w:t>《吐鲁番市水污染防治总体实施方案》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2.</w:t>
            </w:r>
            <w:r>
              <w:rPr>
                <w:rFonts w:ascii="仿宋_GB2312" w:hAnsi="仿宋" w:eastAsia="仿宋_GB2312" w:cs="仿宋"/>
                <w:bCs/>
                <w:lang w:bidi="en-US"/>
              </w:rPr>
              <w:t>11</w:t>
            </w:r>
            <w:r>
              <w:rPr>
                <w:rFonts w:hint="eastAsia" w:ascii="仿宋_GB2312" w:hAnsi="仿宋" w:eastAsia="仿宋_GB2312" w:cs="仿宋"/>
                <w:bCs/>
                <w:lang w:bidi="en-US"/>
              </w:rPr>
              <w:t>严格按照《新疆维吾尔自治区坎儿井保护条例》对区域内坎儿井进行保护，禁止向坎儿井水源、明渠、蓄水池倾倒废污水、垃圾等废弃物。</w:t>
            </w:r>
          </w:p>
        </w:tc>
        <w:tc>
          <w:tcPr>
            <w:tcW w:w="3261" w:type="dxa"/>
            <w:vAlign w:val="center"/>
          </w:tcPr>
          <w:p>
            <w:pPr>
              <w:tabs>
                <w:tab w:val="left" w:pos="0"/>
              </w:tabs>
              <w:adjustRightInd w:val="0"/>
              <w:snapToGrid w:val="0"/>
              <w:jc w:val="center"/>
              <w:rPr>
                <w:rFonts w:ascii="仿宋_GB2312" w:hAnsi="仿宋" w:eastAsia="仿宋_GB2312" w:cs="仿宋"/>
                <w:bCs/>
              </w:rPr>
            </w:pPr>
            <w:r>
              <w:rPr>
                <w:rFonts w:ascii="仿宋_GB2312" w:hAnsi="Times New Roman" w:eastAsia="仿宋_GB2312" w:cs="Times New Roman"/>
                <w:lang w:bidi="en-US"/>
              </w:rPr>
              <w:t>坎儿井急剧衰减</w:t>
            </w:r>
          </w:p>
        </w:tc>
        <w:tc>
          <w:tcPr>
            <w:tcW w:w="6809" w:type="dxa"/>
            <w:vAlign w:val="center"/>
          </w:tcPr>
          <w:p>
            <w:pPr>
              <w:tabs>
                <w:tab w:val="left" w:pos="0"/>
              </w:tabs>
              <w:adjustRightInd w:val="0"/>
              <w:snapToGrid w:val="0"/>
              <w:rPr>
                <w:rFonts w:ascii="仿宋_GB2312" w:hAnsi="仿宋" w:eastAsia="仿宋_GB2312" w:cs="Times New Roman"/>
                <w:bCs/>
                <w:lang w:bidi="en-US"/>
              </w:rPr>
            </w:pPr>
            <w:r>
              <w:rPr>
                <w:rFonts w:hint="eastAsia" w:ascii="仿宋_GB2312" w:hAnsi="仿宋" w:eastAsia="仿宋_GB2312" w:cs="仿宋"/>
                <w:bCs/>
                <w:lang w:bidi="en-US"/>
              </w:rPr>
              <w:t>《新疆维吾尔自治区坎儿井保护条例》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2</w:t>
            </w:r>
            <w:r>
              <w:rPr>
                <w:rFonts w:ascii="仿宋_GB2312" w:hAnsi="仿宋" w:eastAsia="仿宋_GB2312" w:cs="仿宋"/>
                <w:bCs/>
                <w:lang w:bidi="en-US"/>
              </w:rPr>
              <w:t>.12</w:t>
            </w:r>
            <w:r>
              <w:rPr>
                <w:rFonts w:hint="eastAsia" w:ascii="仿宋_GB2312" w:hAnsi="仿宋" w:eastAsia="仿宋_GB2312" w:cs="仿宋"/>
                <w:bCs/>
                <w:lang w:bidi="en-US"/>
              </w:rPr>
              <w:t>推动区域低碳示范。探索开展环境质量达标与碳排放达峰“双达”试点示范建设，积极推动低碳城市、低碳园区、低碳社区和低碳企业试点示范项目。</w:t>
            </w:r>
          </w:p>
        </w:tc>
        <w:tc>
          <w:tcPr>
            <w:tcW w:w="3261" w:type="dxa"/>
            <w:vAlign w:val="center"/>
          </w:tcPr>
          <w:p>
            <w:pPr>
              <w:tabs>
                <w:tab w:val="left" w:pos="0"/>
              </w:tabs>
              <w:adjustRightInd w:val="0"/>
              <w:snapToGrid w:val="0"/>
              <w:jc w:val="center"/>
              <w:rPr>
                <w:rFonts w:ascii="仿宋_GB2312" w:hAnsi="Times New Roman" w:eastAsia="仿宋_GB2312" w:cs="Times New Roman"/>
                <w:lang w:bidi="en-US"/>
              </w:rPr>
            </w:pPr>
          </w:p>
        </w:tc>
        <w:tc>
          <w:tcPr>
            <w:tcW w:w="6809" w:type="dxa"/>
            <w:vAlign w:val="center"/>
          </w:tcPr>
          <w:p>
            <w:pPr>
              <w:tabs>
                <w:tab w:val="left" w:pos="0"/>
              </w:tabs>
              <w:adjustRightInd w:val="0"/>
              <w:snapToGrid w:val="0"/>
              <w:rPr>
                <w:rFonts w:ascii="仿宋_GB2312" w:hAnsi="仿宋" w:eastAsia="仿宋_GB2312" w:cs="仿宋"/>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restart"/>
            <w:vAlign w:val="center"/>
          </w:tcPr>
          <w:p>
            <w:pPr>
              <w:adjustRightInd w:val="0"/>
              <w:snapToGrid w:val="0"/>
              <w:jc w:val="center"/>
              <w:rPr>
                <w:rFonts w:ascii="仿宋_GB2312" w:hAnsi="仿宋" w:eastAsia="仿宋_GB2312" w:cs="仿宋"/>
                <w:bCs/>
              </w:rPr>
            </w:pPr>
            <w:r>
              <w:rPr>
                <w:rFonts w:hint="eastAsia" w:ascii="仿宋_GB2312" w:hAnsi="仿宋" w:eastAsia="仿宋_GB2312" w:cs="仿宋"/>
                <w:bCs/>
              </w:rPr>
              <w:t>环境风险</w:t>
            </w:r>
          </w:p>
          <w:p>
            <w:pPr>
              <w:adjustRightInd w:val="0"/>
              <w:snapToGrid w:val="0"/>
              <w:jc w:val="center"/>
              <w:rPr>
                <w:rFonts w:ascii="仿宋_GB2312" w:hAnsi="仿宋" w:eastAsia="仿宋_GB2312" w:cs="仿宋"/>
                <w:bCs/>
              </w:rPr>
            </w:pPr>
            <w:r>
              <w:rPr>
                <w:rFonts w:hint="eastAsia" w:ascii="仿宋_GB2312" w:hAnsi="仿宋" w:eastAsia="仿宋_GB2312" w:cs="仿宋"/>
                <w:bCs/>
              </w:rPr>
              <w:t>防控</w:t>
            </w:r>
          </w:p>
        </w:tc>
        <w:tc>
          <w:tcPr>
            <w:tcW w:w="9752" w:type="dxa"/>
            <w:vAlign w:val="center"/>
          </w:tcPr>
          <w:p>
            <w:pPr>
              <w:adjustRightInd w:val="0"/>
              <w:snapToGrid w:val="0"/>
              <w:rPr>
                <w:rFonts w:ascii="仿宋_GB2312" w:hAnsi="仿宋" w:eastAsia="仿宋_GB2312" w:cs="仿宋"/>
                <w:bCs/>
                <w:lang w:bidi="en-US"/>
              </w:rPr>
            </w:pPr>
            <w:r>
              <w:rPr>
                <w:rFonts w:ascii="仿宋_GB2312" w:hAnsi="仿宋" w:eastAsia="仿宋_GB2312" w:cs="仿宋"/>
              </w:rPr>
              <w:t>3.1严格执行自治区总体准入要求、自治区七大片区分区总体要求</w:t>
            </w:r>
            <w:r>
              <w:rPr>
                <w:rFonts w:hint="eastAsia" w:ascii="仿宋_GB2312" w:hAnsi="仿宋" w:eastAsia="仿宋_GB2312" w:cs="仿宋"/>
              </w:rPr>
              <w:t>以及吐哈片区管控要求中关于“环境风险防控”的各项要求。</w:t>
            </w:r>
          </w:p>
        </w:tc>
        <w:tc>
          <w:tcPr>
            <w:tcW w:w="3261" w:type="dxa"/>
            <w:vAlign w:val="center"/>
          </w:tcPr>
          <w:p>
            <w:pPr>
              <w:tabs>
                <w:tab w:val="left" w:pos="0"/>
              </w:tabs>
              <w:adjustRightInd w:val="0"/>
              <w:snapToGrid w:val="0"/>
              <w:jc w:val="center"/>
              <w:rPr>
                <w:rFonts w:ascii="仿宋_GB2312" w:hAnsi="Times New Roman" w:eastAsia="仿宋_GB2312" w:cs="Times New Roman"/>
                <w:lang w:bidi="en-US"/>
              </w:rPr>
            </w:pPr>
          </w:p>
        </w:tc>
        <w:tc>
          <w:tcPr>
            <w:tcW w:w="6809" w:type="dxa"/>
            <w:vAlign w:val="center"/>
          </w:tcPr>
          <w:p>
            <w:pPr>
              <w:tabs>
                <w:tab w:val="left" w:pos="0"/>
              </w:tabs>
              <w:adjustRightInd w:val="0"/>
              <w:snapToGrid w:val="0"/>
              <w:rPr>
                <w:rFonts w:ascii="仿宋_GB2312" w:hAnsi="仿宋" w:eastAsia="仿宋_GB2312" w:cs="仿宋"/>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3.</w:t>
            </w:r>
            <w:r>
              <w:rPr>
                <w:rFonts w:ascii="仿宋_GB2312" w:hAnsi="仿宋" w:eastAsia="仿宋_GB2312" w:cs="仿宋"/>
                <w:bCs/>
                <w:lang w:bidi="en-US"/>
              </w:rPr>
              <w:t>2</w:t>
            </w:r>
            <w:r>
              <w:rPr>
                <w:rFonts w:hint="eastAsia" w:ascii="仿宋_GB2312" w:hAnsi="仿宋" w:eastAsia="仿宋_GB2312" w:cs="仿宋"/>
                <w:bCs/>
                <w:lang w:bidi="en-US"/>
              </w:rPr>
              <w:t>严格管控易导致环境风险的有毒有害和易燃易爆物质的使用和贮运，涉及此类物质的项目必须编制风险应急预案；强化应急物资储备和救援队伍建设。</w:t>
            </w:r>
          </w:p>
        </w:tc>
        <w:tc>
          <w:tcPr>
            <w:tcW w:w="3261" w:type="dxa"/>
            <w:vMerge w:val="restart"/>
            <w:vAlign w:val="center"/>
          </w:tcPr>
          <w:p>
            <w:pPr>
              <w:tabs>
                <w:tab w:val="left" w:pos="0"/>
              </w:tabs>
              <w:adjustRightInd w:val="0"/>
              <w:snapToGrid w:val="0"/>
              <w:jc w:val="center"/>
              <w:rPr>
                <w:rFonts w:ascii="仿宋_GB2312" w:hAnsi="仿宋" w:eastAsia="仿宋_GB2312" w:cs="仿宋"/>
                <w:bCs/>
              </w:rPr>
            </w:pPr>
          </w:p>
        </w:tc>
        <w:tc>
          <w:tcPr>
            <w:tcW w:w="6809" w:type="dxa"/>
            <w:vAlign w:val="center"/>
          </w:tcPr>
          <w:p>
            <w:pPr>
              <w:adjustRightInd w:val="0"/>
              <w:snapToGrid w:val="0"/>
              <w:rPr>
                <w:rFonts w:ascii="仿宋_GB2312" w:hAnsi="仿宋" w:eastAsia="仿宋_GB2312" w:cs="仿宋"/>
                <w:lang w:bidi="en-US"/>
              </w:rPr>
            </w:pPr>
            <w:r>
              <w:rPr>
                <w:rFonts w:hint="eastAsia" w:ascii="仿宋_GB2312" w:hAnsi="仿宋" w:eastAsia="仿宋_GB2312" w:cs="仿宋"/>
                <w:lang w:bidi="en-US"/>
              </w:rPr>
              <w:t>《吐鲁番市大气环境质量限期达标规划》</w:t>
            </w:r>
          </w:p>
          <w:p>
            <w:pPr>
              <w:tabs>
                <w:tab w:val="left" w:pos="0"/>
              </w:tabs>
              <w:adjustRightInd w:val="0"/>
              <w:snapToGrid w:val="0"/>
              <w:rPr>
                <w:rFonts w:ascii="仿宋_GB2312" w:hAnsi="仿宋" w:eastAsia="仿宋_GB2312" w:cs="Times New Roman"/>
              </w:rPr>
            </w:pPr>
            <w:r>
              <w:rPr>
                <w:rFonts w:hint="eastAsia" w:ascii="仿宋_GB2312" w:hAnsi="仿宋" w:eastAsia="仿宋_GB2312" w:cs="仿宋"/>
                <w:lang w:bidi="en-US"/>
              </w:rPr>
              <w:t>《吐鲁番市打赢蓝天保卫战三年行动计划实施方案（2018-2020）》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3.</w:t>
            </w:r>
            <w:r>
              <w:rPr>
                <w:rFonts w:ascii="仿宋_GB2312" w:hAnsi="仿宋" w:eastAsia="仿宋_GB2312" w:cs="仿宋"/>
                <w:bCs/>
                <w:lang w:bidi="en-US"/>
              </w:rPr>
              <w:t>3</w:t>
            </w:r>
            <w:r>
              <w:rPr>
                <w:rFonts w:hint="eastAsia" w:ascii="仿宋_GB2312" w:hAnsi="仿宋" w:eastAsia="仿宋_GB2312" w:cs="仿宋"/>
                <w:bCs/>
                <w:lang w:bidi="en-US"/>
              </w:rPr>
              <w:t>防范环境风险，严格坎儿井、地表水型水源地上游和地下水型水源地集水区高污染、高风险行业环境准入。</w:t>
            </w:r>
          </w:p>
        </w:tc>
        <w:tc>
          <w:tcPr>
            <w:tcW w:w="3261" w:type="dxa"/>
            <w:vMerge w:val="continue"/>
            <w:vAlign w:val="center"/>
          </w:tcPr>
          <w:p>
            <w:pPr>
              <w:tabs>
                <w:tab w:val="left" w:pos="0"/>
              </w:tabs>
              <w:adjustRightInd w:val="0"/>
              <w:snapToGrid w:val="0"/>
              <w:jc w:val="center"/>
              <w:rPr>
                <w:rFonts w:ascii="仿宋_GB2312" w:hAnsi="仿宋" w:eastAsia="仿宋_GB2312" w:cs="仿宋"/>
                <w:bCs/>
                <w:lang w:bidi="en-US"/>
              </w:rPr>
            </w:pPr>
          </w:p>
        </w:tc>
        <w:tc>
          <w:tcPr>
            <w:tcW w:w="6809" w:type="dxa"/>
            <w:vAlign w:val="center"/>
          </w:tcPr>
          <w:p>
            <w:pPr>
              <w:tabs>
                <w:tab w:val="left" w:pos="0"/>
              </w:tabs>
              <w:adjustRightInd w:val="0"/>
              <w:snapToGrid w:val="0"/>
              <w:rPr>
                <w:rFonts w:ascii="仿宋_GB2312" w:hAnsi="仿宋" w:eastAsia="仿宋_GB2312" w:cs="Times New Roman"/>
              </w:rPr>
            </w:pPr>
            <w:r>
              <w:rPr>
                <w:rFonts w:hint="eastAsia" w:ascii="仿宋_GB2312" w:hAnsi="仿宋" w:eastAsia="仿宋_GB2312" w:cs="仿宋"/>
                <w:bCs/>
                <w:lang w:bidi="en-US"/>
              </w:rPr>
              <w:t>《新疆维吾尔自治区坎儿井保护条例》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3.</w:t>
            </w:r>
            <w:r>
              <w:rPr>
                <w:rFonts w:ascii="仿宋_GB2312" w:hAnsi="仿宋" w:eastAsia="仿宋_GB2312" w:cs="仿宋"/>
                <w:bCs/>
                <w:lang w:bidi="en-US"/>
              </w:rPr>
              <w:t>4</w:t>
            </w:r>
            <w:r>
              <w:rPr>
                <w:rFonts w:hint="eastAsia" w:ascii="仿宋_GB2312" w:hAnsi="仿宋" w:eastAsia="仿宋_GB2312" w:cs="仿宋"/>
                <w:bCs/>
                <w:lang w:bidi="en-US"/>
              </w:rPr>
              <w:t>严格污染地块开发利用和流转审批。按照国家有关环境标淮和技术规范，编制风险管控方案。</w:t>
            </w:r>
          </w:p>
        </w:tc>
        <w:tc>
          <w:tcPr>
            <w:tcW w:w="3261" w:type="dxa"/>
            <w:vAlign w:val="center"/>
          </w:tcPr>
          <w:p>
            <w:pPr>
              <w:tabs>
                <w:tab w:val="left" w:pos="0"/>
              </w:tabs>
              <w:adjustRightInd w:val="0"/>
              <w:snapToGrid w:val="0"/>
              <w:jc w:val="center"/>
              <w:rPr>
                <w:rFonts w:ascii="仿宋_GB2312" w:hAnsi="仿宋" w:eastAsia="仿宋_GB2312" w:cs="仿宋"/>
                <w:bCs/>
                <w:lang w:bidi="en-US"/>
              </w:rPr>
            </w:pPr>
          </w:p>
        </w:tc>
        <w:tc>
          <w:tcPr>
            <w:tcW w:w="6809" w:type="dxa"/>
            <w:vAlign w:val="center"/>
          </w:tcPr>
          <w:p>
            <w:pPr>
              <w:tabs>
                <w:tab w:val="left" w:pos="0"/>
              </w:tabs>
              <w:adjustRightInd w:val="0"/>
              <w:snapToGrid w:val="0"/>
              <w:rPr>
                <w:rFonts w:ascii="仿宋_GB2312" w:hAnsi="仿宋" w:eastAsia="仿宋_GB2312" w:cs="Times New Roman"/>
              </w:rPr>
            </w:pPr>
            <w:r>
              <w:rPr>
                <w:rFonts w:hint="eastAsia" w:ascii="仿宋_GB2312" w:hAnsi="仿宋" w:eastAsia="仿宋_GB2312" w:cs="Times New Roman"/>
              </w:rPr>
              <w:t>《污染地块土壤环境管理办法》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restart"/>
            <w:vAlign w:val="center"/>
          </w:tcPr>
          <w:p>
            <w:pPr>
              <w:adjustRightInd w:val="0"/>
              <w:snapToGrid w:val="0"/>
              <w:jc w:val="center"/>
              <w:rPr>
                <w:rFonts w:ascii="仿宋_GB2312" w:hAnsi="仿宋" w:eastAsia="仿宋_GB2312" w:cs="仿宋"/>
                <w:bCs/>
              </w:rPr>
            </w:pPr>
            <w:r>
              <w:rPr>
                <w:rFonts w:hint="eastAsia" w:ascii="仿宋_GB2312" w:hAnsi="仿宋" w:eastAsia="仿宋_GB2312" w:cs="仿宋"/>
                <w:bCs/>
              </w:rPr>
              <w:t>资源开发利用效率</w:t>
            </w:r>
          </w:p>
        </w:tc>
        <w:tc>
          <w:tcPr>
            <w:tcW w:w="9752" w:type="dxa"/>
            <w:vAlign w:val="center"/>
          </w:tcPr>
          <w:p>
            <w:pPr>
              <w:adjustRightInd w:val="0"/>
              <w:snapToGrid w:val="0"/>
              <w:rPr>
                <w:rFonts w:ascii="仿宋_GB2312" w:hAnsi="仿宋" w:eastAsia="仿宋_GB2312" w:cs="仿宋"/>
                <w:bCs/>
                <w:lang w:bidi="en-US"/>
              </w:rPr>
            </w:pPr>
            <w:r>
              <w:rPr>
                <w:rFonts w:ascii="仿宋_GB2312" w:hAnsi="仿宋" w:eastAsia="仿宋_GB2312" w:cs="仿宋"/>
              </w:rPr>
              <w:t>4.1严格执行自治区总体准入要求、自治区七大片区分区总体要求</w:t>
            </w:r>
            <w:r>
              <w:rPr>
                <w:rFonts w:hint="eastAsia" w:ascii="仿宋_GB2312" w:hAnsi="仿宋" w:eastAsia="仿宋_GB2312" w:cs="仿宋"/>
              </w:rPr>
              <w:t>以及吐哈片区管控要求中关于“资源开发利用效率”的各项要求。</w:t>
            </w:r>
          </w:p>
        </w:tc>
        <w:tc>
          <w:tcPr>
            <w:tcW w:w="3261" w:type="dxa"/>
            <w:vAlign w:val="center"/>
          </w:tcPr>
          <w:p>
            <w:pPr>
              <w:tabs>
                <w:tab w:val="left" w:pos="0"/>
              </w:tabs>
              <w:adjustRightInd w:val="0"/>
              <w:snapToGrid w:val="0"/>
              <w:jc w:val="center"/>
              <w:rPr>
                <w:rFonts w:ascii="仿宋_GB2312" w:hAnsi="仿宋" w:eastAsia="仿宋_GB2312" w:cs="仿宋"/>
                <w:bCs/>
                <w:lang w:bidi="en-US"/>
              </w:rPr>
            </w:pPr>
          </w:p>
        </w:tc>
        <w:tc>
          <w:tcPr>
            <w:tcW w:w="6809" w:type="dxa"/>
            <w:vAlign w:val="center"/>
          </w:tcPr>
          <w:p>
            <w:pPr>
              <w:tabs>
                <w:tab w:val="left" w:pos="0"/>
              </w:tabs>
              <w:adjustRightInd w:val="0"/>
              <w:snapToGrid w:val="0"/>
              <w:rPr>
                <w:rFonts w:ascii="仿宋_GB2312" w:hAnsi="仿宋" w:eastAsia="仿宋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4.</w:t>
            </w:r>
            <w:r>
              <w:rPr>
                <w:rFonts w:ascii="仿宋_GB2312" w:hAnsi="仿宋" w:eastAsia="仿宋_GB2312" w:cs="仿宋"/>
                <w:bCs/>
                <w:lang w:bidi="en-US"/>
              </w:rPr>
              <w:t>2</w:t>
            </w:r>
            <w:r>
              <w:rPr>
                <w:rFonts w:hint="eastAsia" w:ascii="仿宋_GB2312" w:hAnsi="仿宋" w:eastAsia="仿宋_GB2312" w:cs="仿宋"/>
                <w:bCs/>
                <w:lang w:bidi="en-US"/>
              </w:rPr>
              <w:t>到</w:t>
            </w:r>
            <w:r>
              <w:rPr>
                <w:rFonts w:ascii="仿宋_GB2312" w:hAnsi="仿宋" w:eastAsia="仿宋_GB2312" w:cs="仿宋"/>
                <w:bCs/>
                <w:lang w:bidi="en-US"/>
              </w:rPr>
              <w:t>2025年，全市年用水总量为11.2亿立方米；到203</w:t>
            </w:r>
            <w:r>
              <w:rPr>
                <w:rFonts w:hint="eastAsia" w:ascii="仿宋_GB2312" w:hAnsi="仿宋" w:eastAsia="仿宋_GB2312" w:cs="仿宋"/>
                <w:bCs/>
                <w:lang w:bidi="en-US"/>
              </w:rPr>
              <w:t>0</w:t>
            </w:r>
            <w:r>
              <w:rPr>
                <w:rFonts w:ascii="仿宋_GB2312" w:hAnsi="仿宋" w:eastAsia="仿宋_GB2312" w:cs="仿宋"/>
                <w:bCs/>
                <w:lang w:bidi="en-US"/>
              </w:rPr>
              <w:t>年，全市年用水总量控制指标为10.44亿立方米。到2025年底前，力争城镇污水处理率达到98%，再生水利用率达到40%以上。</w:t>
            </w:r>
            <w:r>
              <w:rPr>
                <w:rFonts w:hint="eastAsia" w:ascii="仿宋_GB2312" w:hAnsi="仿宋" w:eastAsia="仿宋_GB2312" w:cs="仿宋"/>
                <w:bCs/>
                <w:lang w:bidi="en-US"/>
              </w:rPr>
              <w:t>水利部门有调整更新时，以主管部门的最新成果为准。</w:t>
            </w:r>
          </w:p>
        </w:tc>
        <w:tc>
          <w:tcPr>
            <w:tcW w:w="3261" w:type="dxa"/>
            <w:vAlign w:val="center"/>
          </w:tcPr>
          <w:p>
            <w:pPr>
              <w:tabs>
                <w:tab w:val="left" w:pos="0"/>
              </w:tabs>
              <w:adjustRightInd w:val="0"/>
              <w:snapToGrid w:val="0"/>
              <w:jc w:val="center"/>
              <w:rPr>
                <w:rFonts w:ascii="仿宋_GB2312" w:hAnsi="仿宋" w:eastAsia="仿宋_GB2312" w:cs="仿宋"/>
                <w:bCs/>
              </w:rPr>
            </w:pPr>
          </w:p>
        </w:tc>
        <w:tc>
          <w:tcPr>
            <w:tcW w:w="6809" w:type="dxa"/>
            <w:vAlign w:val="center"/>
          </w:tcPr>
          <w:p>
            <w:pPr>
              <w:tabs>
                <w:tab w:val="left" w:pos="0"/>
              </w:tabs>
              <w:adjustRightInd w:val="0"/>
              <w:snapToGrid w:val="0"/>
              <w:rPr>
                <w:rFonts w:ascii="仿宋_GB2312" w:hAnsi="仿宋" w:eastAsia="仿宋_GB2312" w:cs="Times New Roman"/>
                <w:bCs/>
                <w:lang w:bidi="en-US"/>
              </w:rPr>
            </w:pPr>
            <w:r>
              <w:rPr>
                <w:rFonts w:hint="eastAsia" w:ascii="仿宋_GB2312" w:hAnsi="仿宋" w:eastAsia="仿宋_GB2312" w:cs="Times New Roman"/>
                <w:bCs/>
                <w:lang w:bidi="en-US"/>
              </w:rPr>
              <w:t>资源利用上线专题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4.</w:t>
            </w:r>
            <w:r>
              <w:rPr>
                <w:rFonts w:ascii="仿宋_GB2312" w:hAnsi="仿宋" w:eastAsia="仿宋_GB2312" w:cs="仿宋"/>
                <w:bCs/>
                <w:lang w:bidi="en-US"/>
              </w:rPr>
              <w:t>3</w:t>
            </w:r>
            <w:r>
              <w:rPr>
                <w:rFonts w:ascii="Times New Roman" w:hAnsi="Times New Roman" w:eastAsia="仿宋_GB2312" w:cs="Times New Roman"/>
                <w:bCs/>
                <w:lang w:bidi="en-US"/>
              </w:rPr>
              <w:t>严控地下水超采。严格机电井管理，限期关闭公共供水管网覆盖范围内的自备水井，坚决拆除非法取水设施。积极做好坎儿井保护工作。至2025年，吐鲁番和鄯善的大型超采区变为中型超采区。超采区面积要大幅减少（也即地下水位呈下降趋势的监测井数量要大幅减少），且地下水位下降速率要控制在0.5</w:t>
            </w:r>
            <w:r>
              <w:rPr>
                <w:rFonts w:hint="eastAsia" w:ascii="Times New Roman" w:hAnsi="Times New Roman" w:eastAsia="仿宋_GB2312" w:cs="Times New Roman"/>
                <w:bCs/>
                <w:lang w:bidi="en-US"/>
              </w:rPr>
              <w:t>米年</w:t>
            </w:r>
            <w:r>
              <w:rPr>
                <w:rFonts w:ascii="Times New Roman" w:hAnsi="Times New Roman" w:eastAsia="仿宋_GB2312" w:cs="Times New Roman"/>
                <w:bCs/>
                <w:lang w:bidi="en-US"/>
              </w:rPr>
              <w:t>/以内。至2030年，全部超采区地下水位基本稳定（下降速率为-0.1~0.1</w:t>
            </w:r>
            <w:r>
              <w:rPr>
                <w:rFonts w:hint="eastAsia" w:ascii="Times New Roman" w:hAnsi="Times New Roman" w:eastAsia="仿宋_GB2312" w:cs="Times New Roman"/>
                <w:bCs/>
                <w:lang w:bidi="en-US"/>
              </w:rPr>
              <w:t>米</w:t>
            </w:r>
            <w:r>
              <w:rPr>
                <w:rFonts w:ascii="Times New Roman" w:hAnsi="Times New Roman" w:eastAsia="仿宋_GB2312" w:cs="Times New Roman"/>
                <w:bCs/>
                <w:lang w:bidi="en-US"/>
              </w:rPr>
              <w:t>/</w:t>
            </w:r>
            <w:r>
              <w:rPr>
                <w:rFonts w:hint="eastAsia" w:ascii="Times New Roman" w:hAnsi="Times New Roman" w:eastAsia="仿宋_GB2312" w:cs="Times New Roman"/>
                <w:bCs/>
                <w:lang w:bidi="en-US"/>
              </w:rPr>
              <w:t>年</w:t>
            </w:r>
            <w:r>
              <w:rPr>
                <w:rFonts w:ascii="Times New Roman" w:hAnsi="Times New Roman" w:eastAsia="仿宋_GB2312" w:cs="Times New Roman"/>
                <w:bCs/>
                <w:lang w:bidi="en-US"/>
              </w:rPr>
              <w:t>）或呈上升趋势，全部达到采补平衡。</w:t>
            </w:r>
          </w:p>
        </w:tc>
        <w:tc>
          <w:tcPr>
            <w:tcW w:w="3261" w:type="dxa"/>
            <w:vAlign w:val="center"/>
          </w:tcPr>
          <w:p>
            <w:pPr>
              <w:tabs>
                <w:tab w:val="left" w:pos="0"/>
              </w:tabs>
              <w:adjustRightInd w:val="0"/>
              <w:snapToGrid w:val="0"/>
              <w:jc w:val="center"/>
              <w:rPr>
                <w:rFonts w:ascii="仿宋_GB2312" w:hAnsi="仿宋" w:eastAsia="仿宋_GB2312" w:cs="仿宋"/>
                <w:bCs/>
              </w:rPr>
            </w:pPr>
          </w:p>
        </w:tc>
        <w:tc>
          <w:tcPr>
            <w:tcW w:w="6809" w:type="dxa"/>
            <w:vAlign w:val="center"/>
          </w:tcPr>
          <w:p>
            <w:pPr>
              <w:tabs>
                <w:tab w:val="left" w:pos="0"/>
              </w:tabs>
              <w:adjustRightInd w:val="0"/>
              <w:snapToGrid w:val="0"/>
              <w:rPr>
                <w:rFonts w:ascii="仿宋_GB2312" w:hAnsi="仿宋" w:eastAsia="仿宋_GB2312" w:cs="Times New Roman"/>
                <w:bCs/>
                <w:lang w:bidi="en-US"/>
              </w:rPr>
            </w:pPr>
            <w:r>
              <w:rPr>
                <w:rFonts w:hint="eastAsia" w:ascii="仿宋_GB2312" w:hAnsi="仿宋" w:eastAsia="仿宋_GB2312" w:cs="Times New Roman"/>
                <w:bCs/>
                <w:lang w:bidi="en-US"/>
              </w:rPr>
              <w:t>资源利用上线专题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4.</w:t>
            </w:r>
            <w:r>
              <w:rPr>
                <w:rFonts w:ascii="仿宋_GB2312" w:hAnsi="仿宋" w:eastAsia="仿宋_GB2312" w:cs="仿宋"/>
                <w:bCs/>
                <w:lang w:bidi="en-US"/>
              </w:rPr>
              <w:t>4</w:t>
            </w:r>
            <w:r>
              <w:rPr>
                <w:rFonts w:ascii="Times New Roman" w:hAnsi="Times New Roman" w:eastAsia="仿宋_GB2312" w:cs="Times New Roman"/>
                <w:bCs/>
                <w:lang w:bidi="en-US"/>
              </w:rPr>
              <w:t>推进工业节水改造、推动高耗水行业节水增效、积极推行水循环梯级利用。杜绝建设不符合产业政策、水资源节约保护要求的项目；严格控制</w:t>
            </w:r>
            <w:r>
              <w:rPr>
                <w:rFonts w:ascii="仿宋_GB2312" w:hAnsi="仿宋" w:eastAsia="仿宋_GB2312" w:cs="仿宋"/>
                <w:bCs/>
                <w:lang w:bidi="en-US"/>
              </w:rPr>
              <w:t>新</w:t>
            </w:r>
            <w:r>
              <w:rPr>
                <w:rFonts w:hint="eastAsia" w:ascii="仿宋_GB2312" w:hAnsi="仿宋" w:eastAsia="仿宋_GB2312" w:cs="仿宋"/>
                <w:bCs/>
                <w:lang w:bidi="en-US"/>
              </w:rPr>
              <w:t>建、扩建、改</w:t>
            </w:r>
            <w:r>
              <w:rPr>
                <w:rFonts w:ascii="仿宋_GB2312" w:hAnsi="仿宋" w:eastAsia="仿宋_GB2312" w:cs="仿宋"/>
                <w:bCs/>
                <w:lang w:bidi="en-US"/>
              </w:rPr>
              <w:t>建</w:t>
            </w:r>
            <w:r>
              <w:rPr>
                <w:rFonts w:ascii="Times New Roman" w:hAnsi="Times New Roman" w:eastAsia="仿宋_GB2312" w:cs="Times New Roman"/>
                <w:bCs/>
                <w:lang w:bidi="en-US"/>
              </w:rPr>
              <w:t>高耗水项目</w:t>
            </w:r>
            <w:r>
              <w:rPr>
                <w:rFonts w:hint="eastAsia" w:ascii="仿宋_GB2312" w:hAnsi="仿宋" w:eastAsia="仿宋_GB2312" w:cs="仿宋"/>
                <w:bCs/>
                <w:lang w:bidi="en-US"/>
              </w:rPr>
              <w:t>。</w:t>
            </w:r>
          </w:p>
        </w:tc>
        <w:tc>
          <w:tcPr>
            <w:tcW w:w="3261" w:type="dxa"/>
            <w:vAlign w:val="center"/>
          </w:tcPr>
          <w:p>
            <w:pPr>
              <w:tabs>
                <w:tab w:val="left" w:pos="0"/>
              </w:tabs>
              <w:adjustRightInd w:val="0"/>
              <w:snapToGrid w:val="0"/>
              <w:jc w:val="center"/>
              <w:rPr>
                <w:rFonts w:ascii="仿宋_GB2312" w:hAnsi="仿宋" w:eastAsia="仿宋_GB2312" w:cs="仿宋"/>
                <w:bCs/>
              </w:rPr>
            </w:pPr>
          </w:p>
        </w:tc>
        <w:tc>
          <w:tcPr>
            <w:tcW w:w="6809" w:type="dxa"/>
            <w:vAlign w:val="center"/>
          </w:tcPr>
          <w:p>
            <w:pPr>
              <w:tabs>
                <w:tab w:val="left" w:pos="0"/>
              </w:tabs>
              <w:adjustRightInd w:val="0"/>
              <w:snapToGrid w:val="0"/>
              <w:rPr>
                <w:rFonts w:ascii="仿宋_GB2312" w:hAnsi="仿宋" w:eastAsia="仿宋_GB2312" w:cs="Times New Roman"/>
                <w:bCs/>
                <w:lang w:bidi="en-US"/>
              </w:rPr>
            </w:pPr>
            <w:r>
              <w:rPr>
                <w:rFonts w:hint="eastAsia" w:ascii="仿宋_GB2312" w:hAnsi="仿宋" w:eastAsia="仿宋_GB2312" w:cs="Times New Roman"/>
                <w:bCs/>
                <w:lang w:bidi="en-US"/>
              </w:rPr>
              <w:t>《新疆维吾尔自治区水污染防治工作方案》</w:t>
            </w:r>
          </w:p>
          <w:p>
            <w:pPr>
              <w:tabs>
                <w:tab w:val="left" w:pos="0"/>
              </w:tabs>
              <w:adjustRightInd w:val="0"/>
              <w:snapToGrid w:val="0"/>
              <w:rPr>
                <w:rFonts w:ascii="仿宋_GB2312" w:hAnsi="仿宋" w:eastAsia="仿宋_GB2312" w:cs="Times New Roman"/>
                <w:bCs/>
                <w:lang w:bidi="en-US"/>
              </w:rPr>
            </w:pPr>
            <w:r>
              <w:rPr>
                <w:rFonts w:hint="eastAsia" w:ascii="仿宋_GB2312" w:hAnsi="仿宋" w:eastAsia="仿宋_GB2312" w:cs="Times New Roman"/>
                <w:bCs/>
                <w:lang w:bidi="en-US"/>
              </w:rPr>
              <w:t>《吐鲁番市水污染防治总体实施方案》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Merge w:val="continue"/>
            <w:vAlign w:val="center"/>
          </w:tcPr>
          <w:p>
            <w:pPr>
              <w:adjustRightInd w:val="0"/>
              <w:snapToGrid w:val="0"/>
              <w:jc w:val="center"/>
              <w:rPr>
                <w:rFonts w:ascii="仿宋_GB2312" w:hAnsi="仿宋" w:eastAsia="仿宋_GB2312" w:cs="仿宋"/>
                <w:bCs/>
              </w:rPr>
            </w:pPr>
          </w:p>
        </w:tc>
        <w:tc>
          <w:tcPr>
            <w:tcW w:w="9752"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Cs/>
                <w:lang w:bidi="en-US"/>
              </w:rPr>
              <w:t>4.</w:t>
            </w:r>
            <w:r>
              <w:rPr>
                <w:rFonts w:ascii="仿宋_GB2312" w:hAnsi="仿宋" w:eastAsia="仿宋_GB2312" w:cs="仿宋"/>
                <w:bCs/>
                <w:lang w:bidi="en-US"/>
              </w:rPr>
              <w:t>5</w:t>
            </w:r>
            <w:r>
              <w:rPr>
                <w:rFonts w:hint="eastAsia" w:ascii="仿宋_GB2312" w:hAnsi="仿宋" w:eastAsia="仿宋_GB2312" w:cs="仿宋"/>
                <w:bCs/>
                <w:lang w:bidi="en-US"/>
              </w:rPr>
              <w:t>加强煤炭安全绿色开发和清洁高效利用，推广使用优质煤、洁净型煤；严把耗煤新项目准入关，新建煤炭消费项目实施煤炭总量控制。</w:t>
            </w:r>
          </w:p>
        </w:tc>
        <w:tc>
          <w:tcPr>
            <w:tcW w:w="3261" w:type="dxa"/>
            <w:vAlign w:val="center"/>
          </w:tcPr>
          <w:p>
            <w:pPr>
              <w:tabs>
                <w:tab w:val="left" w:pos="0"/>
              </w:tabs>
              <w:adjustRightInd w:val="0"/>
              <w:snapToGrid w:val="0"/>
              <w:jc w:val="center"/>
              <w:rPr>
                <w:rFonts w:ascii="仿宋_GB2312" w:hAnsi="仿宋" w:eastAsia="仿宋_GB2312" w:cs="仿宋"/>
                <w:bCs/>
              </w:rPr>
            </w:pPr>
          </w:p>
        </w:tc>
        <w:tc>
          <w:tcPr>
            <w:tcW w:w="6809" w:type="dxa"/>
            <w:vAlign w:val="center"/>
          </w:tcPr>
          <w:p>
            <w:pPr>
              <w:adjustRightInd w:val="0"/>
              <w:snapToGrid w:val="0"/>
              <w:rPr>
                <w:rFonts w:ascii="仿宋_GB2312" w:hAnsi="仿宋" w:eastAsia="仿宋_GB2312" w:cs="仿宋"/>
                <w:lang w:bidi="en-US"/>
              </w:rPr>
            </w:pPr>
            <w:r>
              <w:rPr>
                <w:rFonts w:hint="eastAsia" w:ascii="仿宋_GB2312" w:hAnsi="仿宋" w:eastAsia="仿宋_GB2312" w:cs="仿宋"/>
                <w:lang w:bidi="en-US"/>
              </w:rPr>
              <w:t>《吐鲁番市大气环境质量限期达标规划》</w:t>
            </w:r>
          </w:p>
          <w:p>
            <w:pPr>
              <w:tabs>
                <w:tab w:val="left" w:pos="0"/>
              </w:tabs>
              <w:adjustRightInd w:val="0"/>
              <w:snapToGrid w:val="0"/>
              <w:rPr>
                <w:rFonts w:ascii="仿宋_GB2312" w:hAnsi="仿宋" w:eastAsia="仿宋_GB2312" w:cs="Times New Roman"/>
                <w:bCs/>
                <w:lang w:bidi="en-US"/>
              </w:rPr>
            </w:pPr>
            <w:r>
              <w:rPr>
                <w:rFonts w:hint="eastAsia" w:ascii="仿宋_GB2312" w:hAnsi="仿宋" w:eastAsia="仿宋_GB2312" w:cs="仿宋"/>
                <w:lang w:bidi="en-US"/>
              </w:rPr>
              <w:t>《吐鲁番市打赢蓝天保卫战三年行动计划实施方案（2018-2020）》</w:t>
            </w:r>
          </w:p>
        </w:tc>
      </w:tr>
      <w:bookmarkEnd w:id="2"/>
    </w:tbl>
    <w:p>
      <w:pPr>
        <w:rPr>
          <w:rFonts w:ascii="仿宋_GB2312" w:hAnsi="Times New Roman" w:eastAsia="仿宋_GB2312" w:cs="Times New Roman"/>
          <w:sz w:val="32"/>
          <w:szCs w:val="32"/>
          <w:lang w:bidi="en-US"/>
        </w:rPr>
        <w:sectPr>
          <w:pgSz w:w="23757" w:h="16783" w:orient="landscape"/>
          <w:pgMar w:top="1080" w:right="1440" w:bottom="1080" w:left="1440" w:header="851" w:footer="992" w:gutter="0"/>
          <w:cols w:space="425" w:num="1"/>
          <w:docGrid w:type="lines" w:linePitch="381" w:charSpace="0"/>
        </w:sectPr>
      </w:pPr>
      <w:bookmarkStart w:id="3" w:name="_Toc46147057"/>
      <w:bookmarkStart w:id="4" w:name="_Toc46146964"/>
    </w:p>
    <w:p>
      <w:pPr>
        <w:outlineLvl w:val="0"/>
        <w:rPr>
          <w:rFonts w:ascii="仿宋_GB2312" w:hAnsi="Times New Roman" w:eastAsia="仿宋_GB2312" w:cs="Times New Roman"/>
          <w:b/>
          <w:bCs/>
          <w:sz w:val="18"/>
          <w:szCs w:val="18"/>
          <w:lang w:bidi="en-US"/>
        </w:rPr>
      </w:pPr>
      <w:bookmarkStart w:id="5" w:name="_Toc73999319"/>
      <w:r>
        <w:rPr>
          <w:rFonts w:ascii="仿宋_GB2312" w:hAnsi="Times New Roman" w:eastAsia="仿宋_GB2312" w:cs="Times New Roman"/>
          <w:b/>
          <w:bCs/>
          <w:sz w:val="32"/>
          <w:szCs w:val="32"/>
          <w:lang w:bidi="en-US"/>
        </w:rPr>
        <w:t>2</w:t>
      </w:r>
      <w:r>
        <w:rPr>
          <w:rFonts w:hint="eastAsia" w:ascii="仿宋_GB2312" w:hAnsi="Times New Roman" w:eastAsia="仿宋_GB2312" w:cs="Times New Roman"/>
          <w:b/>
          <w:bCs/>
          <w:sz w:val="32"/>
          <w:szCs w:val="32"/>
        </w:rPr>
        <w:t>吐鲁番市生态环境准入清单</w:t>
      </w:r>
      <w:bookmarkEnd w:id="3"/>
      <w:bookmarkEnd w:id="4"/>
      <w:bookmarkEnd w:id="5"/>
    </w:p>
    <w:p>
      <w:pPr>
        <w:outlineLvl w:val="1"/>
        <w:rPr>
          <w:rFonts w:ascii="仿宋_GB2312" w:hAnsi="Times New Roman" w:eastAsia="仿宋_GB2312" w:cs="Times New Roman"/>
          <w:b/>
          <w:bCs/>
          <w:sz w:val="32"/>
          <w:szCs w:val="32"/>
        </w:rPr>
      </w:pPr>
      <w:bookmarkStart w:id="6" w:name="_Toc46147058"/>
      <w:bookmarkStart w:id="7" w:name="_Toc46146965"/>
      <w:bookmarkStart w:id="8" w:name="_Toc73999320"/>
      <w:r>
        <w:rPr>
          <w:rFonts w:ascii="仿宋_GB2312" w:hAnsi="Times New Roman" w:eastAsia="仿宋_GB2312" w:cs="Times New Roman"/>
          <w:b/>
          <w:bCs/>
          <w:sz w:val="32"/>
          <w:szCs w:val="32"/>
        </w:rPr>
        <w:t>2</w:t>
      </w:r>
      <w:r>
        <w:rPr>
          <w:rFonts w:hint="eastAsia" w:ascii="仿宋_GB2312" w:hAnsi="Times New Roman" w:eastAsia="仿宋_GB2312" w:cs="Times New Roman"/>
          <w:b/>
          <w:bCs/>
          <w:sz w:val="32"/>
          <w:szCs w:val="32"/>
        </w:rPr>
        <w:t>.1</w:t>
      </w:r>
      <w:bookmarkEnd w:id="6"/>
      <w:bookmarkEnd w:id="7"/>
      <w:r>
        <w:rPr>
          <w:rFonts w:hint="eastAsia" w:ascii="仿宋_GB2312" w:hAnsi="Times New Roman" w:eastAsia="仿宋_GB2312" w:cs="Times New Roman"/>
          <w:b/>
          <w:bCs/>
          <w:sz w:val="32"/>
          <w:szCs w:val="32"/>
        </w:rPr>
        <w:t>高昌区生态环境准入清单</w:t>
      </w:r>
      <w:bookmarkEnd w:id="8"/>
    </w:p>
    <w:p>
      <w:pPr>
        <w:adjustRightInd w:val="0"/>
        <w:snapToGrid w:val="0"/>
        <w:ind w:firstLine="560"/>
        <w:jc w:val="center"/>
        <w:rPr>
          <w:rFonts w:ascii="Times New Roman" w:hAnsi="Times New Roman" w:eastAsia="仿宋_GB2312" w:cs="Times New Roman"/>
          <w:b/>
          <w:iCs/>
          <w:sz w:val="28"/>
          <w:szCs w:val="21"/>
        </w:rPr>
      </w:pPr>
      <w:bookmarkStart w:id="9" w:name="_Toc46147068"/>
      <w:bookmarkStart w:id="10" w:name="_Toc46146975"/>
      <w:r>
        <w:rPr>
          <w:rFonts w:ascii="Times New Roman" w:hAnsi="Times New Roman" w:eastAsia="仿宋_GB2312" w:cs="Times New Roman"/>
          <w:b/>
          <w:iCs/>
          <w:sz w:val="28"/>
          <w:szCs w:val="21"/>
        </w:rPr>
        <w:t>表2</w:t>
      </w:r>
      <w:r>
        <w:rPr>
          <w:rFonts w:hint="eastAsia" w:ascii="Times New Roman" w:hAnsi="Times New Roman" w:eastAsia="仿宋_GB2312" w:cs="Times New Roman"/>
          <w:b/>
          <w:iCs/>
          <w:sz w:val="28"/>
          <w:szCs w:val="21"/>
        </w:rPr>
        <w:t>.1-1</w:t>
      </w:r>
      <w:r>
        <w:rPr>
          <w:rFonts w:ascii="Times New Roman" w:hAnsi="Times New Roman" w:eastAsia="仿宋_GB2312" w:cs="Times New Roman"/>
          <w:b/>
          <w:iCs/>
          <w:sz w:val="28"/>
          <w:szCs w:val="21"/>
        </w:rPr>
        <w:t xml:space="preserve">  高昌区区域特征研判</w:t>
      </w:r>
    </w:p>
    <w:tbl>
      <w:tblPr>
        <w:tblStyle w:val="37"/>
        <w:tblW w:w="21325" w:type="dxa"/>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7"/>
        <w:gridCol w:w="10914"/>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exact"/>
        </w:trPr>
        <w:tc>
          <w:tcPr>
            <w:tcW w:w="3607" w:type="dxa"/>
            <w:tcBorders>
              <w:tl2br w:val="nil"/>
              <w:tr2bl w:val="nil"/>
            </w:tcBorders>
            <w:vAlign w:val="center"/>
          </w:tcPr>
          <w:p>
            <w:pPr>
              <w:adjustRightInd w:val="0"/>
              <w:snapToGrid w:val="0"/>
              <w:jc w:val="center"/>
              <w:rPr>
                <w:rFonts w:ascii="Times New Roman" w:hAnsi="Times New Roman" w:eastAsia="仿宋_GB2312" w:cs="Times New Roman"/>
                <w:b/>
                <w:lang w:bidi="en-US"/>
              </w:rPr>
            </w:pPr>
            <w:r>
              <w:rPr>
                <w:rFonts w:ascii="Times New Roman" w:hAnsi="Times New Roman" w:eastAsia="仿宋_GB2312" w:cs="Times New Roman"/>
                <w:b/>
                <w:lang w:bidi="en-US"/>
              </w:rPr>
              <w:t>区域特点</w:t>
            </w:r>
          </w:p>
        </w:tc>
        <w:tc>
          <w:tcPr>
            <w:tcW w:w="10914" w:type="dxa"/>
            <w:tcBorders>
              <w:tl2br w:val="nil"/>
              <w:tr2bl w:val="nil"/>
            </w:tcBorders>
            <w:vAlign w:val="center"/>
          </w:tcPr>
          <w:p>
            <w:pPr>
              <w:adjustRightInd w:val="0"/>
              <w:snapToGrid w:val="0"/>
              <w:jc w:val="center"/>
              <w:rPr>
                <w:rFonts w:ascii="Times New Roman" w:hAnsi="Times New Roman" w:eastAsia="仿宋_GB2312" w:cs="Times New Roman"/>
                <w:b/>
                <w:lang w:bidi="en-US"/>
              </w:rPr>
            </w:pPr>
            <w:r>
              <w:rPr>
                <w:rFonts w:ascii="Times New Roman" w:hAnsi="Times New Roman" w:eastAsia="仿宋_GB2312" w:cs="Times New Roman"/>
                <w:b/>
                <w:lang w:bidi="en-US"/>
              </w:rPr>
              <w:t>发展定位与目标</w:t>
            </w:r>
          </w:p>
        </w:tc>
        <w:tc>
          <w:tcPr>
            <w:tcW w:w="6804" w:type="dxa"/>
            <w:tcBorders>
              <w:tl2br w:val="nil"/>
              <w:tr2bl w:val="nil"/>
            </w:tcBorders>
            <w:vAlign w:val="center"/>
          </w:tcPr>
          <w:p>
            <w:pPr>
              <w:adjustRightInd w:val="0"/>
              <w:snapToGrid w:val="0"/>
              <w:jc w:val="center"/>
              <w:rPr>
                <w:rFonts w:ascii="Times New Roman" w:hAnsi="Times New Roman" w:eastAsia="仿宋_GB2312" w:cs="Times New Roman"/>
                <w:b/>
                <w:lang w:bidi="en-US"/>
              </w:rPr>
            </w:pPr>
            <w:r>
              <w:rPr>
                <w:rFonts w:ascii="Times New Roman" w:hAnsi="Times New Roman" w:eastAsia="仿宋_GB2312" w:cs="Times New Roman"/>
                <w:b/>
                <w:lang w:bidi="en-US"/>
              </w:rPr>
              <w:t>区域突出生态环境问题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04" w:hRule="exact"/>
        </w:trPr>
        <w:tc>
          <w:tcPr>
            <w:tcW w:w="3607" w:type="dxa"/>
            <w:tcBorders>
              <w:tl2br w:val="nil"/>
              <w:tr2bl w:val="nil"/>
            </w:tcBorders>
            <w:vAlign w:val="center"/>
          </w:tcPr>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高昌区位于新疆东部，地处天山支脉博格达峰南麓、吐鲁番盆地中部，东与鄯善县接壤，西南与托克逊县毗邻，南抵库鲁克塔格山和巴音郭楞蒙古自治州尉犁县相接，北隔天山与乌鲁木齐市、吉木萨尔县、奇台县相邻。</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2.高昌区是吐鲁番市行政中心所在地，位居</w:t>
            </w:r>
            <w:r>
              <w:fldChar w:fldCharType="begin"/>
            </w:r>
            <w:r>
              <w:instrText xml:space="preserve"> HYPERLINK "https://baike.baidu.com/item/%E4%B8%9D%E7%BB%B8%E4%B9%8B%E8%B7%AF/434" \t "https://baike.baidu.com/item/%E9%AB%98%E6%98%8C%E5%8C%BA/_blank" </w:instrText>
            </w:r>
            <w:r>
              <w:fldChar w:fldCharType="separate"/>
            </w:r>
            <w:r>
              <w:rPr>
                <w:rFonts w:ascii="Times New Roman" w:hAnsi="Times New Roman" w:eastAsia="仿宋_GB2312" w:cs="Times New Roman"/>
                <w:lang w:bidi="en-US"/>
              </w:rPr>
              <w:t>丝绸之路</w:t>
            </w:r>
            <w:r>
              <w:rPr>
                <w:rFonts w:ascii="Times New Roman" w:hAnsi="Times New Roman" w:eastAsia="仿宋_GB2312" w:cs="Times New Roman"/>
                <w:lang w:bidi="en-US"/>
              </w:rPr>
              <w:fldChar w:fldCharType="end"/>
            </w:r>
            <w:r>
              <w:rPr>
                <w:rFonts w:ascii="Times New Roman" w:hAnsi="Times New Roman" w:eastAsia="仿宋_GB2312" w:cs="Times New Roman"/>
                <w:lang w:bidi="en-US"/>
              </w:rPr>
              <w:t>要冲，是名闻遐迩的历史重镇。国家“一主两翼”大煤运铁路线和西气东输二线的投入运营，</w:t>
            </w:r>
            <w:r>
              <w:rPr>
                <w:rFonts w:hint="eastAsia" w:ascii="Times New Roman" w:hAnsi="Times New Roman" w:eastAsia="仿宋_GB2312" w:cs="Times New Roman"/>
                <w:lang w:bidi="en-US"/>
              </w:rPr>
              <w:t>高昌区</w:t>
            </w:r>
            <w:r>
              <w:rPr>
                <w:rFonts w:ascii="Times New Roman" w:hAnsi="Times New Roman" w:eastAsia="仿宋_GB2312" w:cs="Times New Roman"/>
                <w:lang w:bidi="en-US"/>
              </w:rPr>
              <w:t>交通枢纽战略地位更加突出。</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3.高昌区的地势大体是北高南低，火焰山横亘中央，把全区分成山北、山南两部分。是全国地势最低、气候最热的地方。属于典型的大陆性暖温带荒漠气候，日照充足，热量丰富但又极端干燥，降雨稀少且大风频繁，故有“火洲”、“风库”之称。</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4.高昌区境内主要有5条河流，</w:t>
            </w:r>
            <w:r>
              <w:rPr>
                <w:rFonts w:hint="eastAsia" w:ascii="Times New Roman" w:hAnsi="Times New Roman" w:eastAsia="仿宋_GB2312" w:cs="Times New Roman"/>
                <w:lang w:bidi="en-US"/>
              </w:rPr>
              <w:t>除大河沿河以外，</w:t>
            </w:r>
            <w:r>
              <w:rPr>
                <w:rFonts w:ascii="Times New Roman" w:hAnsi="Times New Roman" w:eastAsia="仿宋_GB2312" w:cs="Times New Roman"/>
                <w:lang w:bidi="en-US"/>
              </w:rPr>
              <w:t>均为季节性河流。艾丁湖为上述河流的尾闾，现为季节性湖泊。</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rPr>
              <w:t>5.高昌区矿产资源丰富，全区已发现各类矿产39种，确定优势矿种有石油、煤、铀、铜、铅锌、金、盐、芒硝、钾硝石、大理岩</w:t>
            </w:r>
            <w:r>
              <w:rPr>
                <w:rFonts w:hint="eastAsia" w:ascii="Times New Roman" w:hAnsi="Times New Roman" w:eastAsia="仿宋_GB2312" w:cs="Times New Roman"/>
              </w:rPr>
              <w:t>、石材</w:t>
            </w:r>
            <w:r>
              <w:rPr>
                <w:rFonts w:ascii="Times New Roman" w:hAnsi="Times New Roman" w:eastAsia="仿宋_GB2312" w:cs="Times New Roman"/>
              </w:rPr>
              <w:t>等。</w:t>
            </w:r>
          </w:p>
        </w:tc>
        <w:tc>
          <w:tcPr>
            <w:tcW w:w="10914" w:type="dxa"/>
            <w:tcBorders>
              <w:tl2br w:val="nil"/>
              <w:tr2bl w:val="nil"/>
            </w:tcBorders>
            <w:vAlign w:val="center"/>
          </w:tcPr>
          <w:p>
            <w:pPr>
              <w:adjustRightInd w:val="0"/>
              <w:snapToGrid w:val="0"/>
              <w:spacing w:line="320" w:lineRule="exact"/>
              <w:rPr>
                <w:rFonts w:ascii="Times New Roman" w:hAnsi="Times New Roman" w:eastAsia="仿宋_GB2312" w:cs="Times New Roman"/>
                <w:b/>
                <w:bCs/>
                <w:lang w:bidi="en-US"/>
              </w:rPr>
            </w:pPr>
            <w:r>
              <w:rPr>
                <w:rFonts w:ascii="Times New Roman" w:hAnsi="Times New Roman" w:eastAsia="仿宋_GB2312" w:cs="Times New Roman"/>
                <w:b/>
                <w:bCs/>
                <w:lang w:bidi="en-US"/>
              </w:rPr>
              <w:t>1.区域发展战略定位</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（1）吐鲁番市的政治文化中心、经济中心</w:t>
            </w:r>
            <w:r>
              <w:rPr>
                <w:rFonts w:hint="eastAsia" w:ascii="Times New Roman" w:hAnsi="Times New Roman" w:eastAsia="仿宋_GB2312" w:cs="Times New Roman"/>
                <w:lang w:bidi="en-US"/>
              </w:rPr>
              <w:t>。</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（2）衔接“五中心三基地一通道”，积极推进新疆的交通次枢纽建设、商贸物流核心圈建设、区域文化旅游中心建设。</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（3）乌鲁木齐都市圈的次中心城市</w:t>
            </w:r>
            <w:r>
              <w:rPr>
                <w:rFonts w:hint="eastAsia" w:ascii="Times New Roman" w:hAnsi="Times New Roman" w:eastAsia="仿宋_GB2312" w:cs="Times New Roman"/>
                <w:lang w:bidi="en-US"/>
              </w:rPr>
              <w:t>，乌鲁木齐经济圈重要一翼，丝绸之路经济带核心区重要支撑点</w:t>
            </w:r>
            <w:r>
              <w:rPr>
                <w:rFonts w:ascii="Times New Roman" w:hAnsi="Times New Roman" w:eastAsia="仿宋_GB2312" w:cs="Times New Roman"/>
                <w:lang w:bidi="en-US"/>
              </w:rPr>
              <w:t>。</w:t>
            </w:r>
          </w:p>
          <w:p>
            <w:pPr>
              <w:adjustRightInd w:val="0"/>
              <w:snapToGrid w:val="0"/>
              <w:spacing w:line="320" w:lineRule="exact"/>
              <w:rPr>
                <w:rFonts w:ascii="Times New Roman" w:hAnsi="Times New Roman" w:eastAsia="仿宋_GB2312" w:cs="Times New Roman"/>
                <w:lang w:bidi="en-US"/>
              </w:rPr>
            </w:pPr>
            <w:r>
              <w:rPr>
                <w:rFonts w:hint="eastAsia" w:ascii="Times New Roman" w:hAnsi="Times New Roman" w:eastAsia="仿宋_GB2312" w:cs="Times New Roman"/>
                <w:lang w:bidi="en-US"/>
              </w:rPr>
              <w:t>（4）国际旅游文化名城，全国历史文化名城。</w:t>
            </w:r>
          </w:p>
          <w:p>
            <w:pPr>
              <w:adjustRightInd w:val="0"/>
              <w:snapToGrid w:val="0"/>
              <w:spacing w:line="320" w:lineRule="exact"/>
              <w:rPr>
                <w:rFonts w:ascii="Times New Roman" w:hAnsi="Times New Roman" w:eastAsia="仿宋_GB2312" w:cs="Times New Roman"/>
                <w:b/>
                <w:bCs/>
                <w:lang w:bidi="en-US"/>
              </w:rPr>
            </w:pPr>
            <w:r>
              <w:rPr>
                <w:rFonts w:ascii="Times New Roman" w:hAnsi="Times New Roman" w:eastAsia="仿宋_GB2312" w:cs="Times New Roman"/>
                <w:b/>
                <w:bCs/>
                <w:lang w:bidi="en-US"/>
              </w:rPr>
              <w:t>2.产业发展布局</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w:t>
            </w:r>
            <w:r>
              <w:rPr>
                <w:rFonts w:hint="eastAsia" w:ascii="Times New Roman" w:hAnsi="Times New Roman" w:eastAsia="仿宋_GB2312" w:cs="Times New Roman"/>
                <w:lang w:bidi="en-US"/>
              </w:rPr>
              <w:t>加快能源电力产业发展。推进七泉湖矿区、艾丁湖矿区、大河沿矿区、西戈壁矿区、玉杭塔拉吉矿区等矿区煤炭资源勘探开发和转化利用，培育大型煤炭企业，形成以大型煤炭企业和大型煤矿为主的煤矿生产基地。推进煤炭资源整合、升级改造和开发建设</w:t>
            </w:r>
            <w:r>
              <w:rPr>
                <w:rFonts w:ascii="Times New Roman" w:hAnsi="Times New Roman" w:eastAsia="仿宋_GB2312" w:cs="Times New Roman"/>
                <w:lang w:bidi="en-US"/>
              </w:rPr>
              <w:t>，着力推进矿区绿色开发、高效利用。争取将高昌区纳入“疆电南送”布局点。</w:t>
            </w:r>
          </w:p>
          <w:p>
            <w:pPr>
              <w:adjustRightInd w:val="0"/>
              <w:snapToGrid w:val="0"/>
              <w:spacing w:line="320" w:lineRule="exact"/>
              <w:rPr>
                <w:rFonts w:ascii="Times New Roman" w:hAnsi="Times New Roman" w:eastAsia="仿宋_GB2312" w:cs="Times New Roman"/>
                <w:lang w:bidi="en-US"/>
              </w:rPr>
            </w:pPr>
            <w:r>
              <w:rPr>
                <w:rFonts w:hint="eastAsia" w:ascii="Times New Roman" w:hAnsi="Times New Roman" w:eastAsia="仿宋_GB2312" w:cs="Times New Roman"/>
                <w:lang w:bidi="en-US"/>
              </w:rPr>
              <w:t>（2）加快发展矿产资源加工业</w:t>
            </w:r>
            <w:r>
              <w:rPr>
                <w:rFonts w:ascii="Times New Roman" w:hAnsi="Times New Roman" w:eastAsia="仿宋_GB2312" w:cs="Times New Roman"/>
                <w:lang w:bidi="en-US"/>
              </w:rPr>
              <w:t>。</w:t>
            </w:r>
            <w:r>
              <w:rPr>
                <w:rFonts w:hint="eastAsia" w:ascii="Times New Roman" w:hAnsi="Times New Roman" w:eastAsia="仿宋_GB2312" w:cs="Times New Roman"/>
                <w:lang w:bidi="en-US"/>
              </w:rPr>
              <w:t>推进高昌区南北部一带丰富的煤炭、石料、石灰石、玄武石、金属矿等矿产资源的开发力度，培育高昌区工业经济新增长点。</w:t>
            </w:r>
          </w:p>
          <w:p>
            <w:pPr>
              <w:adjustRightInd w:val="0"/>
              <w:snapToGrid w:val="0"/>
              <w:spacing w:line="320" w:lineRule="exact"/>
              <w:rPr>
                <w:rFonts w:ascii="Times New Roman" w:hAnsi="Times New Roman" w:eastAsia="仿宋_GB2312" w:cs="Times New Roman"/>
                <w:lang w:bidi="en-US"/>
              </w:rPr>
            </w:pPr>
            <w:r>
              <w:rPr>
                <w:rFonts w:hint="eastAsia" w:ascii="Times New Roman" w:hAnsi="Times New Roman" w:eastAsia="仿宋_GB2312" w:cs="Times New Roman"/>
                <w:lang w:bidi="en-US"/>
              </w:rPr>
              <w:t>（</w:t>
            </w:r>
            <w:r>
              <w:rPr>
                <w:rFonts w:ascii="Times New Roman" w:hAnsi="Times New Roman" w:eastAsia="仿宋_GB2312" w:cs="Times New Roman"/>
                <w:lang w:bidi="en-US"/>
              </w:rPr>
              <w:t>3</w:t>
            </w:r>
            <w:r>
              <w:rPr>
                <w:rFonts w:hint="eastAsia" w:ascii="Times New Roman" w:hAnsi="Times New Roman" w:eastAsia="仿宋_GB2312" w:cs="Times New Roman"/>
                <w:lang w:bidi="en-US"/>
              </w:rPr>
              <w:t>）大力发展战略新兴产业。大力发展新能源产业，重点以七泉湖光伏产业园区、大河沿小草湖风场以及华电电厂南侧区域打造百万千瓦级新能源产业示范基地。大力发展装备制造业，重点以明阳风机制造、超大型陆上半直经抗台风的研发和应用项目为代表，打造新能源装备制造产业集群。推动新型材料加工产业发展。</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（4）</w:t>
            </w:r>
            <w:r>
              <w:rPr>
                <w:rFonts w:hint="eastAsia" w:ascii="Times New Roman" w:hAnsi="Times New Roman" w:eastAsia="仿宋_GB2312" w:cs="Times New Roman"/>
                <w:lang w:bidi="en-US"/>
              </w:rPr>
              <w:t>稳步</w:t>
            </w:r>
            <w:r>
              <w:rPr>
                <w:rFonts w:ascii="Times New Roman" w:hAnsi="Times New Roman" w:eastAsia="仿宋_GB2312" w:cs="Times New Roman"/>
                <w:lang w:bidi="en-US"/>
              </w:rPr>
              <w:t>发展纺织服装产业。不断完善纺织服装产业基地配套，建设面辅料配件集散中心、检测中心。</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（5）</w:t>
            </w:r>
            <w:r>
              <w:rPr>
                <w:rFonts w:hint="eastAsia" w:ascii="Times New Roman" w:hAnsi="Times New Roman" w:eastAsia="仿宋_GB2312" w:cs="Times New Roman"/>
                <w:lang w:bidi="en-US"/>
              </w:rPr>
              <w:t>做大做强</w:t>
            </w:r>
            <w:r>
              <w:rPr>
                <w:rFonts w:ascii="Times New Roman" w:hAnsi="Times New Roman" w:eastAsia="仿宋_GB2312" w:cs="Times New Roman"/>
                <w:lang w:bidi="en-US"/>
              </w:rPr>
              <w:t>农产品加工业。以葡萄、哈密瓜等区域特色农产品为重点，推动农产品加工业集群发展，做精做优吐鲁番特色农产品加工业。</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（6）加强服务产业发展，大力发展旅游业、加快推进现代商贸物流产业发展。积极融入乌鲁木齐国际陆港区建设，推动现代物流产业各项工作有序推进。围绕交河物流港</w:t>
            </w:r>
            <w:r>
              <w:rPr>
                <w:rFonts w:hint="eastAsia" w:ascii="Times New Roman" w:hAnsi="Times New Roman" w:eastAsia="仿宋_GB2312" w:cs="Times New Roman"/>
                <w:lang w:bidi="en-US"/>
              </w:rPr>
              <w:t>、临空产业园</w:t>
            </w:r>
            <w:r>
              <w:rPr>
                <w:rFonts w:ascii="Times New Roman" w:hAnsi="Times New Roman" w:eastAsia="仿宋_GB2312" w:cs="Times New Roman"/>
                <w:lang w:bidi="en-US"/>
              </w:rPr>
              <w:t>建设促进交通运输、仓储冷链、配送代理、联运企业入驻园区，同时打造农副产品仓储加工交易集散地。</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（7）高昌区内的吐鲁番经济开发区</w:t>
            </w:r>
            <w:r>
              <w:rPr>
                <w:rFonts w:hint="eastAsia" w:ascii="Times New Roman" w:hAnsi="Times New Roman" w:eastAsia="仿宋_GB2312" w:cs="Times New Roman"/>
                <w:lang w:bidi="en-US"/>
              </w:rPr>
              <w:t>重点发展新型建材、化工新材料、装备制造、农副产品深加工、现代物理页</w:t>
            </w:r>
            <w:r>
              <w:rPr>
                <w:rFonts w:ascii="Times New Roman" w:hAnsi="Times New Roman" w:eastAsia="仿宋_GB2312" w:cs="Times New Roman"/>
                <w:lang w:bidi="en-US"/>
              </w:rPr>
              <w:t>。</w:t>
            </w:r>
            <w:r>
              <w:rPr>
                <w:rFonts w:hint="eastAsia" w:ascii="Times New Roman" w:hAnsi="Times New Roman" w:eastAsia="仿宋_GB2312" w:cs="Times New Roman"/>
                <w:lang w:bidi="en-US"/>
              </w:rPr>
              <w:t>沈宏工业园区重点发展无机盐化工、金属冶炼、矿产品物流业，打造全国最大的铬盐生产基地。</w:t>
            </w:r>
          </w:p>
          <w:p>
            <w:pPr>
              <w:adjustRightInd w:val="0"/>
              <w:snapToGrid w:val="0"/>
              <w:spacing w:line="320" w:lineRule="exact"/>
              <w:rPr>
                <w:rFonts w:ascii="Times New Roman" w:hAnsi="Times New Roman" w:eastAsia="仿宋_GB2312" w:cs="Times New Roman"/>
                <w:b/>
                <w:bCs/>
                <w:lang w:bidi="en-US"/>
              </w:rPr>
            </w:pPr>
            <w:r>
              <w:rPr>
                <w:rFonts w:ascii="Times New Roman" w:hAnsi="Times New Roman" w:eastAsia="仿宋_GB2312" w:cs="Times New Roman"/>
                <w:b/>
                <w:bCs/>
                <w:lang w:bidi="en-US"/>
              </w:rPr>
              <w:t>3．生态环境保护战略定位</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（1）高昌区北部的博格达山，属于天山山脉，承担水源涵养和水土保持的重要生态功能。</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（2）高昌区中部为平原绿洲、承担着农产品提供的功能；南部区域为荒漠区域，为防风固沙功能区。</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（3）艾丁湖湿地的保护目标为我国重要咸水湖及其生物多样性保护示范区、新疆盐尘暴与沙漠化防治示范园</w:t>
            </w:r>
            <w:r>
              <w:rPr>
                <w:rFonts w:hint="eastAsia" w:ascii="Times New Roman" w:hAnsi="Times New Roman" w:eastAsia="仿宋_GB2312" w:cs="Times New Roman"/>
                <w:lang w:bidi="en-US"/>
              </w:rPr>
              <w:t>。</w:t>
            </w:r>
          </w:p>
        </w:tc>
        <w:tc>
          <w:tcPr>
            <w:tcW w:w="6804" w:type="dxa"/>
            <w:tcBorders>
              <w:tl2br w:val="nil"/>
              <w:tr2bl w:val="nil"/>
            </w:tcBorders>
            <w:vAlign w:val="center"/>
          </w:tcPr>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1.生态空间环境问题</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（1）荒漠化面积有所缩减，但局部区域荒漠化程度加深。轻度风蚀荒漠面积减小，中度风蚀荒漠化面积变化不大，其它荒漠面积增加，盐碱地和重度风蚀荒漠面积增加较为明显。</w:t>
            </w:r>
            <w:r>
              <w:rPr>
                <w:rFonts w:hint="eastAsia" w:ascii="Times New Roman" w:hAnsi="Times New Roman" w:eastAsia="仿宋_GB2312" w:cs="Times New Roman"/>
                <w:lang w:bidi="en-US"/>
              </w:rPr>
              <w:t>除干旱少雨、干热大风等极端天气的自然因素之外，</w:t>
            </w:r>
            <w:r>
              <w:rPr>
                <w:rFonts w:ascii="Times New Roman" w:hAnsi="Times New Roman" w:eastAsia="仿宋_GB2312" w:cs="Times New Roman"/>
                <w:lang w:bidi="en-US"/>
              </w:rPr>
              <w:t>人为因素</w:t>
            </w:r>
            <w:r>
              <w:rPr>
                <w:rFonts w:hint="eastAsia" w:ascii="Times New Roman" w:hAnsi="Times New Roman" w:eastAsia="仿宋_GB2312" w:cs="Times New Roman"/>
                <w:lang w:bidi="en-US"/>
              </w:rPr>
              <w:t>也</w:t>
            </w:r>
            <w:r>
              <w:rPr>
                <w:rFonts w:ascii="Times New Roman" w:hAnsi="Times New Roman" w:eastAsia="仿宋_GB2312" w:cs="Times New Roman"/>
                <w:lang w:bidi="en-US"/>
              </w:rPr>
              <w:t>是荒漠化发展的动因之一。</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（2）水资源短缺、地下水水位下降，绿洲保护、生态系统维持压力</w:t>
            </w:r>
            <w:r>
              <w:rPr>
                <w:rFonts w:hint="eastAsia" w:ascii="Times New Roman" w:hAnsi="Times New Roman" w:eastAsia="仿宋_GB2312" w:cs="Times New Roman"/>
                <w:lang w:bidi="en-US"/>
              </w:rPr>
              <w:t>较</w:t>
            </w:r>
            <w:r>
              <w:rPr>
                <w:rFonts w:ascii="Times New Roman" w:hAnsi="Times New Roman" w:eastAsia="仿宋_GB2312" w:cs="Times New Roman"/>
                <w:lang w:bidi="en-US"/>
              </w:rPr>
              <w:t>大。目前，在流域下游的绿洲，地下水引水条件较好的区域，</w:t>
            </w:r>
            <w:r>
              <w:rPr>
                <w:rFonts w:hint="eastAsia" w:ascii="Times New Roman" w:hAnsi="Times New Roman" w:eastAsia="仿宋_GB2312" w:cs="Times New Roman"/>
                <w:lang w:bidi="en-US"/>
              </w:rPr>
              <w:t>绿洲面积有所增加；</w:t>
            </w:r>
            <w:r>
              <w:rPr>
                <w:rFonts w:ascii="Times New Roman" w:hAnsi="Times New Roman" w:eastAsia="仿宋_GB2312" w:cs="Times New Roman"/>
                <w:lang w:bidi="en-US"/>
              </w:rPr>
              <w:t>而北部紧靠火焰山，南部紧邻戈壁荒漠</w:t>
            </w:r>
            <w:r>
              <w:rPr>
                <w:rFonts w:hint="eastAsia" w:ascii="Times New Roman" w:hAnsi="Times New Roman" w:eastAsia="仿宋_GB2312" w:cs="Times New Roman"/>
                <w:lang w:bidi="en-US"/>
              </w:rPr>
              <w:t>的区域</w:t>
            </w:r>
            <w:r>
              <w:rPr>
                <w:rFonts w:ascii="Times New Roman" w:hAnsi="Times New Roman" w:eastAsia="仿宋_GB2312" w:cs="Times New Roman"/>
                <w:lang w:bidi="en-US"/>
              </w:rPr>
              <w:t>，</w:t>
            </w:r>
            <w:r>
              <w:rPr>
                <w:rFonts w:hint="eastAsia" w:ascii="Times New Roman" w:hAnsi="Times New Roman" w:eastAsia="仿宋_GB2312" w:cs="Times New Roman"/>
                <w:lang w:bidi="en-US"/>
              </w:rPr>
              <w:t>由于</w:t>
            </w:r>
            <w:r>
              <w:rPr>
                <w:rFonts w:ascii="Times New Roman" w:hAnsi="Times New Roman" w:eastAsia="仿宋_GB2312" w:cs="Times New Roman"/>
                <w:lang w:bidi="en-US"/>
              </w:rPr>
              <w:t>山区地形复杂，荒漠地区缺水、盐渍化问题</w:t>
            </w:r>
            <w:r>
              <w:rPr>
                <w:rFonts w:hint="eastAsia" w:ascii="Times New Roman" w:hAnsi="Times New Roman" w:eastAsia="仿宋_GB2312" w:cs="Times New Roman"/>
                <w:lang w:bidi="en-US"/>
              </w:rPr>
              <w:t>比较突出</w:t>
            </w:r>
            <w:r>
              <w:rPr>
                <w:rFonts w:ascii="Times New Roman" w:hAnsi="Times New Roman" w:eastAsia="仿宋_GB2312" w:cs="Times New Roman"/>
                <w:lang w:bidi="en-US"/>
              </w:rPr>
              <w:t>。</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（3）矿产资源丰富，但矿产资源开发与生态环境保护</w:t>
            </w:r>
            <w:r>
              <w:rPr>
                <w:rFonts w:hint="eastAsia" w:ascii="Times New Roman" w:hAnsi="Times New Roman" w:eastAsia="仿宋_GB2312" w:cs="Times New Roman"/>
                <w:lang w:bidi="en-US"/>
              </w:rPr>
              <w:t>存在</w:t>
            </w:r>
            <w:r>
              <w:rPr>
                <w:rFonts w:ascii="Times New Roman" w:hAnsi="Times New Roman" w:eastAsia="仿宋_GB2312" w:cs="Times New Roman"/>
                <w:lang w:bidi="en-US"/>
              </w:rPr>
              <w:t>矛盾。矿产资源所处位置多位于生态环境较为脆弱的荒漠区域，对矿产资源开发需提出更高环境保护要求。</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2.环境质量重点问题</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（1）大气环境质量改善难度大。综合自然和人为的因素，吐鲁番的区域扩散条件和其产业的发展导致其大气环境质量改善的难度非常大。</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（2）对艾丁湖的保护刻不容缓。综合气候、地下水超采、上游地表径流截流引用等原因，进入艾丁湖的水量大幅减少，至2010年，湖泊水体面积较1940年减少了98%</w:t>
            </w:r>
            <w:r>
              <w:rPr>
                <w:rFonts w:hint="eastAsia" w:ascii="Times New Roman" w:hAnsi="Times New Roman" w:eastAsia="仿宋_GB2312" w:cs="Times New Roman"/>
                <w:lang w:bidi="en-US"/>
              </w:rPr>
              <w:t>，仅为2km</w:t>
            </w:r>
            <w:r>
              <w:rPr>
                <w:rFonts w:ascii="Times New Roman" w:hAnsi="Times New Roman" w:eastAsia="仿宋_GB2312" w:cs="Times New Roman"/>
                <w:vertAlign w:val="superscript"/>
                <w:lang w:bidi="en-US"/>
              </w:rPr>
              <w:t>2</w:t>
            </w:r>
            <w:r>
              <w:rPr>
                <w:rFonts w:ascii="Times New Roman" w:hAnsi="Times New Roman" w:eastAsia="仿宋_GB2312" w:cs="Times New Roman"/>
                <w:lang w:bidi="en-US"/>
              </w:rPr>
              <w:t>。</w:t>
            </w:r>
            <w:r>
              <w:rPr>
                <w:rFonts w:hint="eastAsia" w:ascii="Times New Roman" w:hAnsi="Times New Roman" w:eastAsia="仿宋_GB2312" w:cs="Times New Roman"/>
                <w:lang w:bidi="en-US"/>
              </w:rPr>
              <w:t>近几年政府采取了多种生态治理措施，2</w:t>
            </w:r>
            <w:r>
              <w:rPr>
                <w:rFonts w:ascii="Times New Roman" w:hAnsi="Times New Roman" w:eastAsia="仿宋_GB2312" w:cs="Times New Roman"/>
                <w:lang w:bidi="en-US"/>
              </w:rPr>
              <w:t>019</w:t>
            </w:r>
            <w:r>
              <w:rPr>
                <w:rFonts w:hint="eastAsia" w:ascii="Times New Roman" w:hAnsi="Times New Roman" w:eastAsia="仿宋_GB2312" w:cs="Times New Roman"/>
                <w:lang w:bidi="en-US"/>
              </w:rPr>
              <w:t>年湖面恢复到5km</w:t>
            </w:r>
            <w:r>
              <w:rPr>
                <w:rFonts w:ascii="Times New Roman" w:hAnsi="Times New Roman" w:eastAsia="仿宋_GB2312" w:cs="Times New Roman"/>
                <w:vertAlign w:val="superscript"/>
                <w:lang w:bidi="en-US"/>
              </w:rPr>
              <w:t>2</w:t>
            </w:r>
            <w:r>
              <w:rPr>
                <w:rFonts w:hint="eastAsia" w:ascii="Times New Roman" w:hAnsi="Times New Roman" w:eastAsia="仿宋_GB2312" w:cs="Times New Roman"/>
                <w:lang w:bidi="en-US"/>
              </w:rPr>
              <w:t>。</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（3）土壤存在污染风险隐患。</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3.资源开发利用问题</w:t>
            </w:r>
          </w:p>
          <w:p>
            <w:pPr>
              <w:pStyle w:val="45"/>
              <w:spacing w:line="320" w:lineRule="exact"/>
              <w:ind w:firstLine="0" w:firstLineChars="0"/>
              <w:rPr>
                <w:rFonts w:ascii="Times New Roman" w:hAnsi="Times New Roman" w:eastAsia="仿宋_GB2312" w:cs="Times New Roman"/>
                <w:lang w:bidi="en-US"/>
              </w:rPr>
            </w:pPr>
            <w:r>
              <w:rPr>
                <w:rFonts w:ascii="Times New Roman" w:hAnsi="Times New Roman" w:eastAsia="仿宋_GB2312" w:cs="Times New Roman"/>
                <w:lang w:bidi="en-US"/>
              </w:rPr>
              <w:t>（1）地下水超采严重。长期过量开采地下水，导致地下水水位下降，有些地区地下水水位下降了20余米，平均每年降幅达到了2m以上。</w:t>
            </w:r>
          </w:p>
          <w:p>
            <w:pPr>
              <w:pStyle w:val="45"/>
              <w:spacing w:line="320" w:lineRule="exact"/>
              <w:ind w:firstLine="0" w:firstLineChars="0"/>
              <w:rPr>
                <w:rFonts w:ascii="Times New Roman" w:hAnsi="Times New Roman" w:eastAsia="仿宋_GB2312" w:cs="Times New Roman"/>
                <w:lang w:bidi="en-US"/>
              </w:rPr>
            </w:pPr>
            <w:r>
              <w:rPr>
                <w:rFonts w:ascii="Times New Roman" w:hAnsi="Times New Roman" w:eastAsia="仿宋_GB2312" w:cs="Times New Roman"/>
                <w:lang w:bidi="en-US"/>
              </w:rPr>
              <w:t>（2）坎儿井急剧衰减。2009 年据三普资料可知，吐鲁番</w:t>
            </w:r>
            <w:r>
              <w:rPr>
                <w:rFonts w:hint="eastAsia" w:ascii="Times New Roman" w:hAnsi="Times New Roman" w:eastAsia="仿宋_GB2312" w:cs="Times New Roman"/>
                <w:lang w:bidi="en-US"/>
              </w:rPr>
              <w:t>市</w:t>
            </w:r>
            <w:r>
              <w:rPr>
                <w:rFonts w:ascii="Times New Roman" w:hAnsi="Times New Roman" w:eastAsia="仿宋_GB2312" w:cs="Times New Roman"/>
                <w:lang w:bidi="en-US"/>
              </w:rPr>
              <w:t>共有1108 条坎儿井，其中有水坎儿井为279条。2014 年，吐鲁番</w:t>
            </w:r>
            <w:r>
              <w:rPr>
                <w:rFonts w:hint="eastAsia" w:ascii="Times New Roman" w:hAnsi="Times New Roman" w:eastAsia="仿宋_GB2312" w:cs="Times New Roman"/>
                <w:lang w:bidi="en-US"/>
              </w:rPr>
              <w:t>市</w:t>
            </w:r>
            <w:r>
              <w:rPr>
                <w:rFonts w:ascii="Times New Roman" w:hAnsi="Times New Roman" w:eastAsia="仿宋_GB2312" w:cs="Times New Roman"/>
                <w:lang w:bidi="en-US"/>
              </w:rPr>
              <w:t>有水坎儿井的数量减少为214 条</w:t>
            </w:r>
            <w:r>
              <w:rPr>
                <w:rFonts w:hint="eastAsia" w:ascii="Times New Roman" w:hAnsi="Times New Roman" w:eastAsia="仿宋_GB2312" w:cs="Times New Roman"/>
                <w:lang w:bidi="en-US"/>
              </w:rPr>
              <w:t>，其中高昌区有水坎儿井为1</w:t>
            </w:r>
            <w:r>
              <w:rPr>
                <w:rFonts w:ascii="Times New Roman" w:hAnsi="Times New Roman" w:eastAsia="仿宋_GB2312" w:cs="Times New Roman"/>
                <w:lang w:bidi="en-US"/>
              </w:rPr>
              <w:t>15</w:t>
            </w:r>
            <w:r>
              <w:rPr>
                <w:rFonts w:hint="eastAsia" w:ascii="Times New Roman" w:hAnsi="Times New Roman" w:eastAsia="仿宋_GB2312" w:cs="Times New Roman"/>
                <w:lang w:bidi="en-US"/>
              </w:rPr>
              <w:t>条</w:t>
            </w:r>
            <w:r>
              <w:rPr>
                <w:rFonts w:ascii="Times New Roman" w:hAnsi="Times New Roman" w:eastAsia="仿宋_GB2312" w:cs="Times New Roman"/>
                <w:lang w:bidi="en-US"/>
              </w:rPr>
              <w:t>。</w:t>
            </w:r>
            <w:r>
              <w:rPr>
                <w:rFonts w:hint="eastAsia" w:ascii="Times New Roman" w:hAnsi="Times New Roman" w:eastAsia="仿宋_GB2312" w:cs="Times New Roman"/>
                <w:lang w:bidi="en-US"/>
              </w:rPr>
              <w:t>2</w:t>
            </w:r>
            <w:r>
              <w:rPr>
                <w:rFonts w:ascii="Times New Roman" w:hAnsi="Times New Roman" w:eastAsia="仿宋_GB2312" w:cs="Times New Roman"/>
                <w:lang w:bidi="en-US"/>
              </w:rPr>
              <w:t>020</w:t>
            </w:r>
            <w:r>
              <w:rPr>
                <w:rFonts w:hint="eastAsia" w:ascii="Times New Roman" w:hAnsi="Times New Roman" w:eastAsia="仿宋_GB2312" w:cs="Times New Roman"/>
                <w:lang w:bidi="en-US"/>
              </w:rPr>
              <w:t>年，高昌区有水坎儿井为1</w:t>
            </w:r>
            <w:r>
              <w:rPr>
                <w:rFonts w:ascii="Times New Roman" w:hAnsi="Times New Roman" w:eastAsia="仿宋_GB2312" w:cs="Times New Roman"/>
                <w:lang w:bidi="en-US"/>
              </w:rPr>
              <w:t>10</w:t>
            </w:r>
            <w:r>
              <w:rPr>
                <w:rFonts w:hint="eastAsia" w:ascii="Times New Roman" w:hAnsi="Times New Roman" w:eastAsia="仿宋_GB2312" w:cs="Times New Roman"/>
                <w:lang w:bidi="en-US"/>
              </w:rPr>
              <w:t>条。</w:t>
            </w:r>
          </w:p>
          <w:p>
            <w:pPr>
              <w:pStyle w:val="45"/>
              <w:spacing w:line="320" w:lineRule="exact"/>
              <w:ind w:firstLine="0" w:firstLineChars="0"/>
              <w:rPr>
                <w:rFonts w:ascii="Times New Roman" w:hAnsi="Times New Roman" w:eastAsia="仿宋_GB2312" w:cs="Times New Roman"/>
                <w:lang w:bidi="en-US"/>
              </w:rPr>
            </w:pPr>
            <w:r>
              <w:rPr>
                <w:rFonts w:ascii="Times New Roman" w:hAnsi="Times New Roman" w:eastAsia="仿宋_GB2312" w:cs="Times New Roman"/>
                <w:lang w:bidi="en-US"/>
              </w:rPr>
              <w:t>（3）</w:t>
            </w:r>
            <w:r>
              <w:rPr>
                <w:rFonts w:hint="eastAsia" w:ascii="Times New Roman" w:hAnsi="Times New Roman" w:eastAsia="仿宋_GB2312" w:cs="Times New Roman"/>
                <w:lang w:bidi="en-US"/>
              </w:rPr>
              <w:t>工业园区</w:t>
            </w:r>
            <w:r>
              <w:rPr>
                <w:rFonts w:ascii="Times New Roman" w:hAnsi="Times New Roman" w:eastAsia="仿宋_GB2312" w:cs="Times New Roman"/>
                <w:lang w:bidi="en-US"/>
              </w:rPr>
              <w:t>土地资源利用率低</w:t>
            </w:r>
            <w:r>
              <w:rPr>
                <w:rFonts w:hint="eastAsia" w:ascii="Times New Roman" w:hAnsi="Times New Roman" w:eastAsia="仿宋_GB2312" w:cs="Times New Roman"/>
                <w:lang w:bidi="en-US"/>
              </w:rPr>
              <w:t>。</w:t>
            </w:r>
          </w:p>
          <w:p>
            <w:pPr>
              <w:adjustRightInd w:val="0"/>
              <w:snapToGrid w:val="0"/>
              <w:rPr>
                <w:rFonts w:ascii="Times New Roman" w:hAnsi="Times New Roman" w:eastAsia="仿宋_GB2312" w:cs="Times New Roman"/>
                <w:lang w:bidi="en-US"/>
              </w:rPr>
            </w:pPr>
          </w:p>
          <w:p>
            <w:pPr>
              <w:adjustRightInd w:val="0"/>
              <w:snapToGrid w:val="0"/>
              <w:rPr>
                <w:rFonts w:ascii="Times New Roman" w:hAnsi="Times New Roman" w:eastAsia="仿宋_GB2312" w:cs="Times New Roman"/>
                <w:lang w:bidi="en-US"/>
              </w:rPr>
            </w:pPr>
          </w:p>
        </w:tc>
      </w:tr>
    </w:tbl>
    <w:p>
      <w:pPr>
        <w:adjustRightInd w:val="0"/>
        <w:snapToGrid w:val="0"/>
        <w:ind w:firstLine="560"/>
        <w:jc w:val="center"/>
        <w:rPr>
          <w:rFonts w:ascii="仿宋_GB2312" w:hAnsi="Times New Roman" w:eastAsia="仿宋_GB2312" w:cs="Times New Roman"/>
          <w:b/>
          <w:iCs/>
          <w:sz w:val="28"/>
          <w:szCs w:val="21"/>
        </w:rPr>
      </w:pPr>
      <w:r>
        <w:rPr>
          <w:rFonts w:hint="eastAsia" w:ascii="仿宋_GB2312" w:hAnsi="Times New Roman" w:eastAsia="仿宋_GB2312" w:cs="Times New Roman"/>
          <w:b/>
          <w:iCs/>
          <w:sz w:val="28"/>
          <w:szCs w:val="21"/>
        </w:rPr>
        <w:t>表</w:t>
      </w:r>
      <w:r>
        <w:rPr>
          <w:rFonts w:ascii="Times New Roman" w:hAnsi="Times New Roman" w:eastAsia="仿宋_GB2312" w:cs="Times New Roman"/>
          <w:b/>
          <w:iCs/>
          <w:sz w:val="28"/>
          <w:szCs w:val="21"/>
        </w:rPr>
        <w:t>2</w:t>
      </w:r>
      <w:r>
        <w:rPr>
          <w:rFonts w:hint="eastAsia" w:ascii="Times New Roman" w:hAnsi="Times New Roman" w:eastAsia="仿宋_GB2312" w:cs="Times New Roman"/>
          <w:b/>
          <w:iCs/>
          <w:sz w:val="28"/>
          <w:szCs w:val="21"/>
        </w:rPr>
        <w:t>.1-2</w:t>
      </w:r>
      <w:r>
        <w:rPr>
          <w:rFonts w:hint="eastAsia" w:ascii="仿宋_GB2312" w:hAnsi="Times New Roman" w:eastAsia="仿宋_GB2312" w:cs="Times New Roman"/>
          <w:b/>
          <w:iCs/>
          <w:sz w:val="28"/>
          <w:szCs w:val="21"/>
        </w:rPr>
        <w:t xml:space="preserve">  吐鲁番市高昌区生态环境准入清单</w:t>
      </w:r>
    </w:p>
    <w:tbl>
      <w:tblPr>
        <w:tblStyle w:val="37"/>
        <w:tblW w:w="210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2"/>
        <w:gridCol w:w="1975"/>
        <w:gridCol w:w="1579"/>
        <w:gridCol w:w="1022"/>
        <w:gridCol w:w="9225"/>
        <w:gridCol w:w="5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blHeader/>
          <w:jc w:val="center"/>
        </w:trPr>
        <w:tc>
          <w:tcPr>
            <w:tcW w:w="2212"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b/>
                <w:bCs/>
                <w:lang w:bidi="en-US"/>
              </w:rPr>
              <w:t>环境管控单元编码</w:t>
            </w:r>
          </w:p>
        </w:tc>
        <w:tc>
          <w:tcPr>
            <w:tcW w:w="1975"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b/>
                <w:bCs/>
                <w:lang w:bidi="en-US"/>
              </w:rPr>
              <w:t>环境管控单元名称</w:t>
            </w:r>
          </w:p>
        </w:tc>
        <w:tc>
          <w:tcPr>
            <w:tcW w:w="1579"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仿宋" w:eastAsia="仿宋_GB2312" w:cs="仿宋"/>
                <w:b/>
                <w:bCs/>
                <w:lang w:bidi="en-US"/>
              </w:rPr>
              <w:t>环境管控单元类别</w:t>
            </w:r>
          </w:p>
        </w:tc>
        <w:tc>
          <w:tcPr>
            <w:tcW w:w="10247" w:type="dxa"/>
            <w:gridSpan w:val="2"/>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b/>
                <w:bCs/>
                <w:lang w:bidi="en-US"/>
              </w:rPr>
              <w:t>管控要求</w:t>
            </w:r>
          </w:p>
        </w:tc>
        <w:tc>
          <w:tcPr>
            <w:tcW w:w="5080" w:type="dxa"/>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b/>
                <w:bCs/>
                <w:lang w:bidi="en-US"/>
              </w:rPr>
              <w:t>编制理由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ZH65040210001</w:t>
            </w:r>
          </w:p>
        </w:tc>
        <w:tc>
          <w:tcPr>
            <w:tcW w:w="1975"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Times New Roman" w:hAnsi="Times New Roman" w:eastAsia="仿宋_GB2312" w:cs="Times New Roman"/>
              </w:rPr>
              <w:t>高昌区</w:t>
            </w:r>
            <w:r>
              <w:rPr>
                <w:rFonts w:hint="eastAsia" w:ascii="仿宋_GB2312" w:hAnsi="Times New Roman" w:eastAsia="仿宋_GB2312" w:cs="Times New Roman"/>
                <w:lang w:bidi="en-US"/>
              </w:rPr>
              <w:t>零公里、八公里水源地</w:t>
            </w:r>
            <w:r>
              <w:rPr>
                <w:rFonts w:hint="eastAsia" w:ascii="Times New Roman" w:hAnsi="Times New Roman" w:eastAsia="仿宋_GB2312" w:cs="Times New Roman"/>
              </w:rPr>
              <w:t>优先保护单元</w:t>
            </w:r>
          </w:p>
        </w:tc>
        <w:tc>
          <w:tcPr>
            <w:tcW w:w="1579"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02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仿宋_GB2312" w:hAnsi="Times New Roman" w:eastAsia="仿宋_GB2312" w:cs="Times New Roman"/>
                <w:lang w:bidi="en-US"/>
              </w:rPr>
              <w:t>.</w:t>
            </w:r>
            <w:r>
              <w:rPr>
                <w:rFonts w:hint="eastAsia" w:ascii="仿宋_GB2312" w:hAnsi="Times New Roman" w:eastAsia="仿宋_GB2312" w:cs="Times New Roman"/>
                <w:lang w:bidi="en-US"/>
              </w:rPr>
              <w:t>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执行饮用水水源一级保护区的相关法律法规的要求。包括但不限于：饮用水水源一级保护区内禁止新建、</w:t>
            </w:r>
            <w:r>
              <w:rPr>
                <w:rFonts w:hint="eastAsia" w:ascii="仿宋_GB2312" w:hAnsi="仿宋" w:eastAsia="仿宋_GB2312" w:cs="仿宋"/>
                <w:bCs/>
                <w:lang w:bidi="en-US"/>
              </w:rPr>
              <w:t>扩建、改</w:t>
            </w:r>
            <w:r>
              <w:rPr>
                <w:rFonts w:ascii="仿宋_GB2312" w:hAnsi="仿宋" w:eastAsia="仿宋_GB2312" w:cs="仿宋"/>
                <w:bCs/>
                <w:lang w:bidi="en-US"/>
              </w:rPr>
              <w:t>建</w:t>
            </w:r>
            <w:r>
              <w:rPr>
                <w:rFonts w:hint="eastAsia" w:ascii="仿宋_GB2312" w:hAnsi="Times New Roman" w:eastAsia="仿宋_GB2312" w:cs="Times New Roman"/>
                <w:lang w:bidi="en-US"/>
              </w:rPr>
              <w:t>与供水设施和保护水源无关的建设项目；已建成的与供水设施和保护水源无关的建设项目，由县级以上人民政府责令拆除或者关闭。禁止在饮用水水源一级保护区内从事可能污染饮用水水体的活动，禁止建设与取水设施无关的建筑物，禁止从事农牧业活动，禁止倾倒、堆放工业废渣及城市垃圾、粪便和其他有害废弃物，禁止输送污水的渠道、管道及输油管道通过本区，禁止建立墓地。</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完成水源地规范化建设。</w:t>
            </w:r>
          </w:p>
        </w:tc>
        <w:tc>
          <w:tcPr>
            <w:tcW w:w="5080"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生态保护红线区，为八公里和零公里地下水饮用水水源一级保护区</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生态保护红线区、水环境优先保护区、大气环境优先保护区</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《中华人民共和国环境保护法》、《中华人民共和国水污染防治法》、《饮用水源保护区污染防治管理规定》、《新疆维吾尔自治区环境保护条例》、《关于划定并严守生态保护红线的若干意见》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5" w:hRule="atLeast"/>
          <w:jc w:val="center"/>
        </w:trPr>
        <w:tc>
          <w:tcPr>
            <w:tcW w:w="2212"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Times New Roman" w:eastAsia="仿宋_GB2312" w:cs="Times New Roman"/>
                <w:lang w:bidi="en-US"/>
              </w:rPr>
              <w:t>ZH65040210002</w:t>
            </w:r>
          </w:p>
        </w:tc>
        <w:tc>
          <w:tcPr>
            <w:tcW w:w="1975"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Times New Roman" w:hAnsi="Times New Roman" w:eastAsia="仿宋_GB2312" w:cs="Times New Roman"/>
              </w:rPr>
              <w:t>高昌区吐鲁番</w:t>
            </w:r>
            <w:r>
              <w:rPr>
                <w:rFonts w:ascii="Times New Roman" w:hAnsi="Times New Roman" w:eastAsia="仿宋_GB2312" w:cs="Times New Roman"/>
              </w:rPr>
              <w:t>火焰山-</w:t>
            </w:r>
            <w:r>
              <w:rPr>
                <w:rFonts w:hint="eastAsia" w:ascii="Times New Roman" w:hAnsi="Times New Roman" w:eastAsia="仿宋_GB2312" w:cs="Times New Roman"/>
              </w:rPr>
              <w:t>葡萄沟</w:t>
            </w:r>
            <w:r>
              <w:rPr>
                <w:rFonts w:ascii="Times New Roman" w:hAnsi="Times New Roman" w:eastAsia="仿宋_GB2312" w:cs="Times New Roman"/>
              </w:rPr>
              <w:t>风景名胜区</w:t>
            </w:r>
            <w:r>
              <w:rPr>
                <w:rFonts w:hint="eastAsia" w:ascii="Times New Roman" w:hAnsi="Times New Roman" w:eastAsia="仿宋_GB2312" w:cs="Times New Roman"/>
              </w:rPr>
              <w:t>优先保护单元</w:t>
            </w:r>
          </w:p>
        </w:tc>
        <w:tc>
          <w:tcPr>
            <w:tcW w:w="1579"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Times New Roman" w:eastAsia="仿宋_GB2312" w:cs="Times New Roman"/>
                <w:lang w:bidi="en-US"/>
              </w:rPr>
              <w:t>优先保护单元</w:t>
            </w:r>
          </w:p>
        </w:tc>
        <w:tc>
          <w:tcPr>
            <w:tcW w:w="1022"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Times New Roman" w:eastAsia="仿宋_GB2312" w:cs="Times New Roman"/>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执行风景名胜区的相关法律法规的要求。包括在风景名胜区内禁止进行下列活动：开山、采石、开矿、开荒、修坟立碑等破坏景观、植被和地形地貌的活动；修建储存爆炸性、易燃性、放射性、毒害性、腐蚀性物品的设施；在景物或者设施上刻划、涂污；乱扔垃圾。</w:t>
            </w:r>
            <w:r>
              <w:rPr>
                <w:rFonts w:hint="eastAsia" w:ascii="仿宋_GB2312" w:hAnsi="仿宋" w:eastAsia="仿宋_GB2312" w:cs="仿宋"/>
                <w:bCs/>
                <w:lang w:bidi="en-US"/>
              </w:rPr>
              <w:t>禁止违反风景名胜区规划，在风景名胜区内设立各类开发区和在核心景区内建设宾馆、招待所、培训中心、疗养院以及与风景名胜资源保护无关的其他建筑物。在风景名胜区内进行下列活动，应当经风景名胜区管理机构审核后，依照有关法律、法规的规定报有关主管部门批准：设置、张贴商业广告；举办大型游乐等活动；改变水资源、水环境自然状态的活动；其他影响生态和景观的活动。</w:t>
            </w:r>
          </w:p>
        </w:tc>
        <w:tc>
          <w:tcPr>
            <w:tcW w:w="5080"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生态保护红线区，为吐鲁番火焰山</w:t>
            </w:r>
            <w:r>
              <w:rPr>
                <w:rFonts w:ascii="仿宋_GB2312" w:hAnsi="仿宋" w:eastAsia="仿宋_GB2312" w:cs="仿宋"/>
                <w:bCs/>
                <w:lang w:bidi="en-US"/>
              </w:rPr>
              <w:t>-葡萄沟风景名胜区</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生态保护红线区、大气环境优先保护区</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《中华人民共和国环境保护法》、《风景名胜区条例》、《新疆维吾尔自治区环境保护条例》、《新疆维吾尔自治区风景名胜区管理条例》、《关于划定并严守生态保护红线的若干意见》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ZH65040210003</w:t>
            </w:r>
          </w:p>
        </w:tc>
        <w:tc>
          <w:tcPr>
            <w:tcW w:w="1975"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Times New Roman" w:hAnsi="Times New Roman" w:eastAsia="仿宋_GB2312" w:cs="Times New Roman"/>
              </w:rPr>
              <w:t>高昌区</w:t>
            </w:r>
            <w:r>
              <w:rPr>
                <w:rFonts w:ascii="Times New Roman" w:hAnsi="Times New Roman" w:eastAsia="仿宋_GB2312" w:cs="Times New Roman"/>
              </w:rPr>
              <w:t>天山水源涵养与生物多样性维护生态保护红线区</w:t>
            </w:r>
          </w:p>
        </w:tc>
        <w:tc>
          <w:tcPr>
            <w:tcW w:w="1579"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02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推进天然林保护和围栏封育，维护与重建森林、草原等生态系统，严格保护具有水源涵养功能的植被。</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禁止对野生动植物进行滥捕、乱采和乱猎。保护自然生态系统与重要物种栖息地，</w:t>
            </w:r>
            <w:r>
              <w:rPr>
                <w:rFonts w:ascii="仿宋_GB2312" w:hAnsi="Times New Roman" w:eastAsia="仿宋_GB2312" w:cs="Times New Roman"/>
                <w:lang w:bidi="en-US"/>
              </w:rPr>
              <w:t>加强生态建设和管理，减少人为干扰，对其进行封禁，要维持好天然草地的生态平衡，保护好现有野生动植物生存环境。</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4.开展多种形式的民间生物多样性就地保护；继续实施退牧还草工程，通过禁牧封育、轮封轮牧等措施，限制超载放牧等活动，加强草原生态系统保护。</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5</w:t>
            </w:r>
            <w:r>
              <w:rPr>
                <w:rFonts w:ascii="仿宋_GB2312" w:hAnsi="Times New Roman" w:eastAsia="仿宋_GB2312" w:cs="Times New Roman"/>
                <w:lang w:bidi="en-US"/>
              </w:rPr>
              <w:t>.</w:t>
            </w:r>
            <w:r>
              <w:rPr>
                <w:rFonts w:hint="eastAsia" w:ascii="仿宋_GB2312" w:hAnsi="Times New Roman" w:eastAsia="仿宋_GB2312" w:cs="Times New Roman"/>
                <w:lang w:bidi="en-US"/>
              </w:rPr>
              <w:t>减少人类活动、人类扰动对冰川的影响。推进冰川区生态监测。</w:t>
            </w:r>
          </w:p>
        </w:tc>
        <w:tc>
          <w:tcPr>
            <w:tcW w:w="5080"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生态保护红线区，涉及冰川及永久积雪</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生态保护红线区、水环境优先保护区、大气环境优先保护区</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《中华人民共和国环境保护法》、《中华人民共和国森林法》、《中华人民共和国草原法》、《新疆维吾尔自治区环境保护条例》、《关于划定并严守生态保护红线的若干意见》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ZH65040210004</w:t>
            </w:r>
          </w:p>
        </w:tc>
        <w:tc>
          <w:tcPr>
            <w:tcW w:w="1975"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Times New Roman" w:hAnsi="Times New Roman" w:eastAsia="仿宋_GB2312" w:cs="Times New Roman"/>
              </w:rPr>
              <w:t>高昌区新疆江布拉克国家森林公园优先保护单元</w:t>
            </w:r>
          </w:p>
        </w:tc>
        <w:tc>
          <w:tcPr>
            <w:tcW w:w="1579"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02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执行森林公园的相关法律法规的要求。禁止毁林开垦和毁林采石、采砂、采土以及其他毁林行为；</w:t>
            </w:r>
            <w:r>
              <w:rPr>
                <w:rFonts w:ascii="仿宋_GB2312" w:hAnsi="Times New Roman" w:eastAsia="仿宋_GB2312" w:cs="Times New Roman"/>
                <w:lang w:bidi="en-US"/>
              </w:rPr>
              <w:t>采伐森林公园的林木，必须遵守有关林业法规、经营方案和技术规程的规定。</w:t>
            </w:r>
            <w:r>
              <w:rPr>
                <w:rFonts w:hint="eastAsia" w:ascii="仿宋_GB2312" w:hAnsi="Times New Roman" w:eastAsia="仿宋_GB2312" w:cs="Times New Roman"/>
                <w:lang w:bidi="en-US"/>
              </w:rPr>
              <w:t>禁止在幼林地和特种用途林内砍柴、放牧。在珍贵景物、重要景点和核心景区，除必要的保护和附属设施外，不得建设宾馆、招待所、疗养院和其他工程设施。国家级森林公园内的建设项目应当符合总体规划的要求，其选址、规模、风格和色彩等应当与周边景观与环境相协调，相应的废水、废物处理和防火设施应当同时设计、同时施工、同时使用。</w:t>
            </w:r>
          </w:p>
        </w:tc>
        <w:tc>
          <w:tcPr>
            <w:tcW w:w="5080"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生态保护红线区，涉及</w:t>
            </w:r>
            <w:r>
              <w:rPr>
                <w:rFonts w:hint="eastAsia" w:ascii="Times New Roman" w:hAnsi="Times New Roman" w:eastAsia="仿宋_GB2312" w:cs="Times New Roman"/>
              </w:rPr>
              <w:t>新疆江布拉克国家森林公园（高昌区境内部分）</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生态保护红线区、水环境优先保护区、大气环境优先保护区</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《中华人民共和国环境保护法》、《中华人民共和国森林法》、《森林公园管理办法》、《新疆维吾尔自治区环境保护条例》、《关于划定并严守生态保护红线的若干意见》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ZH65040210005</w:t>
            </w:r>
          </w:p>
        </w:tc>
        <w:tc>
          <w:tcPr>
            <w:tcW w:w="1975"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高昌区新疆罗布泊野骆驼国家级自然保护区优先保护单元</w:t>
            </w:r>
          </w:p>
        </w:tc>
        <w:tc>
          <w:tcPr>
            <w:tcW w:w="1579"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02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执行自然保护区的相关法律法规的要求。禁止在自然保护区内进行砍伐、放牧、狩猎、捕捞、采药、开垦、烧荒、开矿、采石、挖沙等活动；但是，法律、行政法规另有规定的除外。在自然保护区的实验区内，不得建设污染环境、破坏资源或者景观的生产设施；建设其他项目，其污染物排放不得超过国家和地方规定的污染物排放标准。在自然保护区的实验区内开展参观、旅游活动的，由自然保护区管理机构编制方案，方案应当符合自然保护区管理目标。严禁开设与自然保护区保护方向不一致的参观、旅游项目。</w:t>
            </w:r>
          </w:p>
        </w:tc>
        <w:tc>
          <w:tcPr>
            <w:tcW w:w="5080"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生态保护红线区，为新疆罗布泊野骆驼国家级自然保护区(国家级)实验区</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生态保护红线区、大气环境优先保护区</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《中华人民共和国环境保护法》、《中华人民共和国自然保护区条例》、《新疆维吾尔自治区环境保护条例》、《关于划定并严守生态保护红线的若干意见》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ZH65040210006</w:t>
            </w:r>
          </w:p>
        </w:tc>
        <w:tc>
          <w:tcPr>
            <w:tcW w:w="1975"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高昌区一般生态空间</w:t>
            </w:r>
          </w:p>
        </w:tc>
        <w:tc>
          <w:tcPr>
            <w:tcW w:w="1579"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02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1.开展以保护艾丁湖湿地为主的生态修复工作。加强天然林保护，禁止毁林开垦、蚕食林地和非法占用林地；加强防护林建设，开展绿洲外围的荒漠区生态治理和绿洲内部退化林修复。推进沙化草原治理工作。</w:t>
            </w:r>
            <w:r>
              <w:rPr>
                <w:rFonts w:ascii="仿宋_GB2312" w:hAnsi="Times New Roman" w:eastAsia="仿宋_GB2312" w:cs="Times New Roman"/>
                <w:lang w:bidi="en-US"/>
              </w:rPr>
              <w:t xml:space="preserve"> </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严格保护具有水源涵养功能的植被。任何单位和个人不得在水源涵养区、饮用水水源保护区内和河流、湖泊、水库周围建设重化工、涉重金属等工业污染项目。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全面实施退耕还林、退牧还草工程。在水土流失严重并可能对当地或下游造成严重危害的区域实施水土保持工程，进行重点治理。严格资源开发和建设项目的生态监管，控制新的人为水土流失。</w:t>
            </w:r>
            <w:r>
              <w:rPr>
                <w:rFonts w:ascii="仿宋_GB2312" w:hAnsi="Times New Roman" w:eastAsia="仿宋_GB2312" w:cs="Times New Roman"/>
                <w:lang w:bidi="en-US"/>
              </w:rPr>
              <w:t>生产建设项目选址、选线应当避让水土流失重点预防区和重点治理区；无法避让的，应当提高防治标准，优化施工工艺，减少地表扰动和植被损坏范围，有效控制可能造成的水土流失</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highlight w:val="yellow"/>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调整传统的畜牧业生产方式，加快规模化圈养牧业的发展，控制放养对草地生态系统的损害。积极推进草畜平衡科学管理办法，限制养殖规模。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.加强南部荒漠区域的治理工作。</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.加强水资源管控，严格限制地下水开采，提高农业用水效率。</w:t>
            </w:r>
          </w:p>
        </w:tc>
        <w:tc>
          <w:tcPr>
            <w:tcW w:w="5080"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lang w:bidi="en-US"/>
              </w:rPr>
              <w:t>一般</w:t>
            </w:r>
            <w:r>
              <w:rPr>
                <w:rFonts w:hint="eastAsia" w:ascii="仿宋_GB2312" w:hAnsi="仿宋" w:eastAsia="仿宋_GB2312" w:cs="仿宋"/>
                <w:bCs/>
                <w:lang w:bidi="en-US"/>
              </w:rPr>
              <w:t>生态空间，根据评估该单元涉及水源涵养重要区、土地沙化敏感区、水土流失敏感区</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一般生态空间</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森林法》、《中华人民共和国草原法》、《全国主体功能区划》、《关于贯彻实施国家主体功能区环境政策的若干意见》、《新疆维吾尔自治区主体功能区规划》、《新疆维吾尔自治区环境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ZH65040220001</w:t>
            </w:r>
          </w:p>
        </w:tc>
        <w:tc>
          <w:tcPr>
            <w:tcW w:w="1975" w:type="dxa"/>
            <w:vMerge w:val="restart"/>
            <w:shd w:val="clear" w:color="auto" w:fill="auto"/>
            <w:vAlign w:val="center"/>
          </w:tcPr>
          <w:p>
            <w:pPr>
              <w:adjustRightInd w:val="0"/>
              <w:snapToGrid w:val="0"/>
              <w:jc w:val="center"/>
              <w:rPr>
                <w:rFonts w:ascii="仿宋_GB2312" w:eastAsia="仿宋_GB2312"/>
                <w:lang w:bidi="en-US"/>
              </w:rPr>
            </w:pPr>
            <w:r>
              <w:rPr>
                <w:rFonts w:hint="eastAsia" w:ascii="仿宋_GB2312" w:eastAsia="仿宋_GB2312"/>
                <w:lang w:bidi="en-US"/>
              </w:rPr>
              <w:t>吐鲁番沈宏化工工业园区重点管控单元</w:t>
            </w:r>
          </w:p>
        </w:tc>
        <w:tc>
          <w:tcPr>
            <w:tcW w:w="1579" w:type="dxa"/>
            <w:vMerge w:val="restart"/>
            <w:shd w:val="clear" w:color="auto" w:fill="auto"/>
            <w:vAlign w:val="center"/>
          </w:tcPr>
          <w:p>
            <w:pPr>
              <w:adjustRightInd w:val="0"/>
              <w:snapToGrid w:val="0"/>
              <w:jc w:val="center"/>
              <w:rPr>
                <w:rFonts w:ascii="仿宋_GB2312" w:hAnsi="Calibri" w:eastAsia="仿宋_GB2312" w:cs="Times New Roman"/>
                <w:lang w:bidi="en-US"/>
              </w:rPr>
            </w:pPr>
            <w:r>
              <w:rPr>
                <w:rFonts w:hint="eastAsia" w:ascii="仿宋_GB2312" w:hAnsi="Times New Roman" w:eastAsia="仿宋_GB2312" w:cs="Times New Roman"/>
                <w:lang w:bidi="en-US"/>
              </w:rPr>
              <w:t>重点管控单元</w:t>
            </w:r>
          </w:p>
        </w:tc>
        <w:tc>
          <w:tcPr>
            <w:tcW w:w="1022"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仿宋_GB2312" w:hAnsi="Times New Roman" w:eastAsia="仿宋_GB2312" w:cs="Times New Roman"/>
                <w:lang w:bidi="en-US"/>
              </w:rPr>
              <w:t>.</w:t>
            </w:r>
            <w:r>
              <w:rPr>
                <w:rFonts w:hint="eastAsia" w:ascii="仿宋_GB2312" w:hAnsi="Times New Roman" w:eastAsia="仿宋_GB2312" w:cs="Times New Roman"/>
                <w:lang w:bidi="en-US"/>
              </w:rPr>
              <w:t>禁止对环境要求严格的医药、食品、电子等类型项目。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限制严重依赖水资源的高耗水项目。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新建、</w:t>
            </w:r>
            <w:r>
              <w:rPr>
                <w:rFonts w:hint="eastAsia" w:ascii="仿宋_GB2312" w:hAnsi="仿宋" w:eastAsia="仿宋_GB2312" w:cs="仿宋"/>
                <w:bCs/>
                <w:lang w:bidi="en-US"/>
              </w:rPr>
              <w:t>扩建、改</w:t>
            </w:r>
            <w:r>
              <w:rPr>
                <w:rFonts w:ascii="仿宋_GB2312" w:hAnsi="仿宋" w:eastAsia="仿宋_GB2312" w:cs="仿宋"/>
                <w:bCs/>
                <w:lang w:bidi="en-US"/>
              </w:rPr>
              <w:t>建</w:t>
            </w:r>
            <w:r>
              <w:rPr>
                <w:rFonts w:hint="eastAsia" w:ascii="仿宋_GB2312" w:hAnsi="Times New Roman" w:eastAsia="仿宋_GB2312" w:cs="Times New Roman"/>
                <w:lang w:bidi="en-US"/>
              </w:rPr>
              <w:t>焙烧法铬化合物生产建设项目单线设计生产能力不小于</w:t>
            </w:r>
            <w:r>
              <w:rPr>
                <w:rFonts w:ascii="仿宋_GB2312" w:hAnsi="Times New Roman" w:eastAsia="仿宋_GB2312" w:cs="Times New Roman"/>
                <w:lang w:bidi="en-US"/>
              </w:rPr>
              <w:t>2.5万吨/年。</w:t>
            </w:r>
          </w:p>
        </w:tc>
        <w:tc>
          <w:tcPr>
            <w:tcW w:w="5080"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单元特点：</w:t>
            </w:r>
            <w:r>
              <w:rPr>
                <w:rFonts w:hint="eastAsia" w:ascii="仿宋_GB2312" w:hAnsi="仿宋" w:eastAsia="仿宋_GB2312" w:cs="仿宋"/>
                <w:lang w:bidi="en-US"/>
              </w:rPr>
              <w:t>该管控单元属于工业重点管控区沈宏化工工业园区（市级），主导产业为铬盐系列产品、无机盐及氯碱等化工产品</w:t>
            </w:r>
          </w:p>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新疆维吾尔自治区重点行业环境准入条件（修订）》、《新疆维吾尔自治区工业炉窑大气污染综合治理实施方案》、《吐鲁番市大气环境质量限期达标规划》、《吐鲁番市打赢蓝天保卫战三年行动计划实施方案（2018-2020）》、《吐鲁番市生态环境保护“十四五”规划》、《吐鲁番市水污染防治总体实施方案》、《铬盐行业环境准入条件（试行）》、《新疆沈宏化工工业园总体规划》及规划环评</w:t>
            </w:r>
          </w:p>
          <w:p>
            <w:pPr>
              <w:adjustRightInd w:val="0"/>
              <w:snapToGrid w:val="0"/>
              <w:rPr>
                <w:rFonts w:ascii="仿宋_GB2312" w:hAnsi="仿宋" w:eastAsia="仿宋_GB2312" w:cs="仿宋"/>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1.对园区的SO</w:t>
            </w:r>
            <w:r>
              <w:rPr>
                <w:rFonts w:hint="eastAsia" w:ascii="仿宋_GB2312" w:hAnsi="Times New Roman" w:eastAsia="仿宋_GB2312" w:cs="Times New Roman"/>
                <w:vertAlign w:val="subscript"/>
                <w:lang w:bidi="en-US"/>
              </w:rPr>
              <w:t>2</w:t>
            </w:r>
            <w:r>
              <w:rPr>
                <w:rFonts w:hint="eastAsia" w:ascii="仿宋_GB2312" w:hAnsi="Times New Roman" w:eastAsia="仿宋_GB2312" w:cs="Times New Roman"/>
                <w:lang w:bidi="en-US"/>
              </w:rPr>
              <w:t>、N</w:t>
            </w:r>
            <w:r>
              <w:rPr>
                <w:rFonts w:ascii="仿宋_GB2312" w:hAnsi="Times New Roman" w:eastAsia="仿宋_GB2312" w:cs="Times New Roman"/>
                <w:lang w:bidi="en-US"/>
              </w:rPr>
              <w:t>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、烟粉尘和V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2.推进工业炉窑全面达标排放，严格执行行业排放标准、加大污染治理力度。</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3.加快推进化工行业</w:t>
            </w:r>
            <w:r>
              <w:rPr>
                <w:rFonts w:ascii="仿宋_GB2312" w:hAnsi="Times New Roman" w:eastAsia="仿宋_GB2312" w:cs="Times New Roman"/>
                <w:lang w:bidi="en-US"/>
              </w:rPr>
              <w:t>VOCs综合治理</w:t>
            </w:r>
            <w:r>
              <w:rPr>
                <w:rFonts w:hint="eastAsia" w:ascii="仿宋_GB2312" w:hAnsi="Times New Roman" w:eastAsia="仿宋_GB2312" w:cs="Times New Roman"/>
                <w:lang w:bidi="en-US"/>
              </w:rPr>
              <w:t>，加大煤化工（含现代煤化工、炼焦、合成氨等）、橡胶制品、涂料、油墨、胶粘剂、染料、化学助剂（塑料助剂和橡胶助剂）等化工行业</w:t>
            </w:r>
            <w:r>
              <w:rPr>
                <w:rFonts w:ascii="仿宋_GB2312" w:hAnsi="Times New Roman" w:eastAsia="仿宋_GB2312" w:cs="Times New Roman"/>
                <w:lang w:bidi="en-US"/>
              </w:rPr>
              <w:t>VOCs治理力度</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4.推进污水集中处理设施及再生水回用系统；加强对各企业排放的污废水的监控，禁止在园内设置排污口。</w:t>
            </w:r>
          </w:p>
          <w:p>
            <w:pPr>
              <w:adjustRightInd w:val="0"/>
              <w:snapToGrid w:val="0"/>
              <w:rPr>
                <w:rFonts w:ascii="Times New Roman" w:hAnsi="Times New Roman" w:eastAsia="仿宋_GB2312" w:cs="Times New Roman"/>
                <w:lang w:bidi="en-US"/>
              </w:rPr>
            </w:pPr>
            <w:r>
              <w:rPr>
                <w:rFonts w:hint="eastAsia" w:ascii="仿宋_GB2312" w:hAnsi="Times New Roman" w:eastAsia="仿宋_GB2312" w:cs="Times New Roman"/>
                <w:lang w:bidi="en-US"/>
              </w:rPr>
              <w:t>5</w:t>
            </w:r>
            <w:r>
              <w:rPr>
                <w:rFonts w:ascii="仿宋_GB2312" w:hAnsi="Times New Roman" w:eastAsia="仿宋_GB2312" w:cs="Times New Roman"/>
                <w:lang w:bidi="en-US"/>
              </w:rPr>
              <w:t>.加强对园区内企业的废水、废气中重金属的污</w:t>
            </w:r>
            <w:r>
              <w:rPr>
                <w:rFonts w:ascii="Times New Roman" w:hAnsi="Times New Roman" w:eastAsia="仿宋_GB2312" w:cs="Times New Roman"/>
                <w:lang w:bidi="en-US"/>
              </w:rPr>
              <w:t>染防控措施，严格执行重金属总量控制政策。</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6.铬盐生产企业需配套铬渣无害化处置装置，含铬废水净化回用装置以及含铬粉尘防治设施。铬渣的综合利用或无害化处置必须符合《铬渣污染治理环境保护技术规范》的相关要求。</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1.强化有毒有害原辅材料运输、储存、使用等过程的监管；做好厂区、渣场等的分区防渗措施。</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2.定期排查废水污染治理设施建设运行情况、并做好防腐防渗措施；园区污水集中处理设施安装自动在线监控装置；加强园区下游的水质监测。</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铬渣暂存设施做好防渗防腐。</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4</w:t>
            </w:r>
            <w:r>
              <w:rPr>
                <w:rFonts w:ascii="仿宋_GB2312" w:hAnsi="Times New Roman" w:eastAsia="仿宋_GB2312" w:cs="Times New Roman"/>
                <w:lang w:bidi="en-US"/>
              </w:rPr>
              <w:t>.</w:t>
            </w:r>
            <w:r>
              <w:rPr>
                <w:rFonts w:hint="eastAsia" w:ascii="仿宋_GB2312" w:hAnsi="Times New Roman" w:eastAsia="仿宋_GB2312" w:cs="Times New Roman"/>
                <w:lang w:bidi="en-US"/>
              </w:rPr>
              <w:t>园区应建立突发环境风险防控体系。</w:t>
            </w:r>
          </w:p>
        </w:tc>
        <w:tc>
          <w:tcPr>
            <w:tcW w:w="5080" w:type="dxa"/>
            <w:vMerge w:val="continue"/>
            <w:vAlign w:val="center"/>
          </w:tcPr>
          <w:p>
            <w:pPr>
              <w:adjustRightInd w:val="0"/>
              <w:snapToGrid w:val="0"/>
              <w:rPr>
                <w:rFonts w:ascii="仿宋_GB2312" w:hAnsi="仿宋" w:eastAsia="仿宋_GB2312" w:cs="仿宋"/>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1.推广使用优质煤、洁净型煤。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严把耗煤新项目准入关，控制煤炭消费总量。</w:t>
            </w:r>
          </w:p>
          <w:p>
            <w:pPr>
              <w:adjustRightInd w:val="0"/>
              <w:snapToGrid w:val="0"/>
              <w:rPr>
                <w:rFonts w:ascii="仿宋_GB2312" w:hAnsi="Calibri"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.严格实施用水管理。新建、改建、扩建项目用水要达到行业先进水平，节水设施应与主体工程同时设计、同时施工、同时投运。</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ZH65040220002</w:t>
            </w:r>
          </w:p>
        </w:tc>
        <w:tc>
          <w:tcPr>
            <w:tcW w:w="1975"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eastAsia="仿宋_GB2312"/>
                <w:lang w:bidi="en-US"/>
              </w:rPr>
              <w:t>吐鲁番经济开发区（大河沿工业区块）重点管控单元</w:t>
            </w:r>
          </w:p>
        </w:tc>
        <w:tc>
          <w:tcPr>
            <w:tcW w:w="1579"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重点管控单元</w:t>
            </w: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1.限制严重依赖水资源的高耗水项目。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2.新建、</w:t>
            </w:r>
            <w:r>
              <w:rPr>
                <w:rFonts w:hint="eastAsia" w:ascii="仿宋_GB2312" w:hAnsi="仿宋" w:eastAsia="仿宋_GB2312" w:cs="仿宋"/>
                <w:bCs/>
                <w:lang w:bidi="en-US"/>
              </w:rPr>
              <w:t>扩建、改</w:t>
            </w:r>
            <w:r>
              <w:rPr>
                <w:rFonts w:ascii="仿宋_GB2312" w:hAnsi="仿宋" w:eastAsia="仿宋_GB2312" w:cs="仿宋"/>
                <w:bCs/>
                <w:lang w:bidi="en-US"/>
              </w:rPr>
              <w:t>建</w:t>
            </w:r>
            <w:r>
              <w:rPr>
                <w:rFonts w:hint="eastAsia" w:ascii="仿宋_GB2312" w:hAnsi="Times New Roman" w:eastAsia="仿宋_GB2312" w:cs="Times New Roman"/>
                <w:lang w:bidi="en-US"/>
              </w:rPr>
              <w:t>企业要符合工业园区规划及规划环评，</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hint="eastAsia" w:ascii="仿宋_GB2312" w:hAnsi="Times New Roman" w:eastAsia="仿宋_GB2312" w:cs="Times New Roman"/>
                <w:lang w:bidi="en-US"/>
              </w:rPr>
              <w:t>三类工业项目生产工艺达到行业先进水平。</w:t>
            </w:r>
          </w:p>
        </w:tc>
        <w:tc>
          <w:tcPr>
            <w:tcW w:w="5080"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单元特点：</w:t>
            </w:r>
            <w:r>
              <w:rPr>
                <w:rFonts w:hint="eastAsia" w:ascii="仿宋_GB2312" w:hAnsi="仿宋" w:eastAsia="仿宋_GB2312" w:cs="仿宋"/>
                <w:lang w:bidi="en-US"/>
              </w:rPr>
              <w:t>该管控单元属于工业重点管控区吐鲁番经济开发区（自治区级）大河沿工业区，主导产业为装备制造、新型建材、金属铸造、仓储物流、煤化工。毗邻大河沿镇大气环境受体敏感区</w:t>
            </w:r>
          </w:p>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新疆维吾尔自治区重点行业环境准入条件（修订）》、《吐鲁番市大气环境质量限期达标规划》、《吐鲁番市打赢蓝天保卫战三年行动计划实施方案（2018-2020）》、《吐鲁番市生态环境保护“十四五”规划》、《吐鲁番市水污染防治总体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仿宋_GB2312" w:hAnsi="Times New Roman" w:eastAsia="仿宋_GB2312" w:cs="Times New Roman"/>
                <w:lang w:bidi="en-US"/>
              </w:rPr>
              <w:t>.</w:t>
            </w:r>
            <w:r>
              <w:rPr>
                <w:rFonts w:hint="eastAsia" w:ascii="仿宋_GB2312" w:hAnsi="Times New Roman" w:eastAsia="仿宋_GB2312" w:cs="Times New Roman"/>
                <w:lang w:bidi="en-US"/>
              </w:rPr>
              <w:t>对园区的SO</w:t>
            </w:r>
            <w:r>
              <w:rPr>
                <w:rFonts w:hint="eastAsia" w:ascii="仿宋_GB2312" w:hAnsi="Times New Roman" w:eastAsia="仿宋_GB2312" w:cs="Times New Roman"/>
                <w:vertAlign w:val="subscript"/>
                <w:lang w:bidi="en-US"/>
              </w:rPr>
              <w:t>2</w:t>
            </w:r>
            <w:r>
              <w:rPr>
                <w:rFonts w:hint="eastAsia" w:ascii="仿宋_GB2312" w:hAnsi="Times New Roman" w:eastAsia="仿宋_GB2312" w:cs="Times New Roman"/>
                <w:lang w:bidi="en-US"/>
              </w:rPr>
              <w:t>、N</w:t>
            </w:r>
            <w:r>
              <w:rPr>
                <w:rFonts w:ascii="仿宋_GB2312" w:hAnsi="Times New Roman" w:eastAsia="仿宋_GB2312" w:cs="Times New Roman"/>
                <w:lang w:bidi="en-US"/>
              </w:rPr>
              <w:t>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、烟粉尘和V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2.推进工业炉窑全面达标排放，严格执行行业排放标准、加大污染治理力度。</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3.推进污水集中处理设施及再生水回用系统；加强对各企业排放的污废水的监控，禁止在园内设置排污口。</w:t>
            </w:r>
          </w:p>
          <w:p>
            <w:pPr>
              <w:adjustRightInd w:val="0"/>
              <w:snapToGrid w:val="0"/>
              <w:rPr>
                <w:rFonts w:ascii="Times New Roman" w:hAnsi="Times New Roman" w:eastAsia="仿宋_GB2312" w:cs="Times New Roman"/>
                <w:lang w:bidi="en-US"/>
              </w:rPr>
            </w:pPr>
            <w:r>
              <w:rPr>
                <w:rFonts w:ascii="仿宋_GB2312" w:hAnsi="Times New Roman" w:eastAsia="仿宋_GB2312" w:cs="Times New Roman"/>
                <w:lang w:bidi="en-US"/>
              </w:rPr>
              <w:t>4</w:t>
            </w:r>
            <w:r>
              <w:rPr>
                <w:rFonts w:ascii="Times New Roman" w:hAnsi="Times New Roman" w:eastAsia="仿宋_GB2312" w:cs="Times New Roman"/>
                <w:lang w:bidi="en-US"/>
              </w:rPr>
              <w:t>.加强对园区内企业的废水、废气中重金属的污染防控措施，严格执行重金属总量控制政策。</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5.加大工业涂装</w:t>
            </w:r>
            <w:r>
              <w:rPr>
                <w:rFonts w:ascii="仿宋_GB2312" w:hAnsi="Times New Roman" w:eastAsia="仿宋_GB2312" w:cs="Times New Roman"/>
                <w:lang w:bidi="en-US"/>
              </w:rPr>
              <w:t>VOCs治理力度。全面推进工程机械、钢结构、木质家具、卷材等制造行业工业涂装VOCs排放控制</w:t>
            </w:r>
            <w:r>
              <w:rPr>
                <w:rFonts w:hint="eastAsia" w:ascii="仿宋_GB2312" w:hAnsi="Times New Roman" w:eastAsia="仿宋_GB2312" w:cs="Times New Roman"/>
                <w:lang w:bidi="en-US"/>
              </w:rPr>
              <w:t>。</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风险防控体系建设。强化企业环境风险防范设施设备建设和正常运行监管，建立常态化的企业隐患排查整治监管机制，涉危的风险企业应及时编制环境风险应急预案并定期更新，每年至少开展一次应急演练。</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2.定期排查废水污染治理设施建设运行情况、并做好防腐防渗措施。</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园区应建立突发环境风险防控体系。</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1.推广使用优质煤、洁净型煤。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严把耗煤新项目准入关，控制煤炭消费总量。</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.严格实施用水管理。新建、</w:t>
            </w:r>
            <w:r>
              <w:rPr>
                <w:rFonts w:hint="eastAsia" w:ascii="仿宋_GB2312" w:hAnsi="仿宋" w:eastAsia="仿宋_GB2312" w:cs="仿宋"/>
                <w:bCs/>
                <w:lang w:bidi="en-US"/>
              </w:rPr>
              <w:t>扩建、改</w:t>
            </w:r>
            <w:r>
              <w:rPr>
                <w:rFonts w:ascii="仿宋_GB2312" w:hAnsi="仿宋" w:eastAsia="仿宋_GB2312" w:cs="仿宋"/>
                <w:bCs/>
                <w:lang w:bidi="en-US"/>
              </w:rPr>
              <w:t>建</w:t>
            </w:r>
            <w:r>
              <w:rPr>
                <w:rFonts w:hint="eastAsia" w:ascii="仿宋_GB2312" w:hAnsi="Times New Roman" w:eastAsia="仿宋_GB2312" w:cs="Times New Roman"/>
                <w:lang w:bidi="en-US"/>
              </w:rPr>
              <w:t>项目用水要达到行业先进水平，节水设施应与主体工程同时设计、同时施工、同时投运。</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ZH65040220003</w:t>
            </w:r>
          </w:p>
        </w:tc>
        <w:tc>
          <w:tcPr>
            <w:tcW w:w="1975"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eastAsia="仿宋_GB2312"/>
                <w:lang w:bidi="en-US"/>
              </w:rPr>
              <w:t>高昌区土壤风险重点管控单元</w:t>
            </w:r>
          </w:p>
        </w:tc>
        <w:tc>
          <w:tcPr>
            <w:tcW w:w="1579"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重点管控单元</w:t>
            </w: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1.严格污染地块和疑似污染地块的开发利用和流转审批，用途拟变更为居住用地和商业、学校、医疗、养老机构等公共设施用地需按照《污染地块土壤环境管理办法》开展相关调查、评估、治理与修复等活动。</w:t>
            </w:r>
          </w:p>
        </w:tc>
        <w:tc>
          <w:tcPr>
            <w:tcW w:w="5080"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单元特点：</w:t>
            </w:r>
            <w:r>
              <w:rPr>
                <w:rFonts w:hint="eastAsia" w:ascii="仿宋_GB2312" w:hAnsi="仿宋" w:eastAsia="仿宋_GB2312" w:cs="仿宋"/>
                <w:lang w:bidi="en-US"/>
              </w:rPr>
              <w:t>该管控单元为高昌区疑似污染地块，包括4</w:t>
            </w:r>
            <w:r>
              <w:rPr>
                <w:rFonts w:ascii="仿宋_GB2312" w:hAnsi="仿宋" w:eastAsia="仿宋_GB2312" w:cs="仿宋"/>
                <w:lang w:bidi="en-US"/>
              </w:rPr>
              <w:t>家企业：吐鲁番市裕润钢铁工贸有限公司、吐鲁番工企矿冶有限责任公司铜冶炼厂、吐鲁番市高昌区环境卫生管理局</w:t>
            </w:r>
            <w:r>
              <w:rPr>
                <w:rFonts w:hint="eastAsia" w:ascii="仿宋_GB2312" w:hAnsi="仿宋" w:eastAsia="仿宋_GB2312" w:cs="仿宋"/>
                <w:lang w:bidi="en-US"/>
              </w:rPr>
              <w:t>和吐鲁番采油厂葡北废渣场</w:t>
            </w:r>
          </w:p>
          <w:p>
            <w:pPr>
              <w:adjustRightInd w:val="0"/>
              <w:snapToGrid w:val="0"/>
              <w:rPr>
                <w:rFonts w:ascii="仿宋_GB2312" w:hAnsi="Times New Roman" w:eastAsia="仿宋_GB2312" w:cs="Times New Roman"/>
                <w:lang w:bidi="en-US"/>
              </w:rPr>
            </w:pPr>
            <w:r>
              <w:rPr>
                <w:rFonts w:hint="eastAsia" w:ascii="仿宋_GB2312" w:hAnsi="仿宋" w:eastAsia="仿宋_GB2312" w:cs="仿宋"/>
                <w:b/>
                <w:bCs/>
                <w:lang w:bidi="en-US"/>
              </w:rPr>
              <w:t>要素属性：</w:t>
            </w:r>
            <w:r>
              <w:rPr>
                <w:rFonts w:hint="eastAsia" w:ascii="仿宋_GB2312" w:hAnsi="Times New Roman" w:eastAsia="仿宋_GB2312" w:cs="Times New Roman"/>
                <w:lang w:bidi="en-US"/>
              </w:rPr>
              <w:t>土壤污染风险重点管控区</w:t>
            </w:r>
          </w:p>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《中华人民共和国土壤污染防治法》</w:t>
            </w:r>
            <w:r>
              <w:rPr>
                <w:rFonts w:hint="eastAsia" w:ascii="仿宋_GB2312" w:hAnsi="仿宋" w:eastAsia="仿宋_GB2312" w:cs="仿宋"/>
                <w:b/>
                <w:bCs/>
                <w:lang w:bidi="en-US"/>
              </w:rPr>
              <w:t>、</w:t>
            </w:r>
            <w:r>
              <w:rPr>
                <w:rFonts w:hint="eastAsia" w:ascii="仿宋_GB2312" w:hAnsi="Times New Roman" w:eastAsia="仿宋_GB2312" w:cs="Times New Roman"/>
                <w:lang w:bidi="en-US"/>
              </w:rPr>
              <w:t>《污染地块土壤环境管理办法》、《吐鲁番市土壤污染防治工作方案》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格按照《污染地块土壤环境管理办法》等相关法律法规管理；高昌区生态环境主管部门应当书面通知土地使用权人，土地使用权人应当自接到书面通知之日起六个月内完成土壤环境初步调查，编制调查报告，及时上传污染地块信息系统，并将调查报告主要内容通过其网站等便于公众知晓的方式向社会公开。</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2.拆除设施、设备或者建筑物、构筑物的，应当制定包括应急措施在内的土壤污染防治工作方案，报高昌区人生态环境、工业和信息化主管部门备案并实施。</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1.严格污染地块开发利用和流转审批。按照国家有关环境标淮和技术规范，编制风险管控方案。</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ZH65040220004</w:t>
            </w:r>
          </w:p>
        </w:tc>
        <w:tc>
          <w:tcPr>
            <w:tcW w:w="1975" w:type="dxa"/>
            <w:vMerge w:val="restart"/>
            <w:shd w:val="clear" w:color="auto" w:fill="auto"/>
            <w:vAlign w:val="center"/>
          </w:tcPr>
          <w:p>
            <w:pPr>
              <w:adjustRightInd w:val="0"/>
              <w:snapToGrid w:val="0"/>
              <w:jc w:val="center"/>
              <w:rPr>
                <w:rFonts w:ascii="仿宋_GB2312" w:hAnsi="Times New Roman" w:eastAsia="仿宋_GB2312" w:cs="Times New Roman"/>
                <w:lang w:bidi="en-US"/>
              </w:rPr>
            </w:pPr>
            <w:bookmarkStart w:id="11" w:name="_Hlk72489956"/>
            <w:r>
              <w:rPr>
                <w:rFonts w:hint="eastAsia" w:ascii="仿宋_GB2312" w:eastAsia="仿宋_GB2312"/>
                <w:lang w:bidi="en-US"/>
              </w:rPr>
              <w:t>高昌区工业集聚重点管控单元</w:t>
            </w:r>
            <w:bookmarkEnd w:id="11"/>
          </w:p>
        </w:tc>
        <w:tc>
          <w:tcPr>
            <w:tcW w:w="1579"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重点管控单元</w:t>
            </w: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1.限制严重依赖水资源的高耗水项目。</w:t>
            </w:r>
            <w:r>
              <w:rPr>
                <w:rFonts w:ascii="仿宋_GB2312" w:hAnsi="Times New Roman" w:eastAsia="仿宋_GB2312" w:cs="Times New Roman"/>
                <w:lang w:bidi="en-US"/>
              </w:rPr>
              <w:t>严格建设项目</w:t>
            </w:r>
            <w:r>
              <w:rPr>
                <w:rFonts w:hint="eastAsia" w:ascii="仿宋_GB2312" w:hAnsi="Times New Roman" w:eastAsia="仿宋_GB2312" w:cs="Times New Roman"/>
                <w:lang w:bidi="en-US"/>
              </w:rPr>
              <w:t>的V</w:t>
            </w:r>
            <w:r>
              <w:rPr>
                <w:rFonts w:ascii="仿宋_GB2312" w:hAnsi="Times New Roman" w:eastAsia="仿宋_GB2312" w:cs="Times New Roman"/>
                <w:lang w:bidi="en-US"/>
              </w:rPr>
              <w:t>OC</w:t>
            </w:r>
            <w:r>
              <w:rPr>
                <w:rFonts w:hint="eastAsia" w:ascii="仿宋_GB2312" w:hAnsi="Times New Roman" w:eastAsia="仿宋_GB2312" w:cs="Times New Roman"/>
                <w:lang w:bidi="en-US"/>
              </w:rPr>
              <w:t>s</w:t>
            </w:r>
            <w:r>
              <w:rPr>
                <w:rFonts w:ascii="仿宋_GB2312" w:hAnsi="Times New Roman" w:eastAsia="仿宋_GB2312" w:cs="Times New Roman"/>
                <w:lang w:bidi="en-US"/>
              </w:rPr>
              <w:t>环境准入</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lang w:bidi="en-US"/>
              </w:rPr>
              <w:t>2</w:t>
            </w:r>
            <w:r>
              <w:rPr>
                <w:rFonts w:ascii="Times New Roman" w:hAnsi="Times New Roman" w:eastAsia="仿宋_GB2312" w:cs="Times New Roman"/>
                <w:lang w:bidi="en-US"/>
              </w:rPr>
              <w:t>.</w:t>
            </w:r>
            <w:r>
              <w:rPr>
                <w:rFonts w:hint="eastAsia" w:ascii="Times New Roman" w:hAnsi="Times New Roman" w:eastAsia="仿宋_GB2312" w:cs="Times New Roman"/>
                <w:lang w:bidi="en-US"/>
              </w:rPr>
              <w:t>重大矿区以外</w:t>
            </w:r>
            <w:r>
              <w:rPr>
                <w:rFonts w:ascii="Times New Roman" w:hAnsi="Times New Roman" w:eastAsia="仿宋_GB2312" w:cs="Times New Roman"/>
                <w:lang w:bidi="en-US"/>
              </w:rPr>
              <w:t>禁止新建、扩建</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ascii="Times New Roman" w:hAnsi="Times New Roman" w:eastAsia="仿宋_GB2312" w:cs="Times New Roman"/>
                <w:lang w:bidi="en-US"/>
              </w:rPr>
              <w:t>三类工业项目，现有三类工业项目改建不得增加污染物排放总量，鼓励现有三类工业项目搬迁关闭。</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3.矿产资源开发项目具体选址布局应符合资源开发利用相关法律法规要求。重点围绕大型煤电基地和现代煤化工项目用煤需要，在充分利用现有煤矿生产能力的前提下，严格依照规划新建煤矿项目。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4.合理权衡煤炭开采方式。禁止新建非机械化开采的煤矿；禁止建设</w:t>
            </w:r>
            <w:r>
              <w:rPr>
                <w:rFonts w:ascii="仿宋_GB2312" w:hAnsi="Times New Roman" w:eastAsia="仿宋_GB2312" w:cs="Times New Roman"/>
                <w:lang w:bidi="en-US"/>
              </w:rPr>
              <w:t>45 万吨/年以下能力的改扩建矿井；禁止核准新建120 万吨/年矿井及400 万吨/年露天以下规模的煤矿项目</w:t>
            </w:r>
            <w:r>
              <w:rPr>
                <w:rFonts w:hint="eastAsia" w:ascii="仿宋_GB2312" w:hAnsi="Times New Roman" w:eastAsia="仿宋_GB2312" w:cs="Times New Roman"/>
                <w:lang w:bidi="en-US"/>
              </w:rPr>
              <w:t>。禁止开采放射性核素超过《新疆煤炭资源开采天然放射性核素限量》（DB65/T3471）要求的煤炭资源。</w:t>
            </w:r>
          </w:p>
        </w:tc>
        <w:tc>
          <w:tcPr>
            <w:tcW w:w="5080"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单元特点：</w:t>
            </w:r>
            <w:r>
              <w:rPr>
                <w:rFonts w:hint="eastAsia" w:ascii="仿宋_GB2312" w:hAnsi="仿宋" w:eastAsia="仿宋_GB2312" w:cs="仿宋"/>
                <w:lang w:bidi="en-US"/>
              </w:rPr>
              <w:t>该管控单元涉及吐鲁番湘疆产业园、空港物流园、重大矿区（七泉湖矿区、塔尔郎沟矿区）</w:t>
            </w:r>
          </w:p>
          <w:p>
            <w:pPr>
              <w:adjustRightInd w:val="0"/>
              <w:snapToGrid w:val="0"/>
              <w:rPr>
                <w:rFonts w:ascii="仿宋_GB2312" w:hAnsi="仿宋" w:eastAsia="仿宋_GB2312" w:cs="仿宋"/>
                <w:lang w:bidi="en-US"/>
              </w:rPr>
            </w:pPr>
            <w:r>
              <w:rPr>
                <w:rFonts w:hint="eastAsia" w:ascii="仿宋_GB2312" w:hAnsi="仿宋" w:eastAsia="仿宋_GB2312" w:cs="仿宋"/>
                <w:lang w:bidi="en-US"/>
              </w:rPr>
              <w:t>湘疆产业园以物流产业、现代服务业、科研技术产业及特色工业为主导；空港物流园为新疆交通枢纽新门户、新疆旅游新门户、新疆干果贸易新门户。重大矿区均为煤矿、开采方式为地下开采</w:t>
            </w:r>
          </w:p>
          <w:p>
            <w:pPr>
              <w:adjustRightInd w:val="0"/>
              <w:snapToGrid w:val="0"/>
              <w:rPr>
                <w:rFonts w:ascii="仿宋_GB2312" w:hAnsi="Times New Roman" w:eastAsia="仿宋_GB2312" w:cs="Times New Roman"/>
                <w:lang w:bidi="en-US"/>
              </w:rPr>
            </w:pPr>
            <w:r>
              <w:rPr>
                <w:rFonts w:hint="eastAsia" w:ascii="仿宋_GB2312" w:hAnsi="仿宋" w:eastAsia="仿宋_GB2312" w:cs="仿宋"/>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吐鲁番市大气环境质量限期达标规划》、《吐鲁番市打赢蓝天保卫战三年行动计划实施方案（2018-2020）》、《吐鲁番市生态环境保护“十四五”规划》、《吐鲁番市水污染防治总体实施方案》、《吐鲁番市湘疆产业园控制性详细规划》、《吐鲁番交河物流港启动区控制性详细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 煤炭资源开发项目原则上要按照国家和自治区有关政策要求配套建设相应的洗选厂。煤炭贮存、转载、装卸等过程中产生的无组织污染物必须采取防尘抑尘措施，新建及改扩建采煤项目原煤须采用筒仓或封闭式煤场，厂内输送采用封闭式皮带走廊。锅炉灰渣及煤矸石优先综合利用。煤矸石无害化处置率达到100%；露天矿的剥离物集中排入排土场，处置率达100%。</w:t>
            </w:r>
          </w:p>
          <w:p>
            <w:pPr>
              <w:adjustRightInd w:val="0"/>
              <w:snapToGrid w:val="0"/>
              <w:rPr>
                <w:rFonts w:ascii="仿宋_GB2312" w:hAnsi="仿宋" w:eastAsia="仿宋_GB2312" w:cs="仿宋"/>
                <w:bCs/>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ascii="仿宋_GB2312" w:hAnsi="仿宋" w:eastAsia="仿宋_GB2312" w:cs="仿宋"/>
                <w:bCs/>
                <w:lang w:bidi="en-US"/>
              </w:rPr>
              <w:t xml:space="preserve"> 新</w:t>
            </w:r>
            <w:r>
              <w:rPr>
                <w:rFonts w:hint="eastAsia" w:ascii="仿宋_GB2312" w:hAnsi="仿宋" w:eastAsia="仿宋_GB2312" w:cs="仿宋"/>
                <w:bCs/>
                <w:lang w:bidi="en-US"/>
              </w:rPr>
              <w:t>建、扩建、改</w:t>
            </w:r>
            <w:r>
              <w:rPr>
                <w:rFonts w:ascii="仿宋_GB2312" w:hAnsi="仿宋" w:eastAsia="仿宋_GB2312" w:cs="仿宋"/>
                <w:bCs/>
                <w:lang w:bidi="en-US"/>
              </w:rPr>
              <w:t>建</w:t>
            </w:r>
            <w:r>
              <w:rPr>
                <w:rFonts w:hint="eastAsia" w:ascii="仿宋_GB2312" w:hAnsi="Times New Roman" w:eastAsia="仿宋_GB2312" w:cs="Times New Roman"/>
                <w:lang w:bidi="en-US"/>
              </w:rPr>
              <w:t>涉</w:t>
            </w:r>
            <w:r>
              <w:rPr>
                <w:rFonts w:ascii="仿宋_GB2312" w:hAnsi="Times New Roman" w:eastAsia="仿宋_GB2312" w:cs="Times New Roman"/>
                <w:lang w:bidi="en-US"/>
              </w:rPr>
              <w:t>VOCs排放项目，应从源头加强控制，使用低（无）VOCs含量的原辅材料，加强废气收集，安装高效治理设施。</w:t>
            </w:r>
          </w:p>
          <w:p>
            <w:pPr>
              <w:adjustRightInd w:val="0"/>
              <w:snapToGrid w:val="0"/>
              <w:rPr>
                <w:rFonts w:ascii="仿宋_GB2312" w:hAnsi="Times New Roman" w:eastAsia="仿宋_GB2312" w:cs="Times New Roman"/>
                <w:lang w:bidi="en-US"/>
              </w:rPr>
            </w:pPr>
            <w:r>
              <w:rPr>
                <w:rFonts w:hint="eastAsia" w:ascii="仿宋_GB2312" w:hAnsi="仿宋" w:eastAsia="仿宋_GB2312" w:cs="仿宋"/>
                <w:bCs/>
                <w:lang w:bidi="en-US"/>
              </w:rPr>
              <w:t>3</w:t>
            </w:r>
            <w:r>
              <w:rPr>
                <w:rFonts w:ascii="仿宋_GB2312" w:hAnsi="仿宋" w:eastAsia="仿宋_GB2312" w:cs="仿宋"/>
                <w:bCs/>
                <w:lang w:bidi="en-US"/>
              </w:rPr>
              <w:t>.</w:t>
            </w:r>
            <w:r>
              <w:rPr>
                <w:rFonts w:ascii="Times New Roman" w:hAnsi="Times New Roman" w:eastAsia="仿宋_GB2312" w:cs="Times New Roman"/>
                <w:lang w:bidi="en-US"/>
              </w:rPr>
              <w:t xml:space="preserve"> 大力开展机动车的污染防治工作，如黄标车和老旧车辆的淘汰、柴油货车综合整治以及大力推动新能源汽车发展等措施</w:t>
            </w:r>
            <w:r>
              <w:rPr>
                <w:rFonts w:hint="eastAsia" w:ascii="Times New Roman" w:hAnsi="Times New Roman" w:eastAsia="仿宋_GB2312" w:cs="Times New Roman"/>
                <w:lang w:bidi="en-US"/>
              </w:rPr>
              <w:t>。</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1.严格管控易导致环境风险的有毒有害和易燃易爆物质的使用和贮运，涉及此类物质的项目必须编制风险应急预案；强化应急物资储备和救援队伍建设。</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.加强尾矿库监督监管。</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.完善危险源防控机制，提升矿井综合抗灾能力，实施安全闭合管理，确保隐患治理到位。</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严把耗煤新项目准入关，控制煤炭消费总量。</w:t>
            </w:r>
          </w:p>
          <w:p>
            <w:pPr>
              <w:adjustRightInd w:val="0"/>
              <w:snapToGrid w:val="0"/>
              <w:rPr>
                <w:rFonts w:ascii="仿宋_GB2312" w:hAnsi="Times New Roman" w:eastAsia="仿宋_GB2312" w:cs="Times New Roman"/>
                <w:lang w:bidi="en-US"/>
              </w:rPr>
            </w:pPr>
            <w:r>
              <w:rPr>
                <w:rFonts w:ascii="Times New Roman" w:hAnsi="Times New Roman" w:eastAsia="仿宋_GB2312" w:cs="Times New Roman"/>
                <w:lang w:bidi="en-US"/>
              </w:rPr>
              <w:t>3</w:t>
            </w:r>
            <w:r>
              <w:rPr>
                <w:rFonts w:hint="eastAsia" w:ascii="Times New Roman" w:hAnsi="Times New Roman" w:eastAsia="仿宋_GB2312" w:cs="Times New Roman"/>
                <w:lang w:bidi="en-US"/>
              </w:rPr>
              <w:t>.</w:t>
            </w:r>
            <w:r>
              <w:rPr>
                <w:rFonts w:ascii="Times New Roman" w:hAnsi="Times New Roman" w:eastAsia="仿宋_GB2312" w:cs="Times New Roman"/>
                <w:lang w:bidi="en-US"/>
              </w:rPr>
              <w:t>进一步提高选矿废水综合利用率，促进煤矸石、矿井水等资源综合利用。</w:t>
            </w:r>
            <w:r>
              <w:rPr>
                <w:rFonts w:hint="eastAsia" w:ascii="仿宋_GB2312" w:hAnsi="Times New Roman" w:eastAsia="仿宋_GB2312" w:cs="Times New Roman"/>
                <w:lang w:bidi="en-US"/>
              </w:rPr>
              <w:t>新建矿山和现有生产矿山的地质环境得到全面治理和复垦，“三废”达标排放率达到95%，废水综合利用率达到70%以上，固体废物综合利用率达到50%以上；对全区的历史遗留地质环境问题，进行逐一恢复治理。</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.严格实施用水管理。</w:t>
            </w:r>
            <w:r>
              <w:rPr>
                <w:rFonts w:ascii="仿宋_GB2312" w:hAnsi="仿宋" w:eastAsia="仿宋_GB2312" w:cs="仿宋"/>
                <w:bCs/>
                <w:lang w:bidi="en-US"/>
              </w:rPr>
              <w:t>新</w:t>
            </w:r>
            <w:r>
              <w:rPr>
                <w:rFonts w:hint="eastAsia" w:ascii="仿宋_GB2312" w:hAnsi="仿宋" w:eastAsia="仿宋_GB2312" w:cs="仿宋"/>
                <w:bCs/>
                <w:lang w:bidi="en-US"/>
              </w:rPr>
              <w:t>建、扩建、改</w:t>
            </w:r>
            <w:r>
              <w:rPr>
                <w:rFonts w:ascii="仿宋_GB2312" w:hAnsi="仿宋" w:eastAsia="仿宋_GB2312" w:cs="仿宋"/>
                <w:bCs/>
                <w:lang w:bidi="en-US"/>
              </w:rPr>
              <w:t>建</w:t>
            </w:r>
            <w:r>
              <w:rPr>
                <w:rFonts w:hint="eastAsia" w:ascii="仿宋_GB2312" w:hAnsi="Times New Roman" w:eastAsia="仿宋_GB2312" w:cs="Times New Roman"/>
                <w:lang w:bidi="en-US"/>
              </w:rPr>
              <w:t xml:space="preserve">项目用水要达到行业先进水平，节水设施应与主体工程同时设计、同时施工、同时投运。 </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ZH65040220005</w:t>
            </w:r>
          </w:p>
        </w:tc>
        <w:tc>
          <w:tcPr>
            <w:tcW w:w="1975"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ascii="Times New Roman" w:hAnsi="Times New Roman" w:eastAsia="仿宋_GB2312" w:cs="Times New Roman"/>
              </w:rPr>
              <w:t>高昌区城镇生活重点管控单元</w:t>
            </w:r>
          </w:p>
        </w:tc>
        <w:tc>
          <w:tcPr>
            <w:tcW w:w="1579"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重点管控单元</w:t>
            </w: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1.禁止</w:t>
            </w:r>
            <w:r>
              <w:rPr>
                <w:rFonts w:ascii="仿宋_GB2312" w:hAnsi="仿宋" w:eastAsia="仿宋_GB2312" w:cs="仿宋"/>
                <w:bCs/>
                <w:lang w:bidi="en-US"/>
              </w:rPr>
              <w:t>新</w:t>
            </w:r>
            <w:r>
              <w:rPr>
                <w:rFonts w:hint="eastAsia" w:ascii="仿宋_GB2312" w:hAnsi="仿宋" w:eastAsia="仿宋_GB2312" w:cs="仿宋"/>
                <w:bCs/>
                <w:lang w:bidi="en-US"/>
              </w:rPr>
              <w:t>建、扩建、改</w:t>
            </w:r>
            <w:r>
              <w:rPr>
                <w:rFonts w:ascii="仿宋_GB2312" w:hAnsi="仿宋" w:eastAsia="仿宋_GB2312" w:cs="仿宋"/>
                <w:bCs/>
                <w:lang w:bidi="en-US"/>
              </w:rPr>
              <w:t>建</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hint="eastAsia" w:ascii="仿宋_GB2312" w:hAnsi="Times New Roman" w:eastAsia="仿宋_GB2312" w:cs="Times New Roman"/>
                <w:lang w:bidi="en-US"/>
              </w:rPr>
              <w:t>三类工业项目，现有上述项目应制定计划，限期外迁；禁止新建</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）等</w:t>
            </w:r>
            <w:r>
              <w:rPr>
                <w:rFonts w:hint="eastAsia" w:ascii="仿宋_GB2312" w:hAnsi="Times New Roman" w:eastAsia="仿宋_GB2312" w:cs="Times New Roman"/>
                <w:lang w:bidi="en-US"/>
              </w:rPr>
              <w:t>涉气二类工业项目（基础设施等民生工程除外），改、扩建的不得新增大气污染物排放总量。</w:t>
            </w:r>
          </w:p>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lang w:bidi="en-US"/>
              </w:rPr>
              <w:t>2</w:t>
            </w:r>
            <w:r>
              <w:rPr>
                <w:rFonts w:ascii="Times New Roman" w:hAnsi="Times New Roman" w:eastAsia="仿宋_GB2312" w:cs="Times New Roman"/>
                <w:lang w:bidi="en-US"/>
              </w:rPr>
              <w:t>.</w:t>
            </w:r>
            <w:r>
              <w:rPr>
                <w:rFonts w:hint="eastAsia" w:ascii="Times New Roman" w:hAnsi="Times New Roman" w:eastAsia="仿宋_GB2312" w:cs="Times New Roman"/>
                <w:lang w:bidi="en-US"/>
              </w:rPr>
              <w:t>严禁</w:t>
            </w:r>
            <w:r>
              <w:rPr>
                <w:rFonts w:ascii="Times New Roman" w:hAnsi="Times New Roman" w:eastAsia="仿宋_GB2312" w:cs="Times New Roman"/>
                <w:lang w:bidi="en-US"/>
              </w:rPr>
              <w:t>在居民集中区新建垃圾分拣中心等臭气异味影响较大的项目；不得在居民集中区新建涉及易燃易爆物质的大型仓储项目</w:t>
            </w:r>
            <w:r>
              <w:rPr>
                <w:rFonts w:hint="eastAsia" w:ascii="Times New Roman"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.新建、</w:t>
            </w:r>
            <w:r>
              <w:rPr>
                <w:rFonts w:hint="eastAsia" w:ascii="仿宋_GB2312" w:hAnsi="仿宋" w:eastAsia="仿宋_GB2312" w:cs="仿宋"/>
                <w:bCs/>
                <w:lang w:bidi="en-US"/>
              </w:rPr>
              <w:t>扩建、改</w:t>
            </w:r>
            <w:r>
              <w:rPr>
                <w:rFonts w:ascii="仿宋_GB2312" w:hAnsi="仿宋" w:eastAsia="仿宋_GB2312" w:cs="仿宋"/>
                <w:bCs/>
                <w:lang w:bidi="en-US"/>
              </w:rPr>
              <w:t>建</w:t>
            </w:r>
            <w:r>
              <w:rPr>
                <w:rFonts w:hint="eastAsia" w:ascii="仿宋_GB2312" w:hAnsi="Times New Roman" w:eastAsia="仿宋_GB2312" w:cs="Times New Roman"/>
                <w:lang w:bidi="en-US"/>
              </w:rPr>
              <w:t>公路、铁路、输油输气管道等各类工程，需要穿越、跨越坎儿井的，应当对工程建设期间、运行过程中可能给坎儿井造成的危害进行论证，并制定坎儿井保护方案。</w:t>
            </w:r>
          </w:p>
        </w:tc>
        <w:tc>
          <w:tcPr>
            <w:tcW w:w="5080"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单元特点：</w:t>
            </w:r>
            <w:r>
              <w:rPr>
                <w:rFonts w:ascii="Times New Roman" w:hAnsi="Times New Roman" w:eastAsia="仿宋_GB2312" w:cs="Times New Roman"/>
                <w:lang w:bidi="en-US"/>
              </w:rPr>
              <w:t>该管控单元为高昌区城镇生活区，主要活动为城镇居住人口生产生活</w:t>
            </w:r>
            <w:r>
              <w:rPr>
                <w:rFonts w:hint="eastAsia" w:ascii="仿宋_GB2312" w:hAnsi="仿宋" w:eastAsia="仿宋_GB2312" w:cs="仿宋"/>
                <w:lang w:bidi="en-US"/>
              </w:rPr>
              <w:t>。</w:t>
            </w:r>
          </w:p>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相关要求：</w:t>
            </w:r>
            <w:r>
              <w:rPr>
                <w:rFonts w:hint="eastAsia" w:ascii="仿宋_GB2312" w:hAnsi="Times New Roman" w:eastAsia="仿宋_GB2312" w:cs="Times New Roman"/>
                <w:lang w:bidi="en-US"/>
              </w:rPr>
              <w:t>《新疆维吾尔自治区坎儿井保护条例》、</w:t>
            </w:r>
            <w:r>
              <w:rPr>
                <w:rFonts w:hint="eastAsia" w:ascii="仿宋_GB2312" w:hAnsi="仿宋" w:eastAsia="仿宋_GB2312" w:cs="仿宋"/>
                <w:lang w:bidi="en-US"/>
              </w:rPr>
              <w:t>《吐鲁番市大气环境质量限期达标规划》、《吐鲁番市打赢蓝天保卫战三年行动计划实施方案（2018-2020）》、《吐鲁番市生态环境保护“十四五”规划》、《吐鲁番市水污染防治总体实施方案》、《吐鲁番市高昌区水污染防治工作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噪声和臭气异味防治。涉臭气异味企业应采取封闭、加盖等收集处理措施，提高臭气废气收集率和处理率，明显减少工业臭气异味排放；完成餐饮油烟综合整治，大中型餐饮企业（包括单位食堂）必须安装高效油烟净化装置并进行定期清洗；严格施工扬尘监管。</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2.县级以上城镇生活污水集中处理率达到</w:t>
            </w:r>
            <w:r>
              <w:rPr>
                <w:rFonts w:ascii="仿宋_GB2312" w:hAnsi="Times New Roman" w:eastAsia="仿宋_GB2312" w:cs="Times New Roman"/>
                <w:lang w:bidi="en-US"/>
              </w:rPr>
              <w:t>9</w:t>
            </w:r>
            <w:r>
              <w:rPr>
                <w:rFonts w:hint="eastAsia" w:ascii="仿宋_GB2312" w:hAnsi="Times New Roman" w:eastAsia="仿宋_GB2312" w:cs="Times New Roman"/>
                <w:lang w:bidi="en-US"/>
              </w:rPr>
              <w:t>0%以上；县级以上城镇生活垃圾无害化处理率达到</w:t>
            </w:r>
            <w:r>
              <w:rPr>
                <w:rFonts w:ascii="仿宋_GB2312" w:hAnsi="Times New Roman" w:eastAsia="仿宋_GB2312" w:cs="Times New Roman"/>
                <w:lang w:bidi="en-US"/>
              </w:rPr>
              <w:t>100%</w:t>
            </w:r>
            <w:r>
              <w:rPr>
                <w:rFonts w:hint="eastAsia" w:ascii="仿宋_GB2312" w:hAnsi="Times New Roman" w:eastAsia="仿宋_GB2312" w:cs="Times New Roman"/>
                <w:lang w:bidi="en-US"/>
              </w:rPr>
              <w:t>。加强污水处理设施运行管理，全面加强配套管网建设，推进污泥处理处置。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通过经济手段引导供热、供气、供电管网覆盖区域居民减少散煤使用，大力推进“电化农村”建设。逐步将风能、太阳能、电力等清洁能源利用项目扩展到各乡镇。</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推进农业农村污染防治，防治畜禽养殖污染，科学规划布局畜禽养殖，配套建设粪便污水贮存、处理、利用设施，新改扩建规模化畜禽养殖场（小区）要实施雨污分流、粪便污水资源化利用；控制农业面源污染，控制农田化肥农药使用量，大力发展生态循环农业，加快推广测土配方施肥、安全用药、绿色防控、农业废弃物资源化利用等农业清洁生产技术与装备；优化种植业结构与布局；加快农村环境综合整治。</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推进农村生活污水治理。因地制宜，采取“以城带</w:t>
            </w:r>
            <w:r>
              <w:rPr>
                <w:rFonts w:ascii="仿宋_GB2312" w:hAnsi="Times New Roman" w:eastAsia="仿宋_GB2312" w:cs="Times New Roman"/>
                <w:lang w:bidi="en-US"/>
              </w:rPr>
              <w:t>村” 、“以乡（镇）带</w:t>
            </w:r>
            <w:r>
              <w:rPr>
                <w:rFonts w:hint="eastAsia" w:ascii="仿宋_GB2312" w:hAnsi="Times New Roman" w:eastAsia="仿宋_GB2312" w:cs="Times New Roman"/>
                <w:lang w:bidi="en-US"/>
              </w:rPr>
              <w:t>村</w:t>
            </w:r>
            <w:r>
              <w:rPr>
                <w:rFonts w:ascii="仿宋_GB2312" w:hAnsi="Times New Roman" w:eastAsia="仿宋_GB2312" w:cs="Times New Roman"/>
                <w:lang w:bidi="en-US"/>
              </w:rPr>
              <w:t>”</w:t>
            </w:r>
            <w:r>
              <w:rPr>
                <w:rFonts w:hint="eastAsia" w:ascii="仿宋_GB2312" w:hAnsi="Times New Roman" w:eastAsia="仿宋_GB2312" w:cs="Times New Roman"/>
                <w:lang w:bidi="en-US"/>
              </w:rPr>
              <w:t>、</w:t>
            </w:r>
            <w:r>
              <w:rPr>
                <w:rFonts w:ascii="仿宋_GB2312" w:hAnsi="Times New Roman" w:eastAsia="仿宋_GB2312" w:cs="Times New Roman"/>
                <w:lang w:bidi="en-US"/>
              </w:rPr>
              <w:t xml:space="preserve"> “联村” 、“单村” 、“联户” 、“单户”等多种方式，实</w:t>
            </w:r>
            <w:r>
              <w:rPr>
                <w:rFonts w:hint="eastAsia" w:ascii="仿宋_GB2312" w:hAnsi="Times New Roman" w:eastAsia="仿宋_GB2312" w:cs="Times New Roman"/>
                <w:lang w:bidi="en-US"/>
              </w:rPr>
              <w:t>施农村生活污水治理工程，合理布局，科学设计。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.严格按照《新疆维吾尔自治区坎儿井保护条例》对区域内坎儿井进行保护，禁止向坎儿井水源、明渠、蓄水池倾倒废污水、垃圾等废弃物。</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1.紧邻居住、科教、医院等环境敏感点的工业用地，禁止新建环境风险潜势等级高于Ⅲ级的建设项目。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 严格管控易导致环境风险的有毒有害和易燃易爆物质的使用和贮运，涉及此类物质的项目必须编制风险应急预案</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强化企业环境风险防范设施设备建设和正常运行监管，建立常态化的企业隐患排查整治监管机制，涉危的风险企业应及时编制环境风险应急预案并定期更新，每年至少开展一次应急演练。强化应急物资储备和救援队伍建设。</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4.加强风险防控体系建设，防范环境风险。</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lang w:bidi="en-US"/>
              </w:rPr>
              <w:t>1.</w:t>
            </w:r>
            <w:r>
              <w:rPr>
                <w:rFonts w:ascii="Times New Roman" w:hAnsi="Times New Roman" w:eastAsia="仿宋_GB2312" w:cs="Times New Roman"/>
                <w:lang w:bidi="en-US"/>
              </w:rPr>
              <w:t>全面开展</w:t>
            </w:r>
            <w:r>
              <w:rPr>
                <w:rFonts w:hint="eastAsia" w:ascii="Times New Roman" w:hAnsi="Times New Roman" w:eastAsia="仿宋_GB2312" w:cs="Times New Roman"/>
                <w:lang w:bidi="en-US"/>
              </w:rPr>
              <w:t>城市</w:t>
            </w:r>
            <w:r>
              <w:rPr>
                <w:rFonts w:ascii="Times New Roman" w:hAnsi="Times New Roman" w:eastAsia="仿宋_GB2312" w:cs="Times New Roman"/>
                <w:lang w:bidi="en-US"/>
              </w:rPr>
              <w:t>节水型社会建设，推进节水产品推广普及，限制高耗水服务业用水</w:t>
            </w:r>
            <w:r>
              <w:rPr>
                <w:rFonts w:hint="eastAsia" w:ascii="仿宋_GB2312" w:hAnsi="Times New Roman" w:eastAsia="仿宋_GB2312" w:cs="Times New Roman"/>
                <w:lang w:bidi="en-US"/>
              </w:rPr>
              <w:t>。</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ZH65040220006</w:t>
            </w:r>
          </w:p>
        </w:tc>
        <w:tc>
          <w:tcPr>
            <w:tcW w:w="1975"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ascii="Times New Roman" w:hAnsi="Times New Roman" w:eastAsia="仿宋_GB2312" w:cs="Times New Roman"/>
              </w:rPr>
              <w:t>高昌区地下水开采重点管控单元</w:t>
            </w:r>
          </w:p>
        </w:tc>
        <w:tc>
          <w:tcPr>
            <w:tcW w:w="1579"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重点管控单元</w:t>
            </w: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1.在地下水超采区，除必要的人饮工程外，禁止兴建地下水取水工程，禁止建设水源热泵工程项目。在地下水超采区上游补给区域，不得新建地下水取水工程。</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在地下水超采区，对国有开发土地灌溉用水井，自取得取水许可之日起仅可更新一次，并严格控制井深；对已经更新仍不能满足供水需要的，实行自然退地。</w:t>
            </w:r>
          </w:p>
          <w:p>
            <w:pPr>
              <w:adjustRightInd w:val="0"/>
              <w:snapToGrid w:val="0"/>
              <w:rPr>
                <w:rFonts w:ascii="Times New Roman"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在地下水禁采区，停止办理各类地下水取水许可，</w:t>
            </w:r>
            <w:r>
              <w:rPr>
                <w:rFonts w:ascii="Times New Roman" w:hAnsi="Times New Roman" w:eastAsia="仿宋_GB2312" w:cs="Times New Roman"/>
                <w:lang w:bidi="en-US"/>
              </w:rPr>
              <w:t>在完善供水管网配套供水设施、保障供水的基础上，除城乡生活饮水或者战备、旱灾、火灾、地震等应急取水井外，原有地下水取水工程全部限期封停或拆除。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w:t>
            </w:r>
            <w:r>
              <w:rPr>
                <w:rFonts w:ascii="Times New Roman" w:hAnsi="Times New Roman" w:eastAsia="仿宋_GB2312" w:cs="Times New Roman"/>
                <w:lang w:bidi="en-US"/>
              </w:rPr>
              <w:t>在坎儿井所在地从事水资源开发利用活动，应当遵守坎儿井保护和利用规划，新建、</w:t>
            </w:r>
            <w:r>
              <w:rPr>
                <w:rFonts w:hint="eastAsia" w:ascii="仿宋_GB2312" w:hAnsi="仿宋" w:eastAsia="仿宋_GB2312" w:cs="仿宋"/>
                <w:bCs/>
                <w:lang w:bidi="en-US"/>
              </w:rPr>
              <w:t>扩建、改</w:t>
            </w:r>
            <w:r>
              <w:rPr>
                <w:rFonts w:ascii="仿宋_GB2312" w:hAnsi="仿宋" w:eastAsia="仿宋_GB2312" w:cs="仿宋"/>
                <w:bCs/>
                <w:lang w:bidi="en-US"/>
              </w:rPr>
              <w:t>建</w:t>
            </w:r>
            <w:r>
              <w:rPr>
                <w:rFonts w:ascii="Times New Roman" w:hAnsi="Times New Roman" w:eastAsia="仿宋_GB2312" w:cs="Times New Roman"/>
                <w:lang w:bidi="en-US"/>
              </w:rPr>
              <w:t>水库等控制性水利工程或者打机电井，应当对工程的建设和运行管理进行科学论证，避免对坎儿井水源造成影响</w:t>
            </w:r>
            <w:r>
              <w:rPr>
                <w:rFonts w:hint="eastAsia" w:ascii="Times New Roman" w:hAnsi="Times New Roman" w:eastAsia="仿宋_GB2312" w:cs="Times New Roman"/>
                <w:lang w:bidi="en-US"/>
              </w:rPr>
              <w:t>。</w:t>
            </w:r>
            <w:r>
              <w:rPr>
                <w:rFonts w:hint="eastAsia" w:ascii="仿宋_GB2312" w:hAnsi="Times New Roman" w:eastAsia="仿宋_GB2312" w:cs="Times New Roman"/>
                <w:lang w:bidi="en-US"/>
              </w:rPr>
              <w:t>新建、</w:t>
            </w:r>
            <w:r>
              <w:rPr>
                <w:rFonts w:hint="eastAsia" w:ascii="仿宋_GB2312" w:hAnsi="仿宋" w:eastAsia="仿宋_GB2312" w:cs="仿宋"/>
                <w:bCs/>
                <w:lang w:bidi="en-US"/>
              </w:rPr>
              <w:t>扩建、改</w:t>
            </w:r>
            <w:r>
              <w:rPr>
                <w:rFonts w:ascii="仿宋_GB2312" w:hAnsi="仿宋" w:eastAsia="仿宋_GB2312" w:cs="仿宋"/>
                <w:bCs/>
                <w:lang w:bidi="en-US"/>
              </w:rPr>
              <w:t>建</w:t>
            </w:r>
            <w:r>
              <w:rPr>
                <w:rFonts w:hint="eastAsia" w:ascii="仿宋_GB2312" w:hAnsi="Times New Roman" w:eastAsia="仿宋_GB2312" w:cs="Times New Roman"/>
                <w:lang w:bidi="en-US"/>
              </w:rPr>
              <w:t>公路、铁路、输油输气管道以及石油、天燃气开采等各类工程，需要穿越、跨越坎儿井的，应当对工程建设期间、运行过程中可能给坎儿井造成的危害进行论证，并制定坎儿井保护方案。</w:t>
            </w:r>
          </w:p>
        </w:tc>
        <w:tc>
          <w:tcPr>
            <w:tcW w:w="5080"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单元特点：</w:t>
            </w:r>
            <w:r>
              <w:rPr>
                <w:rFonts w:hint="eastAsia" w:ascii="仿宋_GB2312" w:hAnsi="仿宋" w:eastAsia="仿宋_GB2312" w:cs="仿宋"/>
                <w:lang w:bidi="en-US"/>
              </w:rPr>
              <w:t>该管控单元涉及地下水重点管控区，属于</w:t>
            </w:r>
            <w:r>
              <w:rPr>
                <w:rFonts w:hint="eastAsia" w:ascii="Times New Roman" w:hAnsi="Times New Roman" w:eastAsia="仿宋_GB2312" w:cs="Times New Roman"/>
                <w:lang w:bidi="en-US"/>
              </w:rPr>
              <w:t>浅层地下水大型严重超采区，高昌区城区为</w:t>
            </w:r>
            <w:r>
              <w:rPr>
                <w:rFonts w:hint="eastAsia" w:ascii="仿宋_GB2312" w:hAnsi="仿宋" w:eastAsia="仿宋_GB2312" w:cs="仿宋"/>
                <w:lang w:bidi="en-US"/>
              </w:rPr>
              <w:t>禁采区，高昌区禁采区以《新疆地下水超采区划定报告》（</w:t>
            </w:r>
            <w:r>
              <w:rPr>
                <w:rFonts w:ascii="仿宋_GB2312" w:hAnsi="仿宋" w:eastAsia="仿宋_GB2312" w:cs="仿宋"/>
                <w:lang w:bidi="en-US"/>
              </w:rPr>
              <w:t>2018年8月）为准，面积为11.4 km</w:t>
            </w:r>
            <w:r>
              <w:rPr>
                <w:rFonts w:ascii="仿宋_GB2312" w:hAnsi="仿宋" w:eastAsia="仿宋_GB2312" w:cs="仿宋"/>
                <w:vertAlign w:val="superscript"/>
                <w:lang w:bidi="en-US"/>
              </w:rPr>
              <w:t>2</w:t>
            </w:r>
            <w:r>
              <w:rPr>
                <w:rFonts w:hint="eastAsia" w:ascii="仿宋_GB2312" w:hAnsi="仿宋" w:eastAsia="仿宋_GB2312" w:cs="仿宋"/>
                <w:lang w:bidi="en-US"/>
              </w:rPr>
              <w:t>；其余区域为限采区。单元内还涉及较为集中的现存坎儿井</w:t>
            </w:r>
          </w:p>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要素属性：</w:t>
            </w:r>
            <w:r>
              <w:rPr>
                <w:rFonts w:hint="eastAsia" w:ascii="仿宋_GB2312" w:hAnsi="Times New Roman" w:eastAsia="仿宋_GB2312" w:cs="Times New Roman"/>
                <w:lang w:bidi="en-US"/>
              </w:rPr>
              <w:t>地下水开采重点管控区</w:t>
            </w:r>
          </w:p>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相关要求：</w:t>
            </w:r>
            <w:r>
              <w:rPr>
                <w:rFonts w:hint="eastAsia" w:ascii="仿宋_GB2312" w:hAnsi="Times New Roman" w:eastAsia="仿宋_GB2312" w:cs="Times New Roman"/>
                <w:lang w:bidi="en-US"/>
              </w:rPr>
              <w:t>《新疆维吾尔自治区坎儿井保护条例》、《新疆维吾尔自治区地下水资源管理条例》、《吐鲁番市地下水资源管理实施办法（试行）》</w:t>
            </w:r>
            <w:r>
              <w:rPr>
                <w:rFonts w:hint="eastAsia" w:ascii="仿宋_GB2312" w:hAnsi="仿宋" w:eastAsia="仿宋_GB2312" w:cs="仿宋"/>
                <w:lang w:bidi="en-US"/>
              </w:rPr>
              <w:t>、《吐鲁番市地下水资源保护和利用规划》、《吐鲁番市生态环境保护“十四五”规划》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 禁止私设暗管或者利用渗井、渗坑和裂隙排放、倾倒含有毒污染物的废水、含病原体的污水和其他废弃物。禁止利用无防渗漏措施的沟渠、坑塘等输送或者存贮含有毒污染物的废水、含病原体的污水和其他废弃物。禁止将含有汞、镉、砷、铬、铅、氰化物、黄磷等可溶性剧毒废渣及难降解有机物或者含油废弃物直接埋入地下。人工回灌补给地下水，不得恶化地下水水质。</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严格按照《新疆维吾尔自治区坎儿井保护条例》对区域内坎儿井进行保护，禁止向坎儿井水源、明渠、蓄水池倾倒废污水、垃圾等废弃物。</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hint="eastAsia" w:ascii="仿宋_GB2312" w:hAnsi="Calibri" w:eastAsia="仿宋_GB2312" w:cs="Times New Roman"/>
                <w:lang w:bidi="en-US"/>
              </w:rPr>
              <w:t xml:space="preserve"> </w:t>
            </w:r>
            <w:r>
              <w:rPr>
                <w:rFonts w:hint="eastAsia" w:ascii="仿宋_GB2312" w:hAnsi="Times New Roman" w:eastAsia="仿宋_GB2312" w:cs="Times New Roman"/>
                <w:lang w:bidi="en-US"/>
              </w:rPr>
              <w:t>落实吐鲁番市关于地下水用水总量控制方案，开源与节流并重，实行计划用水、节约用水；开采与补给平衡，防止水源的枯竭和地下水资源的污染。</w:t>
            </w:r>
          </w:p>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lang w:bidi="en-US"/>
              </w:rPr>
              <w:t>2</w:t>
            </w:r>
            <w:r>
              <w:rPr>
                <w:rFonts w:ascii="Times New Roman" w:hAnsi="Times New Roman" w:eastAsia="仿宋_GB2312" w:cs="Times New Roman"/>
                <w:lang w:bidi="en-US"/>
              </w:rPr>
              <w:t>.稳妥处置突发地下水环境污染事件，制定和完善水污染事故处置应急预案，强化危险源、敏感点的监测、分析、预测、预警</w:t>
            </w:r>
            <w:r>
              <w:rPr>
                <w:rFonts w:hint="eastAsia" w:ascii="Times New Roman" w:hAnsi="Times New Roman" w:eastAsia="仿宋_GB2312" w:cs="Times New Roman"/>
                <w:lang w:bidi="en-US"/>
              </w:rPr>
              <w:t>。</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至</w:t>
            </w:r>
            <w:r>
              <w:rPr>
                <w:rFonts w:ascii="仿宋_GB2312" w:hAnsi="Times New Roman" w:eastAsia="仿宋_GB2312" w:cs="Times New Roman"/>
                <w:lang w:bidi="en-US"/>
              </w:rPr>
              <w:t>2025年，大型超采区变为中型超采区，且地下水位下降速率要控制在0.5</w:t>
            </w:r>
            <w:r>
              <w:rPr>
                <w:rFonts w:hint="eastAsia" w:ascii="仿宋_GB2312" w:hAnsi="Times New Roman" w:eastAsia="仿宋_GB2312" w:cs="Times New Roman"/>
                <w:lang w:bidi="en-US"/>
              </w:rPr>
              <w:t>米</w:t>
            </w:r>
            <w:r>
              <w:rPr>
                <w:rFonts w:ascii="仿宋_GB2312" w:hAnsi="Times New Roman" w:eastAsia="仿宋_GB2312" w:cs="Times New Roman"/>
                <w:lang w:bidi="en-US"/>
              </w:rPr>
              <w:t>/</w:t>
            </w:r>
            <w:r>
              <w:rPr>
                <w:rFonts w:hint="eastAsia" w:ascii="仿宋_GB2312" w:hAnsi="Times New Roman" w:eastAsia="仿宋_GB2312" w:cs="Times New Roman"/>
                <w:lang w:bidi="en-US"/>
              </w:rPr>
              <w:t>年</w:t>
            </w:r>
            <w:r>
              <w:rPr>
                <w:rFonts w:ascii="仿宋_GB2312" w:hAnsi="Times New Roman" w:eastAsia="仿宋_GB2312" w:cs="Times New Roman"/>
                <w:lang w:bidi="en-US"/>
              </w:rPr>
              <w:t>以内。至2030年，全部超采区地下水位基本稳定（下降速率为-0.1~0.1</w:t>
            </w:r>
            <w:r>
              <w:rPr>
                <w:rFonts w:hint="eastAsia" w:ascii="仿宋_GB2312" w:hAnsi="Times New Roman" w:eastAsia="仿宋_GB2312" w:cs="Times New Roman"/>
                <w:lang w:bidi="en-US"/>
              </w:rPr>
              <w:t>米</w:t>
            </w:r>
            <w:r>
              <w:rPr>
                <w:rFonts w:ascii="仿宋_GB2312" w:hAnsi="Times New Roman" w:eastAsia="仿宋_GB2312" w:cs="Times New Roman"/>
                <w:lang w:bidi="en-US"/>
              </w:rPr>
              <w:t>/</w:t>
            </w:r>
            <w:r>
              <w:rPr>
                <w:rFonts w:hint="eastAsia" w:ascii="仿宋_GB2312" w:hAnsi="Times New Roman" w:eastAsia="仿宋_GB2312" w:cs="Times New Roman"/>
                <w:lang w:bidi="en-US"/>
              </w:rPr>
              <w:t>年</w:t>
            </w:r>
            <w:r>
              <w:rPr>
                <w:rFonts w:ascii="仿宋_GB2312" w:hAnsi="Times New Roman" w:eastAsia="仿宋_GB2312" w:cs="Times New Roman"/>
                <w:lang w:bidi="en-US"/>
              </w:rPr>
              <w:t>）或呈上升趋势，全部达到采补平衡。</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ZH65040220007</w:t>
            </w:r>
          </w:p>
        </w:tc>
        <w:tc>
          <w:tcPr>
            <w:tcW w:w="1975"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eastAsia="仿宋_GB2312"/>
                <w:lang w:bidi="en-US"/>
              </w:rPr>
              <w:t>高昌区艾丁湖矿区重点管控单元</w:t>
            </w:r>
          </w:p>
        </w:tc>
        <w:tc>
          <w:tcPr>
            <w:tcW w:w="1579"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重点管控单元</w:t>
            </w: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1.围绕大型煤电基地和现代煤化工项目用煤需要，在充分利用现有煤矿生产能力的前提下，严格依照规划新建煤矿项目，并严格执行煤炭产能置换的相关政策。</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煤炭资源开发项目原则上要按照国家和自治区有关政策要求配套建设相应的洗选厂。</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.合理权衡煤炭开采方式。禁止新建非机械化开采的煤矿；禁止建设</w:t>
            </w:r>
            <w:r>
              <w:rPr>
                <w:rFonts w:ascii="仿宋_GB2312" w:hAnsi="Times New Roman" w:eastAsia="仿宋_GB2312" w:cs="Times New Roman"/>
                <w:lang w:bidi="en-US"/>
              </w:rPr>
              <w:t>45 万吨/年以下能力的改扩建矿井；禁止核准新建120 万吨/年矿井及400 万吨/年露天以下规模的煤矿项目</w:t>
            </w:r>
            <w:r>
              <w:rPr>
                <w:rFonts w:hint="eastAsia" w:ascii="仿宋_GB2312" w:hAnsi="Times New Roman" w:eastAsia="仿宋_GB2312" w:cs="Times New Roman"/>
                <w:lang w:bidi="en-US"/>
              </w:rPr>
              <w:t>。禁止开采放射性核素超过《新疆煤炭资源开采天然放射性核素限量》。（DB65/T3471）要求的煤炭资源。新建和改扩建煤炭采选项目选址应符合《煤炭工业矿井设计规范》（GB50215）、《煤炭洗选工程设计规范》（GB50359）。</w:t>
            </w:r>
          </w:p>
        </w:tc>
        <w:tc>
          <w:tcPr>
            <w:tcW w:w="5080"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单元特点：</w:t>
            </w:r>
            <w:r>
              <w:rPr>
                <w:rFonts w:hint="eastAsia" w:ascii="仿宋_GB2312" w:hAnsi="仿宋" w:eastAsia="仿宋_GB2312" w:cs="仿宋"/>
                <w:lang w:bidi="en-US"/>
              </w:rPr>
              <w:t>该管控单元为重大矿区艾丁湖矿区，为煤矿</w:t>
            </w:r>
          </w:p>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吐鲁番市大气环境质量限期达标规划》、《吐鲁番市打赢蓝天保卫战三年行动计划实施方案（2018-2020）》、《吐鲁番市生态环境保护“十四五”规划》、《吐鲁番市水污染防治总体实施方案》、《新疆维吾尔自治区矿产资源总体规划（2016-2020）》、</w:t>
            </w:r>
            <w:r>
              <w:rPr>
                <w:rFonts w:hint="eastAsia" w:ascii="Times New Roman" w:hAnsi="Times New Roman" w:eastAsia="仿宋_GB2312" w:cs="Times New Roman"/>
                <w:lang w:bidi="en-US"/>
              </w:rPr>
              <w:t>《</w:t>
            </w:r>
            <w:r>
              <w:rPr>
                <w:rFonts w:ascii="Times New Roman" w:hAnsi="Times New Roman" w:eastAsia="仿宋_GB2312" w:cs="Times New Roman"/>
                <w:lang w:bidi="en-US"/>
              </w:rPr>
              <w:t>新疆维吾尔自治区</w:t>
            </w:r>
            <w:r>
              <w:rPr>
                <w:rFonts w:hint="eastAsia" w:ascii="Times New Roman" w:hAnsi="Times New Roman" w:eastAsia="仿宋_GB2312" w:cs="Times New Roman"/>
                <w:lang w:bidi="en-US"/>
              </w:rPr>
              <w:t>吐鲁番市</w:t>
            </w:r>
            <w:r>
              <w:rPr>
                <w:rFonts w:ascii="Times New Roman" w:hAnsi="Times New Roman" w:eastAsia="仿宋_GB2312" w:cs="Times New Roman"/>
                <w:lang w:bidi="en-US"/>
              </w:rPr>
              <w:t>矿产资源总体规划（2016-2020）</w:t>
            </w:r>
            <w:r>
              <w:rPr>
                <w:rFonts w:hint="eastAsia" w:ascii="Times New Roman" w:hAnsi="Times New Roman" w:eastAsia="仿宋_GB2312" w:cs="Times New Roman"/>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w:t>
            </w:r>
            <w:r>
              <w:rPr>
                <w:rFonts w:ascii="Times New Roman" w:hAnsi="Times New Roman" w:eastAsia="仿宋_GB2312" w:cs="Times New Roman"/>
                <w:lang w:bidi="en-US"/>
              </w:rPr>
              <w:t>建设绿色煤炭矿山</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煤炭贮存、转载、装卸等过程中产生的无组织污染物必须采取防尘抑尘措施，新建及改扩建采煤项目原煤须采用筒仓或封闭式煤场，厂内输送采用封闭式皮带走廊。锅炉灰渣及煤矸石优先综合利用。煤矸石无害化处置率达到100%；露天矿的剥离物集中排入排土场，处置率达100%。</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3.矿区</w:t>
            </w:r>
            <w:r>
              <w:rPr>
                <w:rFonts w:hint="eastAsia" w:ascii="仿宋_GB2312" w:hAnsi="Times New Roman" w:eastAsia="仿宋_GB2312" w:cs="Times New Roman"/>
                <w:lang w:bidi="en-US"/>
              </w:rPr>
              <w:t>其他易起尘的</w:t>
            </w:r>
            <w:r>
              <w:rPr>
                <w:rFonts w:ascii="仿宋_GB2312" w:hAnsi="Times New Roman" w:eastAsia="仿宋_GB2312" w:cs="Times New Roman"/>
                <w:lang w:bidi="en-US"/>
              </w:rPr>
              <w:t>堆场均应</w:t>
            </w:r>
            <w:r>
              <w:rPr>
                <w:rFonts w:hint="eastAsia" w:ascii="仿宋_GB2312" w:hAnsi="Times New Roman" w:eastAsia="仿宋_GB2312" w:cs="Times New Roman"/>
                <w:lang w:bidi="en-US"/>
              </w:rPr>
              <w:t>采取封闭、覆盖、设置防风抑尘网等措施</w:t>
            </w:r>
            <w:r>
              <w:rPr>
                <w:rFonts w:ascii="仿宋_GB2312" w:hAnsi="Times New Roman" w:eastAsia="仿宋_GB2312" w:cs="Times New Roman"/>
                <w:lang w:bidi="en-US"/>
              </w:rPr>
              <w:t>；矿区内道路应尽量进行硬化</w:t>
            </w:r>
            <w:r>
              <w:rPr>
                <w:rFonts w:hint="eastAsia" w:ascii="仿宋_GB2312" w:hAnsi="Times New Roman" w:eastAsia="仿宋_GB2312" w:cs="Times New Roman"/>
                <w:lang w:bidi="en-US"/>
              </w:rPr>
              <w:t>。</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1.加强尾矿库监督监管。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2.完善危险源防控机制，提升矿井综合抗灾能力，实施安全闭合管理，确保隐患治理到位。</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严把耗煤新项目准入关，控制煤炭消费总量。</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w:t>
            </w:r>
            <w:r>
              <w:rPr>
                <w:rFonts w:ascii="Times New Roman" w:hAnsi="Times New Roman" w:eastAsia="仿宋_GB2312" w:cs="Times New Roman"/>
                <w:lang w:bidi="en-US"/>
              </w:rPr>
              <w:t>进一步提高选矿废水综合利用率，促进煤矸石、矿井水等资源综合利用。</w:t>
            </w:r>
            <w:r>
              <w:rPr>
                <w:rFonts w:hint="eastAsia" w:ascii="仿宋_GB2312" w:hAnsi="Times New Roman" w:eastAsia="仿宋_GB2312" w:cs="Times New Roman"/>
                <w:lang w:bidi="en-US"/>
              </w:rPr>
              <w:t>新建矿山和现有生产矿山的地质环境得到全面治理和复垦，“三废”达标排放率达到95%，废水综合利用率达到70%以上，固体废物综合利用率达到50%以上；对全区的历史遗留地质环境问题，进行逐一恢复治理。</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ZH65040220008</w:t>
            </w:r>
          </w:p>
        </w:tc>
        <w:tc>
          <w:tcPr>
            <w:tcW w:w="1975" w:type="dxa"/>
            <w:vMerge w:val="restart"/>
            <w:shd w:val="clear" w:color="auto" w:fill="auto"/>
            <w:vAlign w:val="center"/>
          </w:tcPr>
          <w:p>
            <w:pPr>
              <w:adjustRightInd w:val="0"/>
              <w:snapToGrid w:val="0"/>
              <w:jc w:val="center"/>
              <w:rPr>
                <w:rFonts w:ascii="仿宋_GB2312" w:hAnsi="Times New Roman" w:eastAsia="仿宋_GB2312" w:cs="Times New Roman"/>
                <w:lang w:bidi="en-US"/>
              </w:rPr>
            </w:pPr>
            <w:bookmarkStart w:id="12" w:name="_Hlk72490406"/>
            <w:r>
              <w:rPr>
                <w:rFonts w:hint="eastAsia" w:ascii="仿宋_GB2312" w:eastAsia="仿宋_GB2312"/>
                <w:lang w:bidi="en-US"/>
              </w:rPr>
              <w:t>高昌区重大矿区重点管控单元</w:t>
            </w:r>
            <w:bookmarkEnd w:id="12"/>
          </w:p>
        </w:tc>
        <w:tc>
          <w:tcPr>
            <w:tcW w:w="1579"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重点管控单元</w:t>
            </w: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1.围绕大型煤电基地和现代煤化工项目用煤需要，在充分利用现有煤矿生产能力的前提下，严格依照规划新建煤矿项目，并严格执行煤炭产能置换的相关政策。</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煤炭资源开发项目原则上要按照国家和自治区有关政策要求配套建设相应的洗选厂。</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.合理权衡煤炭开采方式。禁止新建非机械化开采的煤矿；禁止建设</w:t>
            </w:r>
            <w:r>
              <w:rPr>
                <w:rFonts w:ascii="仿宋_GB2312" w:hAnsi="Times New Roman" w:eastAsia="仿宋_GB2312" w:cs="Times New Roman"/>
                <w:lang w:bidi="en-US"/>
              </w:rPr>
              <w:t>45 万吨/年以下能力的改扩建矿井；禁止核准新建120 万吨/年矿井及400 万吨/年露天以下规模的煤矿项目</w:t>
            </w:r>
            <w:r>
              <w:rPr>
                <w:rFonts w:hint="eastAsia" w:ascii="仿宋_GB2312" w:hAnsi="Times New Roman" w:eastAsia="仿宋_GB2312" w:cs="Times New Roman"/>
                <w:lang w:bidi="en-US"/>
              </w:rPr>
              <w:t>。禁止开采放射性核素超过《新疆煤炭资源开采天然放射性核素限量》。（DB65/T3471）要求的煤炭资源。新建和改扩建煤炭采选项目选址应符合《煤炭工业矿井设计规范》（GB50215）、《煤炭洗选工程设计规范》（GB50359）。</w:t>
            </w:r>
          </w:p>
        </w:tc>
        <w:tc>
          <w:tcPr>
            <w:tcW w:w="5080"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单元特点：</w:t>
            </w:r>
            <w:r>
              <w:rPr>
                <w:rFonts w:hint="eastAsia" w:ascii="仿宋_GB2312" w:hAnsi="仿宋" w:eastAsia="仿宋_GB2312" w:cs="仿宋"/>
                <w:lang w:bidi="en-US"/>
              </w:rPr>
              <w:t>该管控单元涉及重大矿区（七泉湖矿区、塔尔郎沟矿区、玉杭塔吉矿区）；重大矿区为煤矿</w:t>
            </w:r>
          </w:p>
          <w:p>
            <w:pPr>
              <w:adjustRightInd w:val="0"/>
              <w:snapToGrid w:val="0"/>
              <w:rPr>
                <w:rFonts w:ascii="仿宋_GB2312" w:hAnsi="Times New Roman" w:eastAsia="仿宋_GB2312" w:cs="Times New Roman"/>
                <w:lang w:bidi="en-US"/>
              </w:rPr>
            </w:pPr>
            <w:r>
              <w:rPr>
                <w:rFonts w:hint="eastAsia" w:ascii="仿宋_GB2312" w:hAnsi="仿宋" w:eastAsia="仿宋_GB2312" w:cs="仿宋"/>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仿宋" w:eastAsia="仿宋_GB2312" w:cs="仿宋"/>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吐鲁番市大气环境质量限期达标规划》、《吐鲁番市打赢蓝天保卫战三年行动计划实施方案（2018-2020）》、《吐鲁番市生态环境保护“十四五”规划》、《吐鲁番市水污染防治总体实施方案》、《新疆维吾尔自治区矿产资源总体规划（2016-2020）》、</w:t>
            </w:r>
            <w:r>
              <w:rPr>
                <w:rFonts w:hint="eastAsia" w:ascii="Times New Roman" w:hAnsi="Times New Roman" w:eastAsia="仿宋_GB2312" w:cs="Times New Roman"/>
                <w:lang w:bidi="en-US"/>
              </w:rPr>
              <w:t>《</w:t>
            </w:r>
            <w:r>
              <w:rPr>
                <w:rFonts w:ascii="Times New Roman" w:hAnsi="Times New Roman" w:eastAsia="仿宋_GB2312" w:cs="Times New Roman"/>
                <w:lang w:bidi="en-US"/>
              </w:rPr>
              <w:t>新疆维吾尔自治区</w:t>
            </w:r>
            <w:r>
              <w:rPr>
                <w:rFonts w:hint="eastAsia" w:ascii="Times New Roman" w:hAnsi="Times New Roman" w:eastAsia="仿宋_GB2312" w:cs="Times New Roman"/>
                <w:lang w:bidi="en-US"/>
              </w:rPr>
              <w:t>吐鲁番市</w:t>
            </w:r>
            <w:r>
              <w:rPr>
                <w:rFonts w:ascii="Times New Roman" w:hAnsi="Times New Roman" w:eastAsia="仿宋_GB2312" w:cs="Times New Roman"/>
                <w:lang w:bidi="en-US"/>
              </w:rPr>
              <w:t>矿产资源总体规划（2016-2020）</w:t>
            </w:r>
            <w:r>
              <w:rPr>
                <w:rFonts w:hint="eastAsia" w:ascii="Times New Roman" w:hAnsi="Times New Roman" w:eastAsia="仿宋_GB2312" w:cs="Times New Roman"/>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Times New Roman" w:hAnsi="Times New Roman" w:eastAsia="仿宋_GB2312" w:cs="Times New Roman"/>
                <w:lang w:bidi="en-US"/>
              </w:rPr>
              <w:t>建设绿色煤炭矿山</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贮存、转载、装卸等过程中产生的无组织污染物必须采取防尘抑尘措施，新建及改扩建采煤项目原煤须采用筒仓或封闭式煤场，厂内输送采用封闭式皮带走廊。锅炉灰渣及煤矸石优先综合利用。煤矸石无害化处置率达到100%；露天矿的剥离物集中排入排土场，处置率达100%。</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3.矿区</w:t>
            </w:r>
            <w:r>
              <w:rPr>
                <w:rFonts w:hint="eastAsia" w:ascii="仿宋_GB2312" w:hAnsi="Times New Roman" w:eastAsia="仿宋_GB2312" w:cs="Times New Roman"/>
                <w:lang w:bidi="en-US"/>
              </w:rPr>
              <w:t>其他</w:t>
            </w:r>
            <w:r>
              <w:rPr>
                <w:rFonts w:ascii="仿宋_GB2312" w:hAnsi="Times New Roman" w:eastAsia="仿宋_GB2312" w:cs="Times New Roman"/>
                <w:lang w:bidi="en-US"/>
              </w:rPr>
              <w:t>所有</w:t>
            </w:r>
            <w:r>
              <w:rPr>
                <w:rFonts w:hint="eastAsia" w:ascii="仿宋_GB2312" w:hAnsi="Times New Roman" w:eastAsia="仿宋_GB2312" w:cs="Times New Roman"/>
                <w:lang w:bidi="en-US"/>
              </w:rPr>
              <w:t>易起尘的</w:t>
            </w:r>
            <w:r>
              <w:rPr>
                <w:rFonts w:ascii="仿宋_GB2312" w:hAnsi="Times New Roman" w:eastAsia="仿宋_GB2312" w:cs="Times New Roman"/>
                <w:lang w:bidi="en-US"/>
              </w:rPr>
              <w:t>堆场均应</w:t>
            </w:r>
            <w:r>
              <w:rPr>
                <w:rFonts w:hint="eastAsia" w:ascii="仿宋_GB2312" w:hAnsi="Times New Roman" w:eastAsia="仿宋_GB2312" w:cs="Times New Roman"/>
                <w:lang w:bidi="en-US"/>
              </w:rPr>
              <w:t>采取封闭、覆盖、设置防风抑尘网等措施</w:t>
            </w:r>
            <w:r>
              <w:rPr>
                <w:rFonts w:ascii="仿宋_GB2312" w:hAnsi="Times New Roman" w:eastAsia="仿宋_GB2312" w:cs="Times New Roman"/>
                <w:lang w:bidi="en-US"/>
              </w:rPr>
              <w:t>；矿区内道路应尽量进行硬化</w:t>
            </w:r>
            <w:r>
              <w:rPr>
                <w:rFonts w:hint="eastAsia" w:ascii="仿宋_GB2312" w:hAnsi="Times New Roman" w:eastAsia="仿宋_GB2312" w:cs="Times New Roman"/>
                <w:lang w:bidi="en-US"/>
              </w:rPr>
              <w:t>。</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1.加强尾矿库监督监管。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2.完善危险源防控机制，提升矿井综合抗灾能力，实施安全闭合管理，确保隐患治理到位。</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控制煤炭消费总量，严把耗煤新项目准入关。</w:t>
            </w:r>
            <w:r>
              <w:rPr>
                <w:rFonts w:ascii="仿宋_GB2312" w:hAnsi="Times New Roman" w:eastAsia="仿宋_GB2312" w:cs="Times New Roman"/>
                <w:lang w:bidi="en-US"/>
              </w:rPr>
              <w:t xml:space="preserve"> </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w:t>
            </w:r>
            <w:r>
              <w:rPr>
                <w:rFonts w:ascii="Times New Roman" w:hAnsi="Times New Roman" w:eastAsia="仿宋_GB2312" w:cs="Times New Roman"/>
                <w:lang w:bidi="en-US"/>
              </w:rPr>
              <w:t>进一步提高选矿废水综合利用率，促进煤矸石、矿井水等资源综合利用。</w:t>
            </w:r>
            <w:r>
              <w:rPr>
                <w:rFonts w:hint="eastAsia" w:ascii="仿宋_GB2312" w:hAnsi="Times New Roman" w:eastAsia="仿宋_GB2312" w:cs="Times New Roman"/>
                <w:lang w:bidi="en-US"/>
              </w:rPr>
              <w:t>新建矿山和现有生产矿山的地质环境得到全面治理和复垦，“三废”达标排放率达到95%，废水综合利用率达到70%以上，固体废物综合利用率达到50%以上；对全区的历史遗留地质环境问题，进行逐一恢复治理。</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ZH65040230001</w:t>
            </w:r>
          </w:p>
        </w:tc>
        <w:tc>
          <w:tcPr>
            <w:tcW w:w="1975"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高昌区其他一般管控单元01</w:t>
            </w:r>
          </w:p>
        </w:tc>
        <w:tc>
          <w:tcPr>
            <w:tcW w:w="1579"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一般管控单元</w:t>
            </w:r>
          </w:p>
        </w:tc>
        <w:tc>
          <w:tcPr>
            <w:tcW w:w="1022"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1.原则上禁止建设涉及一类重金属、持久性有机污染物排放的工业项目。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限制进行大规模高强度工业化、城镇化开发，严格控制金属冶炼、石油化工、焦化等“高污染、高环境风险产品”工业项目，原则上不增加产能。现有“高污染、高环境风险产品”工业项目持续削减污染物排放总量并严格控制环境风险。</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推进新能源的开发和利用，鼓励发展风力发电和太阳能发电。</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.建立集镇居住商业区、耕地保护区与工业功能区等集聚区块之间的防护带。</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严格执行畜禽养殖禁养区规定，根据区域用地和消纳水平，合理确定养殖规模。加强基本农田保护，严格限制非农项目占用耕地。</w:t>
            </w:r>
          </w:p>
        </w:tc>
        <w:tc>
          <w:tcPr>
            <w:tcW w:w="5080"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lang w:bidi="en-US"/>
              </w:rPr>
              <w:t>单元特点：</w:t>
            </w:r>
            <w:r>
              <w:rPr>
                <w:rFonts w:hint="eastAsia" w:ascii="仿宋_GB2312" w:hAnsi="仿宋" w:eastAsia="仿宋_GB2312" w:cs="仿宋"/>
                <w:lang w:bidi="en-US"/>
              </w:rPr>
              <w:t>一般控制单元</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要素属性：</w:t>
            </w:r>
            <w:r>
              <w:rPr>
                <w:rFonts w:hint="eastAsia" w:ascii="仿宋_GB2312" w:hAnsi="仿宋_GB2312" w:eastAsia="仿宋_GB2312" w:cs="仿宋_GB2312"/>
              </w:rPr>
              <w:t>一般管控区</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相关要求：</w:t>
            </w:r>
            <w:r>
              <w:rPr>
                <w:rFonts w:hint="eastAsia" w:ascii="仿宋_GB2312" w:hAnsi="仿宋" w:eastAsia="仿宋_GB2312" w:cs="仿宋"/>
                <w:lang w:bidi="en-US"/>
              </w:rPr>
              <w:t>《新疆维吾尔自治区水污染防治工作方案》、《吐鲁番市大气环境质量限期达标规划》、《吐鲁番市打赢蓝天保卫战三年行动计划实施方案（</w:t>
            </w:r>
            <w:r>
              <w:rPr>
                <w:rFonts w:ascii="仿宋_GB2312" w:hAnsi="仿宋" w:eastAsia="仿宋_GB2312" w:cs="仿宋"/>
                <w:lang w:bidi="en-US"/>
              </w:rPr>
              <w:t>2018-2020）》、《吐鲁番市</w:t>
            </w:r>
            <w:r>
              <w:rPr>
                <w:rFonts w:hint="eastAsia" w:ascii="仿宋_GB2312" w:hAnsi="仿宋" w:eastAsia="仿宋_GB2312" w:cs="仿宋"/>
                <w:lang w:bidi="en-US"/>
              </w:rPr>
              <w:t>生态</w:t>
            </w:r>
            <w:r>
              <w:rPr>
                <w:rFonts w:ascii="仿宋_GB2312" w:hAnsi="仿宋" w:eastAsia="仿宋_GB2312" w:cs="仿宋"/>
                <w:lang w:bidi="en-US"/>
              </w:rPr>
              <w:t>环境保护“十</w:t>
            </w:r>
            <w:r>
              <w:rPr>
                <w:rFonts w:hint="eastAsia" w:ascii="仿宋_GB2312" w:hAnsi="仿宋" w:eastAsia="仿宋_GB2312" w:cs="仿宋"/>
                <w:lang w:bidi="en-US"/>
              </w:rPr>
              <w:t>四</w:t>
            </w:r>
            <w:r>
              <w:rPr>
                <w:rFonts w:ascii="仿宋_GB2312" w:hAnsi="仿宋" w:eastAsia="仿宋_GB2312" w:cs="仿宋"/>
                <w:lang w:bidi="en-US"/>
              </w:rPr>
              <w:t>五”规划》</w:t>
            </w:r>
            <w:r>
              <w:rPr>
                <w:rFonts w:hint="eastAsia" w:ascii="仿宋_GB2312" w:hAnsi="仿宋" w:eastAsia="仿宋_GB2312" w:cs="仿宋"/>
                <w:lang w:bidi="en-US"/>
              </w:rPr>
              <w:t>、《吐鲁番市水污染防治总体实施方案》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bCs/>
              </w:rPr>
              <w:t>1</w:t>
            </w:r>
            <w:r>
              <w:rPr>
                <w:rFonts w:ascii="Times New Roman" w:hAnsi="Times New Roman" w:eastAsia="仿宋_GB2312" w:cs="Times New Roman"/>
                <w:bCs/>
              </w:rPr>
              <w:t>.加强农业面源污染治理，严格控制化肥农药施加量，逐步削减农业面源污染物排放量</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.加强矿产资源开采的环境保护工作。</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ascii="Times New Roman" w:hAnsi="Times New Roman" w:eastAsia="仿宋_GB2312" w:cs="Times New Roman"/>
                <w:bCs/>
              </w:rPr>
              <w:t>禁止向农用地排放重金属或者其他有毒有害物质含量超标的污水、污泥，以及可能造成土壤污染的尾矿、矿渣等。加强农田土壤、灌溉水的监测及评价，对周边或区域环境风险源进行评估</w:t>
            </w:r>
            <w:r>
              <w:rPr>
                <w:rFonts w:hint="eastAsia" w:ascii="Times New Roman" w:hAnsi="Times New Roman" w:eastAsia="仿宋_GB2312" w:cs="Times New Roman"/>
                <w:bCs/>
              </w:rPr>
              <w:t>。</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资源利用效率</w:t>
            </w:r>
          </w:p>
        </w:tc>
        <w:tc>
          <w:tcPr>
            <w:tcW w:w="9225" w:type="dxa"/>
            <w:shd w:val="clear" w:color="auto" w:fill="auto"/>
            <w:vAlign w:val="center"/>
          </w:tcPr>
          <w:p>
            <w:pPr>
              <w:adjustRightInd w:val="0"/>
              <w:snapToGrid w:val="0"/>
              <w:rPr>
                <w:rFonts w:ascii="Times New Roman" w:hAnsi="Times New Roman" w:eastAsia="仿宋_GB2312" w:cs="Times New Roman"/>
                <w:bCs/>
              </w:rPr>
            </w:pPr>
            <w:r>
              <w:rPr>
                <w:rFonts w:ascii="Times New Roman" w:hAnsi="Times New Roman" w:eastAsia="仿宋_GB2312" w:cs="Times New Roman"/>
                <w:bCs/>
              </w:rPr>
              <w:t>实行水资源消耗总量和强度双控，推进农业节水，提高农业用水效率。优化能源结构，加强能源清洁利用</w:t>
            </w:r>
            <w:r>
              <w:rPr>
                <w:rFonts w:hint="eastAsia" w:ascii="Times New Roman" w:hAnsi="Times New Roman" w:eastAsia="仿宋_GB2312" w:cs="Times New Roman"/>
                <w:bCs/>
              </w:rPr>
              <w:t>。</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ZH65040230002</w:t>
            </w:r>
          </w:p>
        </w:tc>
        <w:tc>
          <w:tcPr>
            <w:tcW w:w="1975"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高昌区大气环境弱扩散区一般管控单元</w:t>
            </w:r>
          </w:p>
        </w:tc>
        <w:tc>
          <w:tcPr>
            <w:tcW w:w="1579"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一般管控单元</w:t>
            </w:r>
          </w:p>
        </w:tc>
        <w:tc>
          <w:tcPr>
            <w:tcW w:w="1022"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lang w:bidi="en-US"/>
              </w:rPr>
              <w:t>空间布局约束</w:t>
            </w:r>
          </w:p>
        </w:tc>
        <w:tc>
          <w:tcPr>
            <w:tcW w:w="9225"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1.禁止新增</w:t>
            </w:r>
            <w:r>
              <w:rPr>
                <w:rFonts w:hint="eastAsia" w:ascii="仿宋_GB2312" w:hAnsi="Times New Roman" w:eastAsia="仿宋_GB2312" w:cs="Times New Roman"/>
                <w:lang w:bidi="en-US"/>
              </w:rPr>
              <w:t>传统</w:t>
            </w:r>
            <w:r>
              <w:rPr>
                <w:rFonts w:ascii="仿宋_GB2312" w:hAnsi="Times New Roman" w:eastAsia="仿宋_GB2312" w:cs="Times New Roman"/>
                <w:lang w:bidi="en-US"/>
              </w:rPr>
              <w:t>燃煤的工业项目；禁止准入</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原油加工、天然气加工、油母页岩提炼原油、煤制原油及其他石油制品、煤化工、炼焦、煤炭热解、电石、除单纯混合和分装外的化学原料制造、化学品制造、炼钢、炼铁、金属冶炼等三类工业项目</w:t>
            </w:r>
            <w:r>
              <w:rPr>
                <w:rFonts w:ascii="仿宋_GB2312" w:hAnsi="Times New Roman" w:eastAsia="仿宋_GB2312" w:cs="Times New Roman"/>
                <w:lang w:bidi="en-US"/>
              </w:rPr>
              <w:t>；禁止准入包装印刷、工业涂装等高VOCs排放建设项目</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不得建设大规模涉及有毒有害气体的生产、使用、储运等的项目。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限制进行大规模高强度工业化开发，限制</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lang w:bidi="en-US"/>
              </w:rPr>
              <w:t>涉气二类工业项目，</w:t>
            </w:r>
            <w:r>
              <w:rPr>
                <w:rFonts w:ascii="仿宋_GB2312" w:hAnsi="Times New Roman" w:eastAsia="仿宋_GB2312" w:cs="Times New Roman"/>
                <w:lang w:bidi="en-US"/>
              </w:rPr>
              <w:t>新建</w:t>
            </w:r>
            <w:r>
              <w:rPr>
                <w:rFonts w:hint="eastAsia" w:ascii="仿宋_GB2312" w:hAnsi="Times New Roman" w:eastAsia="仿宋_GB2312" w:cs="Times New Roman"/>
                <w:lang w:bidi="en-US"/>
              </w:rPr>
              <w:t>、扩建</w:t>
            </w:r>
            <w:r>
              <w:rPr>
                <w:rFonts w:ascii="仿宋_GB2312" w:hAnsi="Times New Roman" w:eastAsia="仿宋_GB2312" w:cs="Times New Roman"/>
                <w:lang w:bidi="en-US"/>
              </w:rPr>
              <w:t>二类工业项目污染物排放水平要达到同行业国内先进水平</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4.现有</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ascii="仿宋_GB2312" w:hAnsi="Times New Roman" w:eastAsia="仿宋_GB2312" w:cs="Times New Roman"/>
                <w:lang w:bidi="en-US"/>
              </w:rPr>
              <w:t>三类工业项目应限期退出或关停</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推进新能源的开发和利用，鼓励发展风力发电和太阳能发电。</w:t>
            </w:r>
          </w:p>
        </w:tc>
        <w:tc>
          <w:tcPr>
            <w:tcW w:w="5080"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lang w:bidi="en-US"/>
              </w:rPr>
              <w:t>单元特点：</w:t>
            </w:r>
            <w:r>
              <w:rPr>
                <w:rFonts w:hint="eastAsia" w:ascii="仿宋_GB2312" w:hAnsi="仿宋" w:eastAsia="仿宋_GB2312" w:cs="仿宋"/>
                <w:lang w:bidi="en-US"/>
              </w:rPr>
              <w:t>弱扩散区</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要素属性：大气</w:t>
            </w:r>
            <w:r>
              <w:rPr>
                <w:rFonts w:hint="eastAsia" w:ascii="仿宋_GB2312" w:hAnsi="仿宋" w:eastAsia="仿宋_GB2312" w:cs="仿宋"/>
                <w:lang w:bidi="en-US"/>
              </w:rPr>
              <w:t>弱扩散区</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相关要求：</w:t>
            </w:r>
            <w:r>
              <w:rPr>
                <w:rFonts w:hint="eastAsia" w:ascii="仿宋_GB2312" w:hAnsi="仿宋" w:eastAsia="仿宋_GB2312" w:cs="仿宋"/>
                <w:lang w:bidi="en-US"/>
              </w:rPr>
              <w:t>《吐鲁番市大气环境质量限期达标规划》、《吐鲁番市打赢蓝天保卫战三年行动计划实施方案（</w:t>
            </w:r>
            <w:r>
              <w:rPr>
                <w:rFonts w:ascii="仿宋_GB2312" w:hAnsi="仿宋" w:eastAsia="仿宋_GB2312" w:cs="仿宋"/>
                <w:lang w:bidi="en-US"/>
              </w:rPr>
              <w:t>2018-2020）》、《吐鲁番市</w:t>
            </w:r>
            <w:r>
              <w:rPr>
                <w:rFonts w:hint="eastAsia" w:ascii="仿宋_GB2312" w:hAnsi="仿宋" w:eastAsia="仿宋_GB2312" w:cs="仿宋"/>
                <w:lang w:bidi="en-US"/>
              </w:rPr>
              <w:t>生态</w:t>
            </w:r>
            <w:r>
              <w:rPr>
                <w:rFonts w:ascii="仿宋_GB2312" w:hAnsi="仿宋" w:eastAsia="仿宋_GB2312" w:cs="仿宋"/>
                <w:lang w:bidi="en-US"/>
              </w:rPr>
              <w:t>环境保护“十</w:t>
            </w:r>
            <w:r>
              <w:rPr>
                <w:rFonts w:hint="eastAsia" w:ascii="仿宋_GB2312" w:hAnsi="仿宋" w:eastAsia="仿宋_GB2312" w:cs="仿宋"/>
                <w:lang w:bidi="en-US"/>
              </w:rPr>
              <w:t>四</w:t>
            </w:r>
            <w:r>
              <w:rPr>
                <w:rFonts w:ascii="仿宋_GB2312" w:hAnsi="仿宋" w:eastAsia="仿宋_GB2312" w:cs="仿宋"/>
                <w:lang w:bidi="en-US"/>
              </w:rPr>
              <w:t>五”规划》</w:t>
            </w:r>
            <w:r>
              <w:rPr>
                <w:rFonts w:hint="eastAsia" w:ascii="仿宋_GB2312" w:hAnsi="仿宋" w:eastAsia="仿宋_GB2312" w:cs="仿宋"/>
                <w:lang w:bidi="en-US"/>
              </w:rPr>
              <w:t>、《吐鲁番市水污染防治总体实施方案》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9225"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w:t>
            </w:r>
            <w:r>
              <w:rPr>
                <w:rFonts w:hint="eastAsia" w:ascii="仿宋_GB2312" w:hAnsi="Times New Roman" w:eastAsia="仿宋_GB2312" w:cs="Times New Roman"/>
                <w:lang w:bidi="en-US"/>
              </w:rPr>
              <w:t>对</w:t>
            </w:r>
            <w:r>
              <w:rPr>
                <w:rFonts w:ascii="仿宋_GB2312" w:hAnsi="Times New Roman" w:eastAsia="仿宋_GB2312" w:cs="Times New Roman"/>
                <w:lang w:bidi="en-US"/>
              </w:rPr>
              <w:t>SO</w:t>
            </w:r>
            <w:r>
              <w:rPr>
                <w:rFonts w:ascii="仿宋_GB2312" w:hAnsi="Times New Roman" w:eastAsia="仿宋_GB2312" w:cs="Times New Roman"/>
                <w:vertAlign w:val="subscript"/>
                <w:lang w:bidi="en-US"/>
              </w:rPr>
              <w:t>2</w:t>
            </w:r>
            <w:r>
              <w:rPr>
                <w:rFonts w:hint="eastAsia" w:ascii="仿宋_GB2312" w:hAnsi="Times New Roman" w:eastAsia="仿宋_GB2312" w:cs="Times New Roman"/>
                <w:lang w:bidi="en-US"/>
              </w:rPr>
              <w:t>、</w:t>
            </w:r>
            <w:r>
              <w:rPr>
                <w:rFonts w:ascii="仿宋_GB2312" w:hAnsi="Times New Roman" w:eastAsia="仿宋_GB2312" w:cs="Times New Roman"/>
                <w:lang w:bidi="en-US"/>
              </w:rPr>
              <w:t>NO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s进行总量控制，新增工业项目所需的总量需在单元内平衡。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2.新、改、扩建涉VOCs排放项目，应从源头加强控制，使用低（无）VOCs含量的原辅材料，加强废气收集，安装高效治理设施，废气收集率和处理率均达到国内先进水平。</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加快推进集中供热、煤改气、煤改电工程。</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因地制宜制定实施清洁取暖方案，实行散煤清洁化改造整村推进。通过以电代煤、气代煤以及风能、太阳能、地热能等清洁能源替代。</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9225"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1.强化企业环境风险防范设施设备建设和正常运行监管，建立常态化的企业隐患排查整治监管机制，涉危的风险企业应及时编制环境风险应急预案并定期更新，每年至少开展一次应急演练。</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.加强风险防控体系建设，防范环境风险。</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建立重污染天气预警体系，建立应对的应急预案。</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9225"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加强煤炭安全绿色开发和清洁高效利用，推广使用优质煤、洁净型煤。</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restart"/>
            <w:shd w:val="clear" w:color="auto" w:fill="auto"/>
            <w:vAlign w:val="center"/>
          </w:tcPr>
          <w:p>
            <w:pPr>
              <w:adjustRightInd w:val="0"/>
              <w:snapToGrid w:val="0"/>
              <w:spacing w:line="360" w:lineRule="auto"/>
              <w:rPr>
                <w:rFonts w:ascii="仿宋_GB2312" w:hAnsi="Times New Roman" w:eastAsia="仿宋_GB2312" w:cs="Times New Roman"/>
                <w:lang w:bidi="en-US"/>
              </w:rPr>
            </w:pPr>
            <w:r>
              <w:rPr>
                <w:rFonts w:hint="eastAsia" w:ascii="仿宋_GB2312" w:hAnsi="Times New Roman" w:eastAsia="仿宋_GB2312" w:cs="Times New Roman"/>
                <w:lang w:bidi="en-US"/>
              </w:rPr>
              <w:t>ZH65040230003</w:t>
            </w:r>
          </w:p>
        </w:tc>
        <w:tc>
          <w:tcPr>
            <w:tcW w:w="1975"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高昌区大气环境布局敏感区一般管控单元</w:t>
            </w:r>
          </w:p>
        </w:tc>
        <w:tc>
          <w:tcPr>
            <w:tcW w:w="1579"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一般管控单元</w:t>
            </w:r>
          </w:p>
        </w:tc>
        <w:tc>
          <w:tcPr>
            <w:tcW w:w="1022"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lang w:bidi="en-US"/>
              </w:rPr>
              <w:t>空间布局约束</w:t>
            </w:r>
          </w:p>
        </w:tc>
        <w:tc>
          <w:tcPr>
            <w:tcW w:w="9225" w:type="dxa"/>
            <w:shd w:val="clear" w:color="auto" w:fill="auto"/>
          </w:tcPr>
          <w:p>
            <w:pPr>
              <w:pStyle w:val="45"/>
              <w:adjustRightInd w:val="0"/>
              <w:snapToGrid w:val="0"/>
              <w:ind w:firstLine="0" w:firstLineChars="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仿宋_GB2312" w:hAnsi="Times New Roman" w:eastAsia="仿宋_GB2312" w:cs="Times New Roman"/>
                <w:lang w:bidi="en-US"/>
              </w:rPr>
              <w:t>.</w:t>
            </w:r>
            <w:r>
              <w:rPr>
                <w:rFonts w:hint="eastAsia" w:ascii="仿宋_GB2312" w:hAnsi="Times New Roman" w:eastAsia="仿宋_GB2312" w:cs="Times New Roman"/>
                <w:lang w:bidi="en-US"/>
              </w:rPr>
              <w:t>禁止布置工业园区或工业集聚区。</w:t>
            </w:r>
          </w:p>
          <w:p>
            <w:pPr>
              <w:pStyle w:val="45"/>
              <w:adjustRightInd w:val="0"/>
              <w:snapToGrid w:val="0"/>
              <w:ind w:firstLine="0" w:firstLineChars="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.禁止新增</w:t>
            </w:r>
            <w:r>
              <w:rPr>
                <w:rFonts w:hint="eastAsia" w:ascii="仿宋_GB2312" w:hAnsi="Times New Roman" w:eastAsia="仿宋_GB2312" w:cs="Times New Roman"/>
                <w:lang w:bidi="en-US"/>
              </w:rPr>
              <w:t>传统</w:t>
            </w:r>
            <w:r>
              <w:rPr>
                <w:rFonts w:ascii="仿宋_GB2312" w:hAnsi="Times New Roman" w:eastAsia="仿宋_GB2312" w:cs="Times New Roman"/>
                <w:lang w:bidi="en-US"/>
              </w:rPr>
              <w:t>燃煤的工业项目；禁止准入</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ascii="仿宋_GB2312" w:hAnsi="Times New Roman" w:eastAsia="仿宋_GB2312" w:cs="Times New Roman"/>
                <w:lang w:bidi="en-US"/>
              </w:rPr>
              <w:t>三类工业项目；禁止准入包装印刷、工业涂装等高VOCs排放建设项目</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不得建设大规模涉及有毒有害气体的生产、使用、储运等的项目。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限制</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lang w:bidi="en-US"/>
              </w:rPr>
              <w:t>涉气二类工业项目，</w:t>
            </w:r>
            <w:r>
              <w:rPr>
                <w:rFonts w:ascii="仿宋_GB2312" w:hAnsi="Times New Roman" w:eastAsia="仿宋_GB2312" w:cs="Times New Roman"/>
                <w:lang w:bidi="en-US"/>
              </w:rPr>
              <w:t>新建</w:t>
            </w:r>
            <w:r>
              <w:rPr>
                <w:rFonts w:hint="eastAsia" w:ascii="仿宋_GB2312" w:hAnsi="Times New Roman" w:eastAsia="仿宋_GB2312" w:cs="Times New Roman"/>
                <w:lang w:bidi="en-US"/>
              </w:rPr>
              <w:t>、扩建</w:t>
            </w:r>
            <w:r>
              <w:rPr>
                <w:rFonts w:ascii="仿宋_GB2312" w:hAnsi="Times New Roman" w:eastAsia="仿宋_GB2312" w:cs="Times New Roman"/>
                <w:lang w:bidi="en-US"/>
              </w:rPr>
              <w:t>二类工业项目污染物排放水平要达到同行业国内先进水平</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5.现有</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ascii="仿宋_GB2312" w:hAnsi="Times New Roman" w:eastAsia="仿宋_GB2312" w:cs="Times New Roman"/>
                <w:lang w:bidi="en-US"/>
              </w:rPr>
              <w:t>三类工业项目应限期退出或关停</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推进新能源的开发和利用，鼓励发展风力发电和太阳能发电。</w:t>
            </w:r>
          </w:p>
        </w:tc>
        <w:tc>
          <w:tcPr>
            <w:tcW w:w="5080"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lang w:bidi="en-US"/>
              </w:rPr>
              <w:t>单元特点：</w:t>
            </w:r>
            <w:r>
              <w:rPr>
                <w:rFonts w:hint="eastAsia" w:ascii="仿宋_GB2312" w:hAnsi="仿宋" w:eastAsia="仿宋_GB2312" w:cs="仿宋"/>
                <w:bCs/>
                <w:lang w:bidi="en-US"/>
              </w:rPr>
              <w:t>布局敏感区</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要素属性：</w:t>
            </w:r>
            <w:r>
              <w:rPr>
                <w:rFonts w:hint="eastAsia" w:ascii="仿宋_GB2312" w:hAnsi="仿宋" w:eastAsia="仿宋_GB2312" w:cs="仿宋"/>
                <w:bCs/>
                <w:lang w:bidi="en-US"/>
              </w:rPr>
              <w:t>大气</w:t>
            </w:r>
            <w:r>
              <w:rPr>
                <w:rFonts w:hint="eastAsia" w:ascii="仿宋_GB2312" w:hAnsi="仿宋" w:eastAsia="仿宋_GB2312" w:cs="仿宋"/>
                <w:lang w:bidi="en-US"/>
              </w:rPr>
              <w:t>布局敏感区</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相关要求：</w:t>
            </w:r>
            <w:r>
              <w:rPr>
                <w:rFonts w:ascii="Times New Roman" w:hAnsi="Times New Roman" w:eastAsia="仿宋_GB2312" w:cs="Times New Roman"/>
                <w:lang w:bidi="en-US"/>
              </w:rPr>
              <w:t>《吐鲁番市大气环境质量限期达标规划》、《吐鲁番市打赢蓝天保卫战三年行动计划实施方案》、《吐鲁番市</w:t>
            </w:r>
            <w:r>
              <w:rPr>
                <w:rFonts w:hint="eastAsia" w:ascii="Times New Roman" w:hAnsi="Times New Roman" w:eastAsia="仿宋_GB2312" w:cs="Times New Roman"/>
                <w:lang w:bidi="en-US"/>
              </w:rPr>
              <w:t>生态</w:t>
            </w:r>
            <w:r>
              <w:rPr>
                <w:rFonts w:ascii="Times New Roman" w:hAnsi="Times New Roman" w:eastAsia="仿宋_GB2312" w:cs="Times New Roman"/>
                <w:lang w:bidi="en-US"/>
              </w:rPr>
              <w:t>环境保护“十</w:t>
            </w:r>
            <w:r>
              <w:rPr>
                <w:rFonts w:hint="eastAsia" w:ascii="Times New Roman" w:hAnsi="Times New Roman" w:eastAsia="仿宋_GB2312" w:cs="Times New Roman"/>
                <w:lang w:bidi="en-US"/>
              </w:rPr>
              <w:t>四</w:t>
            </w:r>
            <w:r>
              <w:rPr>
                <w:rFonts w:ascii="Times New Roman" w:hAnsi="Times New Roman" w:eastAsia="仿宋_GB2312" w:cs="Times New Roman"/>
                <w:lang w:bidi="en-US"/>
              </w:rPr>
              <w:t>五”规划》</w:t>
            </w:r>
            <w:r>
              <w:rPr>
                <w:rFonts w:hint="eastAsia" w:ascii="仿宋_GB2312" w:hAnsi="Calibri" w:eastAsia="仿宋_GB2312" w:cs="Times New Roman"/>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9225"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w:t>
            </w:r>
            <w:r>
              <w:rPr>
                <w:rFonts w:hint="eastAsia" w:ascii="仿宋_GB2312" w:hAnsi="Times New Roman" w:eastAsia="仿宋_GB2312" w:cs="Times New Roman"/>
                <w:lang w:bidi="en-US"/>
              </w:rPr>
              <w:t>对</w:t>
            </w:r>
            <w:r>
              <w:rPr>
                <w:rFonts w:ascii="仿宋_GB2312" w:hAnsi="Times New Roman" w:eastAsia="仿宋_GB2312" w:cs="Times New Roman"/>
                <w:lang w:bidi="en-US"/>
              </w:rPr>
              <w:t>SO</w:t>
            </w:r>
            <w:r>
              <w:rPr>
                <w:rFonts w:ascii="仿宋_GB2312" w:hAnsi="Times New Roman" w:eastAsia="仿宋_GB2312" w:cs="Times New Roman"/>
                <w:vertAlign w:val="subscript"/>
                <w:lang w:bidi="en-US"/>
              </w:rPr>
              <w:t>2</w:t>
            </w:r>
            <w:r>
              <w:rPr>
                <w:rFonts w:hint="eastAsia" w:ascii="仿宋_GB2312" w:hAnsi="Times New Roman" w:eastAsia="仿宋_GB2312" w:cs="Times New Roman"/>
                <w:lang w:bidi="en-US"/>
              </w:rPr>
              <w:t>、</w:t>
            </w:r>
            <w:r>
              <w:rPr>
                <w:rFonts w:ascii="仿宋_GB2312" w:hAnsi="Times New Roman" w:eastAsia="仿宋_GB2312" w:cs="Times New Roman"/>
                <w:lang w:bidi="en-US"/>
              </w:rPr>
              <w:t>NO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s进行总量控制，新增工业项目所需的总量需在单元内平衡。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ascii="仿宋_GB2312" w:hAnsi="仿宋" w:eastAsia="仿宋_GB2312" w:cs="仿宋"/>
                <w:bCs/>
                <w:lang w:bidi="en-US"/>
              </w:rPr>
              <w:t xml:space="preserve"> 新</w:t>
            </w:r>
            <w:r>
              <w:rPr>
                <w:rFonts w:hint="eastAsia" w:ascii="仿宋_GB2312" w:hAnsi="仿宋" w:eastAsia="仿宋_GB2312" w:cs="仿宋"/>
                <w:bCs/>
                <w:lang w:bidi="en-US"/>
              </w:rPr>
              <w:t>建、扩建、改</w:t>
            </w:r>
            <w:r>
              <w:rPr>
                <w:rFonts w:ascii="仿宋_GB2312" w:hAnsi="仿宋" w:eastAsia="仿宋_GB2312" w:cs="仿宋"/>
                <w:bCs/>
                <w:lang w:bidi="en-US"/>
              </w:rPr>
              <w:t>建</w:t>
            </w:r>
            <w:r>
              <w:rPr>
                <w:rFonts w:ascii="仿宋_GB2312" w:hAnsi="Times New Roman" w:eastAsia="仿宋_GB2312" w:cs="Times New Roman"/>
                <w:lang w:bidi="en-US"/>
              </w:rPr>
              <w:t>涉VOCs排放项目，应从源头加强控制，使用低（无）VOCs含量的原辅材料，加强废气收集，安装高效治理设施，废气收集率和处理率均达到国内先进水平。</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加快推进集中供热、煤改气、煤改电工程。</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因地制宜制定实施清洁取暖方案，实行散煤清洁化改造整村推进。通过以电代煤、气代煤以及风能、太阳能、地热能等清洁能源替代。</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9225"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1.强化企业环境风险防范设施设备建设和正常运行监管，建立常态化的企业隐患排查整治监管机制，涉危的风险企业应及时编制环境风险应急预案并定期更新，每年至少开展一次应急演练。</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.加强风险防控体系建设，防范环境风险。</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9225"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restart"/>
            <w:shd w:val="clear" w:color="auto" w:fill="auto"/>
            <w:vAlign w:val="center"/>
          </w:tcPr>
          <w:p>
            <w:pPr>
              <w:adjustRightInd w:val="0"/>
              <w:snapToGrid w:val="0"/>
              <w:spacing w:line="360" w:lineRule="auto"/>
              <w:rPr>
                <w:rFonts w:ascii="仿宋_GB2312" w:hAnsi="Times New Roman" w:eastAsia="仿宋_GB2312" w:cs="Times New Roman"/>
                <w:lang w:bidi="en-US"/>
              </w:rPr>
            </w:pPr>
            <w:r>
              <w:rPr>
                <w:rFonts w:hint="eastAsia" w:ascii="仿宋_GB2312" w:hAnsi="Times New Roman" w:eastAsia="仿宋_GB2312" w:cs="Times New Roman"/>
                <w:lang w:bidi="en-US"/>
              </w:rPr>
              <w:t>ZH65040230004</w:t>
            </w:r>
          </w:p>
        </w:tc>
        <w:tc>
          <w:tcPr>
            <w:tcW w:w="1975" w:type="dxa"/>
            <w:vMerge w:val="restart"/>
            <w:shd w:val="clear" w:color="auto" w:fill="auto"/>
            <w:vAlign w:val="center"/>
          </w:tcPr>
          <w:p>
            <w:pPr>
              <w:adjustRightInd w:val="0"/>
              <w:snapToGrid w:val="0"/>
              <w:spacing w:line="360" w:lineRule="auto"/>
              <w:rPr>
                <w:rFonts w:ascii="仿宋_GB2312" w:hAnsi="Times New Roman" w:eastAsia="仿宋_GB2312" w:cs="Times New Roman"/>
                <w:lang w:bidi="en-US"/>
              </w:rPr>
            </w:pPr>
            <w:r>
              <w:rPr>
                <w:rFonts w:hint="eastAsia" w:ascii="仿宋_GB2312" w:hAnsi="Times New Roman" w:eastAsia="仿宋_GB2312" w:cs="Times New Roman"/>
                <w:lang w:bidi="en-US"/>
              </w:rPr>
              <w:t>高昌区其他一般管控单元02</w:t>
            </w:r>
          </w:p>
        </w:tc>
        <w:tc>
          <w:tcPr>
            <w:tcW w:w="1579"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一般管控单元</w:t>
            </w:r>
          </w:p>
        </w:tc>
        <w:tc>
          <w:tcPr>
            <w:tcW w:w="1022"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lang w:bidi="en-US"/>
              </w:rPr>
              <w:t>空间布局约束</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1.原则上禁止建设涉及一类重金属、持久性有机污染物排放的工业项目。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限制进行大规模高强度工业化、城镇化开发，严格控制金属冶炼、石油化工、焦化等“高污染、高环境风险产品”工业项目，原则上不增加产能。现有“高污染、高环境风险产品”工业项目持续削减污染物排放总量并严格控制环境风险。</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推进新能源的开发和利用，鼓励发展风力发电和太阳能发电。</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.建立集镇居住商业区、耕地保护区与工业功能区等集聚区块之间的防护带。</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严格执行畜禽养殖禁养区规定，根据区域用地和消纳水平，合理确定养殖规模。加强基本农田保护，严格限制非农项目占用耕地。</w:t>
            </w:r>
          </w:p>
        </w:tc>
        <w:tc>
          <w:tcPr>
            <w:tcW w:w="5080"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lang w:bidi="en-US"/>
              </w:rPr>
              <w:t>单元特点：</w:t>
            </w:r>
            <w:r>
              <w:rPr>
                <w:rFonts w:hint="eastAsia" w:ascii="仿宋_GB2312" w:hAnsi="仿宋" w:eastAsia="仿宋_GB2312" w:cs="仿宋"/>
                <w:lang w:bidi="en-US"/>
              </w:rPr>
              <w:t>涉及</w:t>
            </w:r>
            <w:r>
              <w:rPr>
                <w:rFonts w:hint="eastAsia" w:ascii="仿宋_GB2312" w:hAnsi="仿宋" w:eastAsia="仿宋_GB2312" w:cs="仿宋"/>
                <w:bCs/>
                <w:lang w:bidi="en-US"/>
              </w:rPr>
              <w:t>矿产资源开发利用、涉及基本农田</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要素属性：</w:t>
            </w:r>
            <w:r>
              <w:rPr>
                <w:rFonts w:hint="eastAsia" w:ascii="仿宋_GB2312" w:hAnsi="仿宋" w:eastAsia="仿宋_GB2312" w:cs="仿宋"/>
                <w:lang w:bidi="en-US"/>
              </w:rPr>
              <w:t>一般管控区</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相关要求：</w:t>
            </w:r>
            <w:r>
              <w:rPr>
                <w:rFonts w:hint="eastAsia" w:ascii="仿宋_GB2312" w:hAnsi="仿宋_GB2312" w:eastAsia="仿宋_GB2312" w:cs="仿宋_GB2312"/>
              </w:rPr>
              <w:t>《基本农田保护条例》、《农用地土壤环境管理办法》、《</w:t>
            </w:r>
            <w:r>
              <w:rPr>
                <w:rFonts w:hint="eastAsia" w:ascii="仿宋_GB2312" w:hAnsi="仿宋" w:eastAsia="仿宋_GB2312" w:cs="仿宋"/>
                <w:lang w:bidi="en-US"/>
              </w:rPr>
              <w:t>新疆维吾尔自治区水污染防治工作方案》、《吐鲁番市生态环境保护“十四五”规划》、《吐鲁番市大气环境质量限期达标规划》、《吐鲁番市打赢蓝天保卫战三年行动计划实施方案（</w:t>
            </w:r>
            <w:r>
              <w:rPr>
                <w:rFonts w:ascii="仿宋_GB2312" w:hAnsi="仿宋" w:eastAsia="仿宋_GB2312" w:cs="仿宋"/>
                <w:lang w:bidi="en-US"/>
              </w:rPr>
              <w:t>2018-2020）》</w:t>
            </w:r>
            <w:r>
              <w:rPr>
                <w:rFonts w:hint="eastAsia" w:ascii="仿宋_GB2312" w:hAnsi="仿宋" w:eastAsia="仿宋_GB2312" w:cs="仿宋"/>
                <w:lang w:bidi="en-US"/>
              </w:rPr>
              <w:t>、《吐鲁番市水污染防治总体实施方案》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bCs/>
              </w:rPr>
              <w:t>1</w:t>
            </w:r>
            <w:r>
              <w:rPr>
                <w:rFonts w:ascii="Times New Roman" w:hAnsi="Times New Roman" w:eastAsia="仿宋_GB2312" w:cs="Times New Roman"/>
                <w:bCs/>
              </w:rPr>
              <w:t>.加强农业面源污染治理，严格控制化肥农药施加量，逐步削减农业面源污染物排放量</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.加强矿产资源开采的环境保护工作。</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ascii="Times New Roman" w:hAnsi="Times New Roman" w:eastAsia="仿宋_GB2312" w:cs="Times New Roman"/>
                <w:bCs/>
              </w:rPr>
              <w:t>禁止向农用地排放重金属或者其他有毒有害物质含量超标的污水、污泥，以及可能造成土壤污染的尾矿、矿渣等。加强农田土壤、灌溉水的监测及评价，对周边或区域环境风险源进行评估</w:t>
            </w:r>
            <w:r>
              <w:rPr>
                <w:rFonts w:hint="eastAsia" w:ascii="Times New Roman" w:hAnsi="Times New Roman" w:eastAsia="仿宋_GB2312" w:cs="Times New Roman"/>
                <w:bCs/>
              </w:rPr>
              <w:t>。</w:t>
            </w:r>
          </w:p>
        </w:tc>
        <w:tc>
          <w:tcPr>
            <w:tcW w:w="5080"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75"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579"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022"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9225" w:type="dxa"/>
            <w:shd w:val="clear" w:color="auto" w:fill="auto"/>
            <w:vAlign w:val="center"/>
          </w:tcPr>
          <w:p>
            <w:pPr>
              <w:adjustRightInd w:val="0"/>
              <w:snapToGrid w:val="0"/>
              <w:rPr>
                <w:rFonts w:ascii="仿宋_GB2312" w:hAnsi="Times New Roman" w:eastAsia="仿宋_GB2312" w:cs="Times New Roman"/>
                <w:lang w:bidi="en-US"/>
              </w:rPr>
            </w:pPr>
            <w:r>
              <w:rPr>
                <w:rFonts w:ascii="Times New Roman" w:hAnsi="Times New Roman" w:eastAsia="仿宋_GB2312" w:cs="Times New Roman"/>
                <w:bCs/>
              </w:rPr>
              <w:t>实行水资源消耗总量和强度双控，推进农业节水，提高农业用水效率。优化能源结构，加强能源清洁利用</w:t>
            </w:r>
            <w:r>
              <w:rPr>
                <w:rFonts w:hint="eastAsia" w:ascii="Times New Roman" w:hAnsi="Times New Roman" w:eastAsia="仿宋_GB2312" w:cs="Times New Roman"/>
                <w:bCs/>
              </w:rPr>
              <w:t>。</w:t>
            </w:r>
          </w:p>
        </w:tc>
        <w:tc>
          <w:tcPr>
            <w:tcW w:w="5080" w:type="dxa"/>
            <w:vMerge w:val="continue"/>
            <w:vAlign w:val="center"/>
          </w:tcPr>
          <w:p>
            <w:pPr>
              <w:adjustRightInd w:val="0"/>
              <w:snapToGrid w:val="0"/>
              <w:rPr>
                <w:rFonts w:ascii="仿宋_GB2312" w:hAnsi="仿宋" w:eastAsia="仿宋_GB2312" w:cs="仿宋"/>
                <w:lang w:bidi="en-US"/>
              </w:rPr>
            </w:pPr>
          </w:p>
        </w:tc>
      </w:tr>
    </w:tbl>
    <w:p>
      <w:pPr>
        <w:adjustRightInd w:val="0"/>
        <w:snapToGrid w:val="0"/>
        <w:spacing w:line="360" w:lineRule="auto"/>
        <w:ind w:firstLine="560" w:firstLineChars="200"/>
        <w:rPr>
          <w:rFonts w:ascii="仿宋_GB2312" w:hAnsi="Calibri" w:eastAsia="仿宋_GB2312" w:cs="Times New Roman"/>
          <w:sz w:val="28"/>
          <w:szCs w:val="20"/>
        </w:rPr>
      </w:pPr>
    </w:p>
    <w:p>
      <w:pPr>
        <w:outlineLvl w:val="1"/>
        <w:rPr>
          <w:rFonts w:ascii="仿宋_GB2312" w:hAnsi="Times New Roman" w:eastAsia="仿宋_GB2312" w:cs="Times New Roman"/>
          <w:b/>
          <w:bCs/>
          <w:sz w:val="32"/>
          <w:szCs w:val="32"/>
        </w:rPr>
      </w:pPr>
      <w:r>
        <w:rPr>
          <w:rFonts w:hint="eastAsia" w:ascii="仿宋_GB2312" w:hAnsi="Calibri" w:eastAsia="仿宋_GB2312" w:cs="Times New Roman"/>
          <w:sz w:val="28"/>
          <w:szCs w:val="20"/>
        </w:rPr>
        <w:br w:type="page"/>
      </w:r>
      <w:bookmarkStart w:id="13" w:name="_Toc73999321"/>
      <w:bookmarkStart w:id="14" w:name="_Toc46146973"/>
      <w:bookmarkStart w:id="15" w:name="_Toc46147066"/>
      <w:r>
        <w:rPr>
          <w:rFonts w:ascii="仿宋_GB2312" w:hAnsi="Times New Roman" w:eastAsia="仿宋_GB2312" w:cs="Times New Roman"/>
          <w:b/>
          <w:bCs/>
          <w:sz w:val="32"/>
          <w:szCs w:val="32"/>
        </w:rPr>
        <w:t>2</w:t>
      </w:r>
      <w:r>
        <w:rPr>
          <w:rFonts w:hint="eastAsia" w:ascii="仿宋_GB2312" w:hAnsi="Times New Roman" w:eastAsia="仿宋_GB2312" w:cs="Times New Roman"/>
          <w:b/>
          <w:bCs/>
          <w:sz w:val="32"/>
          <w:szCs w:val="32"/>
        </w:rPr>
        <w:t>.2鄯善县生态环境准入清单</w:t>
      </w:r>
      <w:bookmarkEnd w:id="13"/>
      <w:bookmarkEnd w:id="14"/>
      <w:bookmarkEnd w:id="15"/>
    </w:p>
    <w:p>
      <w:pPr>
        <w:adjustRightInd w:val="0"/>
        <w:snapToGrid w:val="0"/>
        <w:ind w:firstLine="560"/>
        <w:jc w:val="center"/>
        <w:rPr>
          <w:rFonts w:ascii="Times New Roman" w:hAnsi="Times New Roman" w:eastAsia="仿宋_GB2312" w:cs="Times New Roman"/>
          <w:b/>
          <w:iCs/>
          <w:sz w:val="28"/>
          <w:szCs w:val="21"/>
        </w:rPr>
      </w:pPr>
      <w:r>
        <w:rPr>
          <w:rFonts w:ascii="Times New Roman" w:hAnsi="Times New Roman" w:eastAsia="仿宋_GB2312" w:cs="Times New Roman"/>
          <w:b/>
          <w:iCs/>
          <w:sz w:val="28"/>
          <w:szCs w:val="21"/>
        </w:rPr>
        <w:t>表2</w:t>
      </w:r>
      <w:r>
        <w:rPr>
          <w:rFonts w:hint="eastAsia" w:ascii="Times New Roman" w:hAnsi="Times New Roman" w:eastAsia="仿宋_GB2312" w:cs="Times New Roman"/>
          <w:b/>
          <w:iCs/>
          <w:sz w:val="28"/>
          <w:szCs w:val="21"/>
        </w:rPr>
        <w:t>.2</w:t>
      </w:r>
      <w:r>
        <w:rPr>
          <w:rFonts w:ascii="Times New Roman" w:hAnsi="Times New Roman" w:eastAsia="仿宋_GB2312" w:cs="Times New Roman"/>
          <w:b/>
          <w:iCs/>
          <w:sz w:val="28"/>
          <w:szCs w:val="21"/>
        </w:rPr>
        <w:t>-1  鄯善县区域特征研判</w:t>
      </w:r>
    </w:p>
    <w:tbl>
      <w:tblPr>
        <w:tblStyle w:val="37"/>
        <w:tblW w:w="20617" w:type="dxa"/>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8"/>
        <w:gridCol w:w="13041"/>
        <w:gridCol w:w="4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exact"/>
        </w:trPr>
        <w:tc>
          <w:tcPr>
            <w:tcW w:w="2898" w:type="dxa"/>
            <w:tcBorders>
              <w:tl2br w:val="nil"/>
              <w:tr2bl w:val="nil"/>
            </w:tcBorders>
            <w:vAlign w:val="center"/>
          </w:tcPr>
          <w:p>
            <w:pPr>
              <w:adjustRightInd w:val="0"/>
              <w:snapToGrid w:val="0"/>
              <w:jc w:val="center"/>
              <w:rPr>
                <w:rFonts w:ascii="Times New Roman" w:hAnsi="Times New Roman" w:eastAsia="仿宋_GB2312" w:cs="Times New Roman"/>
                <w:b/>
                <w:lang w:bidi="en-US"/>
              </w:rPr>
            </w:pPr>
            <w:r>
              <w:rPr>
                <w:rFonts w:ascii="Times New Roman" w:hAnsi="Times New Roman" w:eastAsia="仿宋_GB2312" w:cs="Times New Roman"/>
                <w:b/>
                <w:lang w:bidi="en-US"/>
              </w:rPr>
              <w:t>区域特点</w:t>
            </w:r>
          </w:p>
        </w:tc>
        <w:tc>
          <w:tcPr>
            <w:tcW w:w="13041" w:type="dxa"/>
            <w:tcBorders>
              <w:tl2br w:val="nil"/>
              <w:tr2bl w:val="nil"/>
            </w:tcBorders>
            <w:vAlign w:val="center"/>
          </w:tcPr>
          <w:p>
            <w:pPr>
              <w:adjustRightInd w:val="0"/>
              <w:snapToGrid w:val="0"/>
              <w:jc w:val="center"/>
              <w:rPr>
                <w:rFonts w:ascii="Times New Roman" w:hAnsi="Times New Roman" w:eastAsia="仿宋_GB2312" w:cs="Times New Roman"/>
                <w:b/>
                <w:lang w:bidi="en-US"/>
              </w:rPr>
            </w:pPr>
            <w:r>
              <w:rPr>
                <w:rFonts w:ascii="Times New Roman" w:hAnsi="Times New Roman" w:eastAsia="仿宋_GB2312" w:cs="Times New Roman"/>
                <w:b/>
                <w:lang w:bidi="en-US"/>
              </w:rPr>
              <w:t>发展定位与目标</w:t>
            </w:r>
          </w:p>
        </w:tc>
        <w:tc>
          <w:tcPr>
            <w:tcW w:w="4678" w:type="dxa"/>
            <w:tcBorders>
              <w:tl2br w:val="nil"/>
              <w:tr2bl w:val="nil"/>
            </w:tcBorders>
            <w:vAlign w:val="center"/>
          </w:tcPr>
          <w:p>
            <w:pPr>
              <w:adjustRightInd w:val="0"/>
              <w:snapToGrid w:val="0"/>
              <w:jc w:val="center"/>
              <w:rPr>
                <w:rFonts w:ascii="Times New Roman" w:hAnsi="Times New Roman" w:eastAsia="仿宋_GB2312" w:cs="Times New Roman"/>
                <w:b/>
                <w:lang w:bidi="en-US"/>
              </w:rPr>
            </w:pPr>
            <w:r>
              <w:rPr>
                <w:rFonts w:ascii="Times New Roman" w:hAnsi="Times New Roman" w:eastAsia="仿宋_GB2312" w:cs="Times New Roman"/>
                <w:b/>
                <w:lang w:bidi="en-US"/>
              </w:rPr>
              <w:t>区域突出生态环境问题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63" w:hRule="exact"/>
        </w:trPr>
        <w:tc>
          <w:tcPr>
            <w:tcW w:w="2898" w:type="dxa"/>
            <w:tcBorders>
              <w:tl2br w:val="nil"/>
              <w:tr2bl w:val="nil"/>
            </w:tcBorders>
            <w:vAlign w:val="center"/>
          </w:tcPr>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1.鄯善县位于天山东部南麓的吐鲁番盆地东侧，北与木垒县、奇台县为邻，东经七克台镇连接哈密市七角井乡，西部吐峪沟苏巴什村与吐鲁番市胜金乡接壤，南部经南湖戈壁至觉罗塔格与若羌县、尉犁县为界。</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2.三面环山，地势东北高、西南低。北部为博格达山，中部为吐鲁番盆地和哈密盆地，南部为戈壁和沙漠。</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3.鄯善县属温带大陆干旱性气候，夏季炎热，冬季寒冷，昼夜温差大，日照充足。</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4.境内主要有3条河流，均为季节性河流。</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rPr>
              <w:t>5.矿产资源丰富，已探明石油、天然气、煤炭、铁、</w:t>
            </w:r>
            <w:r>
              <w:rPr>
                <w:rFonts w:hint="eastAsia" w:ascii="Times New Roman" w:hAnsi="Times New Roman" w:eastAsia="仿宋_GB2312" w:cs="Times New Roman"/>
              </w:rPr>
              <w:t>铜、铅锌、</w:t>
            </w:r>
            <w:r>
              <w:rPr>
                <w:rFonts w:ascii="Times New Roman" w:hAnsi="Times New Roman" w:eastAsia="仿宋_GB2312" w:cs="Times New Roman"/>
              </w:rPr>
              <w:t>金、钠硝石</w:t>
            </w:r>
            <w:r>
              <w:rPr>
                <w:rFonts w:hint="eastAsia" w:ascii="Times New Roman" w:hAnsi="Times New Roman" w:eastAsia="仿宋_GB2312" w:cs="Times New Roman"/>
              </w:rPr>
              <w:t>、</w:t>
            </w:r>
            <w:r>
              <w:rPr>
                <w:rFonts w:ascii="Times New Roman" w:hAnsi="Times New Roman" w:eastAsia="仿宋_GB2312" w:cs="Times New Roman"/>
              </w:rPr>
              <w:t>花岗岩等矿产资源40余种，石油、天然气</w:t>
            </w:r>
            <w:r>
              <w:rPr>
                <w:rFonts w:hint="eastAsia" w:ascii="Times New Roman" w:hAnsi="Times New Roman" w:eastAsia="仿宋_GB2312" w:cs="Times New Roman"/>
              </w:rPr>
              <w:t>、煤</w:t>
            </w:r>
            <w:r>
              <w:rPr>
                <w:rFonts w:ascii="Times New Roman" w:hAnsi="Times New Roman" w:eastAsia="仿宋_GB2312" w:cs="Times New Roman"/>
              </w:rPr>
              <w:t>资源量丰富，是吐哈油田主产区。境内的七克台百里风区，是新疆境内面积最大，风质最优的九大风区之一。</w:t>
            </w:r>
          </w:p>
        </w:tc>
        <w:tc>
          <w:tcPr>
            <w:tcW w:w="13041" w:type="dxa"/>
            <w:tcBorders>
              <w:tl2br w:val="nil"/>
              <w:tr2bl w:val="nil"/>
            </w:tcBorders>
            <w:vAlign w:val="center"/>
          </w:tcPr>
          <w:p>
            <w:pPr>
              <w:adjustRightInd w:val="0"/>
              <w:snapToGrid w:val="0"/>
              <w:spacing w:line="320" w:lineRule="exact"/>
              <w:rPr>
                <w:rFonts w:ascii="Times New Roman" w:hAnsi="Times New Roman" w:eastAsia="仿宋_GB2312" w:cs="Times New Roman"/>
                <w:b/>
                <w:bCs/>
                <w:lang w:bidi="en-US"/>
              </w:rPr>
            </w:pPr>
            <w:r>
              <w:rPr>
                <w:rFonts w:ascii="Times New Roman" w:hAnsi="Times New Roman" w:eastAsia="仿宋_GB2312" w:cs="Times New Roman"/>
                <w:b/>
                <w:bCs/>
                <w:lang w:bidi="en-US"/>
              </w:rPr>
              <w:t>1.区域发展战略定位</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（1）吐鲁番市的经济强县、自治区全域旅游示范区。</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（2）衔接“五中心三基地一通道”，积极推进油气储备基地建设</w:t>
            </w:r>
            <w:r>
              <w:rPr>
                <w:rFonts w:hint="eastAsia" w:ascii="Times New Roman" w:hAnsi="Times New Roman" w:eastAsia="仿宋_GB2312" w:cs="Times New Roman"/>
                <w:lang w:bidi="en-US"/>
              </w:rPr>
              <w:t>、煤炭煤电煤化工基地和</w:t>
            </w:r>
            <w:r>
              <w:rPr>
                <w:rFonts w:ascii="Times New Roman" w:hAnsi="Times New Roman" w:eastAsia="仿宋_GB2312" w:cs="Times New Roman"/>
                <w:lang w:bidi="en-US"/>
              </w:rPr>
              <w:t>大型</w:t>
            </w:r>
            <w:r>
              <w:rPr>
                <w:rFonts w:hint="eastAsia" w:ascii="Times New Roman" w:hAnsi="Times New Roman" w:eastAsia="仿宋_GB2312" w:cs="Times New Roman"/>
                <w:lang w:bidi="en-US"/>
              </w:rPr>
              <w:t>新能源</w:t>
            </w:r>
            <w:r>
              <w:rPr>
                <w:rFonts w:ascii="Times New Roman" w:hAnsi="Times New Roman" w:eastAsia="仿宋_GB2312" w:cs="Times New Roman"/>
                <w:lang w:bidi="en-US"/>
              </w:rPr>
              <w:t>基地建设，与吐鲁番其</w:t>
            </w:r>
            <w:r>
              <w:rPr>
                <w:rFonts w:hint="eastAsia" w:ascii="Times New Roman" w:hAnsi="Times New Roman" w:eastAsia="仿宋_GB2312" w:cs="Times New Roman"/>
                <w:lang w:bidi="en-US"/>
              </w:rPr>
              <w:t>他</w:t>
            </w:r>
            <w:r>
              <w:rPr>
                <w:rFonts w:ascii="Times New Roman" w:hAnsi="Times New Roman" w:eastAsia="仿宋_GB2312" w:cs="Times New Roman"/>
                <w:lang w:bidi="en-US"/>
              </w:rPr>
              <w:t>县区合力打造新疆区域性综合交通枢纽。</w:t>
            </w:r>
          </w:p>
          <w:p>
            <w:pPr>
              <w:adjustRightInd w:val="0"/>
              <w:snapToGrid w:val="0"/>
              <w:spacing w:line="320" w:lineRule="exact"/>
              <w:rPr>
                <w:rFonts w:ascii="Times New Roman" w:hAnsi="Times New Roman" w:eastAsia="仿宋_GB2312" w:cs="Times New Roman"/>
                <w:lang w:bidi="en-US"/>
              </w:rPr>
            </w:pPr>
            <w:r>
              <w:rPr>
                <w:rFonts w:hint="eastAsia" w:ascii="Times New Roman" w:hAnsi="Times New Roman" w:eastAsia="仿宋_GB2312" w:cs="Times New Roman"/>
                <w:lang w:bidi="en-US"/>
              </w:rPr>
              <w:t>（3）</w:t>
            </w:r>
            <w:r>
              <w:rPr>
                <w:rFonts w:ascii="Times New Roman" w:hAnsi="Times New Roman" w:eastAsia="仿宋_GB2312" w:cs="Times New Roman"/>
                <w:lang w:bidi="en-US"/>
              </w:rPr>
              <w:t>乌吐经济一体化发展的重要组成部分，乌鲁木齐一小时经济圈的重要构成部分。</w:t>
            </w:r>
          </w:p>
          <w:p>
            <w:pPr>
              <w:adjustRightInd w:val="0"/>
              <w:snapToGrid w:val="0"/>
              <w:spacing w:line="320" w:lineRule="exact"/>
              <w:rPr>
                <w:rFonts w:ascii="Times New Roman" w:hAnsi="Times New Roman" w:eastAsia="仿宋_GB2312" w:cs="Times New Roman"/>
                <w:lang w:bidi="en-US"/>
              </w:rPr>
            </w:pPr>
            <w:r>
              <w:rPr>
                <w:rFonts w:hint="eastAsia" w:ascii="Times New Roman" w:hAnsi="Times New Roman" w:eastAsia="仿宋_GB2312" w:cs="Times New Roman"/>
                <w:lang w:bidi="en-US"/>
              </w:rPr>
              <w:t>（4）</w:t>
            </w:r>
            <w:r>
              <w:rPr>
                <w:rFonts w:ascii="Times New Roman" w:hAnsi="Times New Roman" w:eastAsia="仿宋_GB2312" w:cs="Times New Roman"/>
                <w:lang w:bidi="en-US"/>
              </w:rPr>
              <w:t>吐鲁番-鄯善产业集聚区为全疆16个特色产业集聚区之一。</w:t>
            </w:r>
          </w:p>
          <w:p>
            <w:pPr>
              <w:adjustRightInd w:val="0"/>
              <w:snapToGrid w:val="0"/>
              <w:spacing w:line="320" w:lineRule="exact"/>
              <w:rPr>
                <w:rFonts w:ascii="Times New Roman" w:hAnsi="Times New Roman" w:eastAsia="仿宋_GB2312" w:cs="Times New Roman"/>
                <w:b/>
                <w:bCs/>
                <w:lang w:bidi="en-US"/>
              </w:rPr>
            </w:pPr>
            <w:r>
              <w:rPr>
                <w:rFonts w:ascii="Times New Roman" w:hAnsi="Times New Roman" w:eastAsia="仿宋_GB2312" w:cs="Times New Roman"/>
                <w:b/>
                <w:bCs/>
                <w:lang w:bidi="en-US"/>
              </w:rPr>
              <w:t>2.产业发展布局</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（1）大力发展现代煤炭</w:t>
            </w:r>
            <w:r>
              <w:rPr>
                <w:rFonts w:hint="eastAsia" w:ascii="Times New Roman" w:hAnsi="Times New Roman" w:eastAsia="仿宋_GB2312" w:cs="Times New Roman"/>
                <w:lang w:bidi="en-US"/>
              </w:rPr>
              <w:t>煤电煤化工</w:t>
            </w:r>
            <w:r>
              <w:rPr>
                <w:rFonts w:ascii="Times New Roman" w:hAnsi="Times New Roman" w:eastAsia="仿宋_GB2312" w:cs="Times New Roman"/>
                <w:lang w:bidi="en-US"/>
              </w:rPr>
              <w:t>产业，积极打造</w:t>
            </w:r>
            <w:r>
              <w:rPr>
                <w:rFonts w:hint="eastAsia" w:ascii="Times New Roman" w:hAnsi="Times New Roman" w:eastAsia="仿宋_GB2312" w:cs="Times New Roman"/>
                <w:lang w:bidi="en-US"/>
              </w:rPr>
              <w:t>煤电</w:t>
            </w:r>
            <w:r>
              <w:rPr>
                <w:rFonts w:ascii="Times New Roman" w:hAnsi="Times New Roman" w:eastAsia="仿宋_GB2312" w:cs="Times New Roman"/>
                <w:lang w:bidi="en-US"/>
              </w:rPr>
              <w:t>煤化工</w:t>
            </w:r>
            <w:r>
              <w:rPr>
                <w:rFonts w:hint="eastAsia" w:ascii="Times New Roman" w:hAnsi="Times New Roman" w:eastAsia="仿宋_GB2312" w:cs="Times New Roman"/>
                <w:lang w:bidi="en-US"/>
              </w:rPr>
              <w:t>转化</w:t>
            </w:r>
            <w:r>
              <w:rPr>
                <w:rFonts w:ascii="Times New Roman" w:hAnsi="Times New Roman" w:eastAsia="仿宋_GB2312" w:cs="Times New Roman"/>
                <w:lang w:bidi="en-US"/>
              </w:rPr>
              <w:t>基地。重点建设库木塔格矿区、</w:t>
            </w:r>
            <w:r>
              <w:rPr>
                <w:rFonts w:hint="eastAsia" w:ascii="Times New Roman" w:hAnsi="Times New Roman" w:eastAsia="仿宋_GB2312" w:cs="Times New Roman"/>
                <w:lang w:bidi="en-US"/>
              </w:rPr>
              <w:t>沙尔湖矿区、</w:t>
            </w:r>
            <w:r>
              <w:rPr>
                <w:rFonts w:ascii="Times New Roman" w:hAnsi="Times New Roman" w:eastAsia="仿宋_GB2312" w:cs="Times New Roman"/>
                <w:lang w:bidi="en-US"/>
              </w:rPr>
              <w:t>七克台矿区，积极培育大型煤炭企业，形成以大型煤炭企业和大型煤矿为主的煤炭产业格局。</w:t>
            </w:r>
            <w:r>
              <w:rPr>
                <w:rFonts w:hint="eastAsia" w:ascii="Times New Roman" w:hAnsi="Times New Roman" w:eastAsia="仿宋_GB2312" w:cs="Times New Roman"/>
                <w:lang w:bidi="en-US"/>
              </w:rPr>
              <w:t>大力发展煤化工产业，</w:t>
            </w:r>
            <w:r>
              <w:rPr>
                <w:rFonts w:ascii="Times New Roman" w:hAnsi="Times New Roman" w:eastAsia="仿宋_GB2312" w:cs="Times New Roman"/>
                <w:lang w:bidi="en-US"/>
              </w:rPr>
              <w:t>推动煤炭</w:t>
            </w:r>
            <w:r>
              <w:rPr>
                <w:rFonts w:hint="eastAsia" w:ascii="Times New Roman" w:hAnsi="Times New Roman" w:eastAsia="仿宋_GB2312" w:cs="Times New Roman"/>
                <w:lang w:bidi="en-US"/>
              </w:rPr>
              <w:t>分级分质</w:t>
            </w:r>
            <w:r>
              <w:rPr>
                <w:rFonts w:ascii="Times New Roman" w:hAnsi="Times New Roman" w:eastAsia="仿宋_GB2312" w:cs="Times New Roman"/>
                <w:lang w:bidi="en-US"/>
              </w:rPr>
              <w:t>清洁高效利用</w:t>
            </w:r>
            <w:r>
              <w:rPr>
                <w:rFonts w:hint="eastAsia" w:ascii="Times New Roman" w:hAnsi="Times New Roman" w:eastAsia="仿宋_GB2312" w:cs="Times New Roman"/>
                <w:lang w:bidi="en-US"/>
              </w:rPr>
              <w:t>，重点发展煤制甲醇、煤制烯烃、煤制气、煤油共炼等现代煤化工</w:t>
            </w:r>
            <w:r>
              <w:rPr>
                <w:rFonts w:ascii="Times New Roman" w:hAnsi="Times New Roman" w:eastAsia="仿宋_GB2312" w:cs="Times New Roman"/>
                <w:lang w:bidi="en-US"/>
              </w:rPr>
              <w:t>。</w:t>
            </w:r>
            <w:r>
              <w:rPr>
                <w:rFonts w:hint="eastAsia" w:ascii="Times New Roman" w:hAnsi="Times New Roman" w:eastAsia="仿宋_GB2312" w:cs="Times New Roman"/>
                <w:lang w:bidi="en-US"/>
              </w:rPr>
              <w:t>加快推动“疆电外送”通道建设。</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（2）稳定发展石油化工产业。</w:t>
            </w:r>
            <w:r>
              <w:rPr>
                <w:rFonts w:hint="eastAsia" w:ascii="Times New Roman" w:hAnsi="Times New Roman" w:eastAsia="仿宋_GB2312" w:cs="Times New Roman"/>
                <w:lang w:bidi="en-US"/>
              </w:rPr>
              <w:t>扩大油气产量，加快页岩气、油砂油等非常规能源的勘探开发，推动琼坎儿孜、老东湖矿区油砂油非常规能源开发项目建设；</w:t>
            </w:r>
            <w:r>
              <w:rPr>
                <w:rFonts w:ascii="Times New Roman" w:hAnsi="Times New Roman" w:eastAsia="仿宋_GB2312" w:cs="Times New Roman"/>
                <w:lang w:bidi="en-US"/>
              </w:rPr>
              <w:t>增加油气资源就地加工能力</w:t>
            </w:r>
            <w:r>
              <w:rPr>
                <w:rFonts w:hint="eastAsia" w:ascii="Times New Roman" w:hAnsi="Times New Roman" w:eastAsia="仿宋_GB2312" w:cs="Times New Roman"/>
                <w:lang w:bidi="en-US"/>
              </w:rPr>
              <w:t>；加大石油天然气下游精深加工产业延伸和拓展，逐步推动向精细化工方向转型发展；</w:t>
            </w:r>
            <w:r>
              <w:rPr>
                <w:rFonts w:ascii="Times New Roman" w:hAnsi="Times New Roman" w:eastAsia="仿宋_GB2312" w:cs="Times New Roman"/>
                <w:lang w:bidi="en-US"/>
              </w:rPr>
              <w:t>加快国家储气库</w:t>
            </w:r>
            <w:r>
              <w:rPr>
                <w:rFonts w:hint="eastAsia" w:ascii="Times New Roman" w:hAnsi="Times New Roman" w:eastAsia="仿宋_GB2312" w:cs="Times New Roman"/>
                <w:lang w:bidi="en-US"/>
              </w:rPr>
              <w:t>群</w:t>
            </w:r>
            <w:r>
              <w:rPr>
                <w:rFonts w:ascii="Times New Roman" w:hAnsi="Times New Roman" w:eastAsia="仿宋_GB2312" w:cs="Times New Roman"/>
                <w:lang w:bidi="en-US"/>
              </w:rPr>
              <w:t>项目建设，将鄯善县建设成为全疆</w:t>
            </w:r>
            <w:r>
              <w:rPr>
                <w:rFonts w:hint="eastAsia" w:ascii="Times New Roman" w:hAnsi="Times New Roman" w:eastAsia="仿宋_GB2312" w:cs="Times New Roman"/>
                <w:lang w:bidi="en-US"/>
              </w:rPr>
              <w:t>重要的</w:t>
            </w:r>
            <w:r>
              <w:rPr>
                <w:rFonts w:ascii="Times New Roman" w:hAnsi="Times New Roman" w:eastAsia="仿宋_GB2312" w:cs="Times New Roman"/>
                <w:lang w:bidi="en-US"/>
              </w:rPr>
              <w:t>油气储备基地</w:t>
            </w:r>
            <w:r>
              <w:rPr>
                <w:rFonts w:hint="eastAsia" w:ascii="Times New Roman" w:hAnsi="Times New Roman" w:eastAsia="仿宋_GB2312" w:cs="Times New Roman"/>
                <w:lang w:bidi="en-US"/>
              </w:rPr>
              <w:t>之一</w:t>
            </w:r>
            <w:r>
              <w:rPr>
                <w:rFonts w:ascii="Times New Roman" w:hAnsi="Times New Roman" w:eastAsia="仿宋_GB2312" w:cs="Times New Roman"/>
                <w:lang w:bidi="en-US"/>
              </w:rPr>
              <w:t>。</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（3）</w:t>
            </w:r>
            <w:r>
              <w:rPr>
                <w:rFonts w:hint="eastAsia" w:ascii="Times New Roman" w:hAnsi="Times New Roman" w:eastAsia="仿宋_GB2312" w:cs="Times New Roman"/>
                <w:lang w:bidi="en-US"/>
              </w:rPr>
              <w:t>壮大</w:t>
            </w:r>
            <w:r>
              <w:rPr>
                <w:rFonts w:ascii="Times New Roman" w:hAnsi="Times New Roman" w:eastAsia="仿宋_GB2312" w:cs="Times New Roman"/>
                <w:lang w:bidi="en-US"/>
              </w:rPr>
              <w:t>硅基新材料产业。</w:t>
            </w:r>
            <w:r>
              <w:rPr>
                <w:rFonts w:hint="eastAsia" w:ascii="Times New Roman" w:hAnsi="Times New Roman" w:eastAsia="仿宋_GB2312" w:cs="Times New Roman"/>
                <w:lang w:bidi="en-US"/>
              </w:rPr>
              <w:t>发挥硅业龙头企业作用，推动“煤电硅材”一体化发展模式上新水平。壮大硅基新材料产业，打造碳化硅产业集群。推动硅基新材料多元化发展，将鄯善打造成为国家级的硅基新材料产业基地及“世界硅都”。</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（4）</w:t>
            </w:r>
            <w:r>
              <w:rPr>
                <w:rFonts w:hint="eastAsia" w:ascii="Times New Roman" w:hAnsi="Times New Roman" w:eastAsia="仿宋_GB2312" w:cs="Times New Roman"/>
                <w:lang w:bidi="en-US"/>
              </w:rPr>
              <w:t>提升钢铁及装备制造业。提升冶炼、铸造生产装置技术水平，支持现有企业向自动化、智能化、清洁化生产转型，进一步延伸深加工产业链。引进一批油田机械、煤机组装、矿山机械、农业机械、风电光伏发电装备、高低压配电设备及基础零部件等装备制造企业，推动传统装备制造业向高端装备制造业转型升级，打造新疆重要的装备制造产业聚集区。</w:t>
            </w:r>
            <w:r>
              <w:rPr>
                <w:rFonts w:ascii="Times New Roman" w:hAnsi="Times New Roman" w:eastAsia="仿宋_GB2312" w:cs="Times New Roman"/>
                <w:lang w:bidi="en-US"/>
              </w:rPr>
              <w:t>（5）</w:t>
            </w:r>
            <w:r>
              <w:rPr>
                <w:rFonts w:hint="eastAsia" w:ascii="Times New Roman" w:hAnsi="Times New Roman" w:eastAsia="仿宋_GB2312" w:cs="Times New Roman"/>
                <w:lang w:bidi="en-US"/>
              </w:rPr>
              <w:t>加快实施</w:t>
            </w:r>
            <w:r>
              <w:rPr>
                <w:rFonts w:ascii="Times New Roman" w:hAnsi="Times New Roman" w:eastAsia="仿宋_GB2312" w:cs="Times New Roman"/>
                <w:lang w:bidi="en-US"/>
              </w:rPr>
              <w:t>石材</w:t>
            </w:r>
            <w:r>
              <w:rPr>
                <w:rFonts w:hint="eastAsia" w:ascii="Times New Roman" w:hAnsi="Times New Roman" w:eastAsia="仿宋_GB2312" w:cs="Times New Roman"/>
                <w:lang w:bidi="en-US"/>
              </w:rPr>
              <w:t>、建材</w:t>
            </w:r>
            <w:r>
              <w:rPr>
                <w:rFonts w:ascii="Times New Roman" w:hAnsi="Times New Roman" w:eastAsia="仿宋_GB2312" w:cs="Times New Roman"/>
                <w:lang w:bidi="en-US"/>
              </w:rPr>
              <w:t>产业</w:t>
            </w:r>
            <w:r>
              <w:rPr>
                <w:rFonts w:hint="eastAsia" w:ascii="Times New Roman" w:hAnsi="Times New Roman" w:eastAsia="仿宋_GB2312" w:cs="Times New Roman"/>
                <w:lang w:bidi="en-US"/>
              </w:rPr>
              <w:t>转型</w:t>
            </w:r>
            <w:r>
              <w:rPr>
                <w:rFonts w:ascii="Times New Roman" w:hAnsi="Times New Roman" w:eastAsia="仿宋_GB2312" w:cs="Times New Roman"/>
                <w:lang w:bidi="en-US"/>
              </w:rPr>
              <w:t>升级。</w:t>
            </w:r>
            <w:r>
              <w:rPr>
                <w:rFonts w:hint="eastAsia" w:ascii="Times New Roman" w:hAnsi="Times New Roman" w:eastAsia="仿宋_GB2312" w:cs="Times New Roman"/>
                <w:lang w:bidi="en-US"/>
              </w:rPr>
              <w:t>合理优化石材产业布局，实现石材产品资源地就地加工。</w:t>
            </w:r>
            <w:r>
              <w:rPr>
                <w:rFonts w:ascii="Times New Roman" w:hAnsi="Times New Roman" w:eastAsia="仿宋_GB2312" w:cs="Times New Roman"/>
                <w:lang w:bidi="en-US"/>
              </w:rPr>
              <w:t>形成以大规模龙头企业的石材加工开采集群，推进结构优化和产业</w:t>
            </w:r>
            <w:r>
              <w:rPr>
                <w:rFonts w:hint="eastAsia" w:ascii="Times New Roman" w:hAnsi="Times New Roman" w:eastAsia="仿宋_GB2312" w:cs="Times New Roman"/>
                <w:lang w:bidi="en-US"/>
              </w:rPr>
              <w:t>转型</w:t>
            </w:r>
            <w:r>
              <w:rPr>
                <w:rFonts w:ascii="Times New Roman" w:hAnsi="Times New Roman" w:eastAsia="仿宋_GB2312" w:cs="Times New Roman"/>
                <w:lang w:bidi="en-US"/>
              </w:rPr>
              <w:t>升级。</w:t>
            </w:r>
          </w:p>
          <w:p>
            <w:pPr>
              <w:adjustRightInd w:val="0"/>
              <w:snapToGrid w:val="0"/>
              <w:spacing w:line="320" w:lineRule="exact"/>
              <w:rPr>
                <w:rFonts w:ascii="Times New Roman" w:hAnsi="Times New Roman" w:eastAsia="仿宋_GB2312" w:cs="Times New Roman"/>
                <w:lang w:bidi="en-US"/>
              </w:rPr>
            </w:pPr>
            <w:r>
              <w:rPr>
                <w:rFonts w:hint="eastAsia" w:ascii="Times New Roman" w:hAnsi="Times New Roman" w:eastAsia="仿宋_GB2312" w:cs="Times New Roman"/>
                <w:lang w:bidi="en-US"/>
              </w:rPr>
              <w:t>（</w:t>
            </w:r>
            <w:r>
              <w:rPr>
                <w:rFonts w:ascii="Times New Roman" w:hAnsi="Times New Roman" w:eastAsia="仿宋_GB2312" w:cs="Times New Roman"/>
                <w:lang w:bidi="en-US"/>
              </w:rPr>
              <w:t>6</w:t>
            </w:r>
            <w:r>
              <w:rPr>
                <w:rFonts w:hint="eastAsia" w:ascii="Times New Roman" w:hAnsi="Times New Roman" w:eastAsia="仿宋_GB2312" w:cs="Times New Roman"/>
                <w:lang w:bidi="en-US"/>
              </w:rPr>
              <w:t xml:space="preserve">）发展无机盐化工产业，打造全疆最大的无机盐化工产业基地。构建煤电盐一体化循环经济产业链，提高产品附加值，延伸产业链。大力发展储能熔盐、蓄热装备等产品，积极探索钠、钾资源在石油化工、钢铁、有色、机械、轻工、建材等领域中应用。 </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（7）加强新能源产业发展。</w:t>
            </w:r>
            <w:r>
              <w:rPr>
                <w:rFonts w:hint="eastAsia" w:ascii="Times New Roman" w:hAnsi="Times New Roman" w:eastAsia="仿宋_GB2312" w:cs="Times New Roman"/>
                <w:lang w:bidi="en-US"/>
              </w:rPr>
              <w:t>加快推进太阳能发电、风力发电、光热发电及储能产业协同发展。统筹新能源发电布局与市场消纳，推进新能源发电联合应用，支持分布式电源开发和就近消纳，积极开展新能源储能试点示范，大力推进源网荷储一体化和多能互补试点项目建设。</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（8）着力发展纺织服装产业</w:t>
            </w:r>
            <w:r>
              <w:rPr>
                <w:rFonts w:hint="eastAsia" w:ascii="Times New Roman" w:hAnsi="Times New Roman" w:eastAsia="仿宋_GB2312" w:cs="Times New Roman"/>
                <w:lang w:bidi="en-US"/>
              </w:rPr>
              <w:t>、</w:t>
            </w:r>
            <w:r>
              <w:rPr>
                <w:rFonts w:ascii="Times New Roman" w:hAnsi="Times New Roman" w:eastAsia="仿宋_GB2312" w:cs="Times New Roman"/>
                <w:lang w:bidi="en-US"/>
              </w:rPr>
              <w:t>农产品加工业</w:t>
            </w:r>
            <w:r>
              <w:rPr>
                <w:rFonts w:hint="eastAsia" w:ascii="Times New Roman" w:hAnsi="Times New Roman" w:eastAsia="仿宋_GB2312" w:cs="Times New Roman"/>
                <w:lang w:bidi="en-US"/>
              </w:rPr>
              <w:t>和葡萄酒产业</w:t>
            </w:r>
            <w:r>
              <w:rPr>
                <w:rFonts w:ascii="Times New Roman" w:hAnsi="Times New Roman" w:eastAsia="仿宋_GB2312" w:cs="Times New Roman"/>
                <w:lang w:bidi="en-US"/>
              </w:rPr>
              <w:t>。推动农产品加工业集群发展，做精做优吐鲁番特色农产品加工业。</w:t>
            </w:r>
            <w:r>
              <w:rPr>
                <w:rFonts w:hint="eastAsia" w:ascii="Times New Roman" w:hAnsi="Times New Roman" w:eastAsia="仿宋_GB2312" w:cs="Times New Roman"/>
                <w:lang w:bidi="en-US"/>
              </w:rPr>
              <w:t>推进葡萄酒产业发展，支持酒庄做大做强，构建特色酒庄产业群，塑造“鄯善</w:t>
            </w:r>
            <w:r>
              <w:rPr>
                <w:rFonts w:ascii="Times New Roman" w:hAnsi="Times New Roman" w:eastAsia="仿宋_GB2312" w:cs="Times New Roman"/>
                <w:lang w:bidi="en-US"/>
              </w:rPr>
              <w:t>-中国大漠特种葡萄酒古都”形象。</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（9）鄯善工业园区，</w:t>
            </w:r>
            <w:r>
              <w:rPr>
                <w:rFonts w:hint="eastAsia" w:ascii="Times New Roman" w:hAnsi="Times New Roman" w:eastAsia="仿宋_GB2312" w:cs="Times New Roman"/>
                <w:lang w:bidi="en-US"/>
              </w:rPr>
              <w:t>重点发展石油天然气精细化工、无机盐化工、煤电煤化工等能源化工产业及仓储物流等产业</w:t>
            </w:r>
            <w:r>
              <w:rPr>
                <w:rFonts w:ascii="Times New Roman" w:hAnsi="Times New Roman" w:eastAsia="仿宋_GB2312" w:cs="Times New Roman"/>
                <w:lang w:bidi="en-US"/>
              </w:rPr>
              <w:t>。鄯善石材工业园区，</w:t>
            </w:r>
            <w:r>
              <w:rPr>
                <w:rFonts w:hint="eastAsia" w:ascii="Times New Roman" w:hAnsi="Times New Roman" w:eastAsia="仿宋_GB2312" w:cs="Times New Roman"/>
                <w:lang w:bidi="en-US"/>
              </w:rPr>
              <w:t>重点</w:t>
            </w:r>
            <w:r>
              <w:rPr>
                <w:rFonts w:ascii="Times New Roman" w:hAnsi="Times New Roman" w:eastAsia="仿宋_GB2312" w:cs="Times New Roman"/>
                <w:lang w:bidi="en-US"/>
              </w:rPr>
              <w:t>发展硅基新材料</w:t>
            </w:r>
            <w:r>
              <w:rPr>
                <w:rFonts w:hint="eastAsia" w:ascii="Times New Roman" w:hAnsi="Times New Roman" w:eastAsia="仿宋_GB2312" w:cs="Times New Roman"/>
                <w:lang w:bidi="en-US"/>
              </w:rPr>
              <w:t>、石材及新型建材（含镁基新材料）、钢铁及装备制造、光伏发电等产业</w:t>
            </w:r>
            <w:r>
              <w:rPr>
                <w:rFonts w:ascii="Times New Roman" w:hAnsi="Times New Roman" w:eastAsia="仿宋_GB2312" w:cs="Times New Roman"/>
                <w:lang w:bidi="en-US"/>
              </w:rPr>
              <w:t>。</w:t>
            </w:r>
            <w:r>
              <w:rPr>
                <w:rFonts w:hint="eastAsia" w:ascii="Times New Roman" w:hAnsi="Times New Roman" w:eastAsia="仿宋_GB2312" w:cs="Times New Roman"/>
                <w:lang w:bidi="en-US"/>
              </w:rPr>
              <w:t>根据新党编委[</w:t>
            </w:r>
            <w:r>
              <w:rPr>
                <w:rFonts w:ascii="Times New Roman" w:hAnsi="Times New Roman" w:eastAsia="仿宋_GB2312" w:cs="Times New Roman"/>
                <w:lang w:bidi="en-US"/>
              </w:rPr>
              <w:t>2021]20</w:t>
            </w:r>
            <w:r>
              <w:rPr>
                <w:rFonts w:hint="eastAsia" w:ascii="Times New Roman" w:hAnsi="Times New Roman" w:eastAsia="仿宋_GB2312" w:cs="Times New Roman"/>
                <w:lang w:bidi="en-US"/>
              </w:rPr>
              <w:t>号文，鄯善县石材工业园区管委会整合至鄯善工业园区管委会，同时保留鄯善石材工业园区管委会的牌子。</w:t>
            </w:r>
          </w:p>
          <w:p>
            <w:pPr>
              <w:adjustRightInd w:val="0"/>
              <w:snapToGrid w:val="0"/>
              <w:spacing w:line="320" w:lineRule="exact"/>
              <w:rPr>
                <w:rFonts w:ascii="Times New Roman" w:hAnsi="Times New Roman" w:eastAsia="仿宋_GB2312" w:cs="Times New Roman"/>
                <w:b/>
                <w:bCs/>
                <w:lang w:bidi="en-US"/>
              </w:rPr>
            </w:pPr>
            <w:r>
              <w:rPr>
                <w:rFonts w:ascii="Times New Roman" w:hAnsi="Times New Roman" w:eastAsia="仿宋_GB2312" w:cs="Times New Roman"/>
                <w:b/>
                <w:bCs/>
                <w:lang w:bidi="en-US"/>
              </w:rPr>
              <w:t>3．生态环境保护战略定位</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（1）鄯善县北部的博格达山，属于天山山脉，承担水源涵养和水土保持的重要生态功能。</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（2）鄯善县中部为平原绿洲，承担着农产品提供的功能；南部区域为荒漠区域，为防风固沙功能区。</w:t>
            </w:r>
          </w:p>
        </w:tc>
        <w:tc>
          <w:tcPr>
            <w:tcW w:w="4678" w:type="dxa"/>
            <w:tcBorders>
              <w:tl2br w:val="nil"/>
              <w:tr2bl w:val="nil"/>
            </w:tcBorders>
            <w:vAlign w:val="center"/>
          </w:tcPr>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1.生态空间环境问题</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（1）荒漠化面积有所缩减，但局部区域荒漠化程度加深。轻度风蚀荒漠面积减小，中度风蚀荒漠化面积变化不大，其它荒漠面积增加，盐碱地和重度风蚀荒漠面积增加较为明显。</w:t>
            </w:r>
            <w:r>
              <w:rPr>
                <w:rFonts w:hint="eastAsia" w:ascii="Times New Roman" w:hAnsi="Times New Roman" w:eastAsia="仿宋_GB2312" w:cs="Times New Roman"/>
                <w:lang w:bidi="en-US"/>
              </w:rPr>
              <w:t>除干旱少雨、干热大风等极端天气的自然因素之外，</w:t>
            </w:r>
            <w:r>
              <w:rPr>
                <w:rFonts w:ascii="Times New Roman" w:hAnsi="Times New Roman" w:eastAsia="仿宋_GB2312" w:cs="Times New Roman"/>
                <w:lang w:bidi="en-US"/>
              </w:rPr>
              <w:t>人为因素</w:t>
            </w:r>
            <w:r>
              <w:rPr>
                <w:rFonts w:hint="eastAsia" w:ascii="Times New Roman" w:hAnsi="Times New Roman" w:eastAsia="仿宋_GB2312" w:cs="Times New Roman"/>
                <w:lang w:bidi="en-US"/>
              </w:rPr>
              <w:t>也</w:t>
            </w:r>
            <w:r>
              <w:rPr>
                <w:rFonts w:ascii="Times New Roman" w:hAnsi="Times New Roman" w:eastAsia="仿宋_GB2312" w:cs="Times New Roman"/>
                <w:lang w:bidi="en-US"/>
              </w:rPr>
              <w:t>是荒漠化发展的动因之一。</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（2）水资源短缺、地下水水位下降，绿洲保护、生态系统维持压力巨大。</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（3）矿产资源丰富，但矿产资源开发与生态环境保护</w:t>
            </w:r>
            <w:r>
              <w:rPr>
                <w:rFonts w:hint="eastAsia" w:ascii="Times New Roman" w:hAnsi="Times New Roman" w:eastAsia="仿宋_GB2312" w:cs="Times New Roman"/>
                <w:lang w:bidi="en-US"/>
              </w:rPr>
              <w:t>存在</w:t>
            </w:r>
            <w:r>
              <w:rPr>
                <w:rFonts w:ascii="Times New Roman" w:hAnsi="Times New Roman" w:eastAsia="仿宋_GB2312" w:cs="Times New Roman"/>
                <w:lang w:bidi="en-US"/>
              </w:rPr>
              <w:t>矛盾。矿产资源所处位置多位于生态环境较为脆弱的荒漠区域，因此对矿产资源开发需提出更高的环境保护要求。</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2.环境质量重点问题</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（1）大气环境质量改善难度大。综合自然和人为的因素，区域扩散条件和其产业的发展导致其大气环境质量改善的难度非常大。</w:t>
            </w:r>
          </w:p>
          <w:p>
            <w:pPr>
              <w:pStyle w:val="45"/>
              <w:spacing w:line="320" w:lineRule="exact"/>
              <w:ind w:firstLine="0" w:firstLineChars="0"/>
              <w:rPr>
                <w:rFonts w:ascii="Times New Roman" w:hAnsi="Times New Roman" w:eastAsia="仿宋_GB2312" w:cs="Times New Roman"/>
                <w:lang w:bidi="en-US"/>
              </w:rPr>
            </w:pPr>
            <w:r>
              <w:rPr>
                <w:rFonts w:ascii="Times New Roman" w:hAnsi="Times New Roman" w:eastAsia="仿宋_GB2312" w:cs="Times New Roman"/>
                <w:lang w:bidi="en-US"/>
              </w:rPr>
              <w:t>（2土壤存在污染风险隐患。</w:t>
            </w:r>
          </w:p>
          <w:p>
            <w:pPr>
              <w:adjustRightInd w:val="0"/>
              <w:snapToGrid w:val="0"/>
              <w:spacing w:line="320" w:lineRule="exact"/>
              <w:rPr>
                <w:rFonts w:ascii="Times New Roman" w:hAnsi="Times New Roman" w:eastAsia="仿宋_GB2312" w:cs="Times New Roman"/>
                <w:lang w:bidi="en-US"/>
              </w:rPr>
            </w:pP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3.资源开发利用问题</w:t>
            </w:r>
          </w:p>
          <w:p>
            <w:pPr>
              <w:pStyle w:val="45"/>
              <w:spacing w:line="320" w:lineRule="exact"/>
              <w:ind w:firstLine="0" w:firstLineChars="0"/>
              <w:rPr>
                <w:rFonts w:ascii="Times New Roman" w:hAnsi="Times New Roman" w:eastAsia="仿宋_GB2312" w:cs="Times New Roman"/>
                <w:lang w:bidi="en-US"/>
              </w:rPr>
            </w:pPr>
            <w:r>
              <w:rPr>
                <w:rFonts w:ascii="Times New Roman" w:hAnsi="Times New Roman" w:eastAsia="仿宋_GB2312" w:cs="Times New Roman"/>
                <w:lang w:bidi="en-US"/>
              </w:rPr>
              <w:t>（1）地下水超采严重。长期过量开采地下水，导致地下水水位下降，有些地区地下水水位下降了20余米，</w:t>
            </w:r>
            <w:r>
              <w:rPr>
                <w:rFonts w:hint="eastAsia" w:ascii="Times New Roman" w:hAnsi="Times New Roman" w:eastAsia="仿宋_GB2312" w:cs="Times New Roman"/>
                <w:lang w:bidi="en-US"/>
              </w:rPr>
              <w:t>2</w:t>
            </w:r>
            <w:r>
              <w:rPr>
                <w:rFonts w:ascii="Times New Roman" w:hAnsi="Times New Roman" w:eastAsia="仿宋_GB2312" w:cs="Times New Roman"/>
                <w:lang w:bidi="en-US"/>
              </w:rPr>
              <w:t>015</w:t>
            </w:r>
            <w:r>
              <w:rPr>
                <w:rFonts w:hint="eastAsia" w:ascii="Times New Roman" w:hAnsi="Times New Roman" w:eastAsia="仿宋_GB2312" w:cs="Times New Roman"/>
                <w:lang w:bidi="en-US"/>
              </w:rPr>
              <w:t>年</w:t>
            </w:r>
            <w:r>
              <w:rPr>
                <w:rFonts w:ascii="Times New Roman" w:hAnsi="Times New Roman" w:eastAsia="仿宋_GB2312" w:cs="Times New Roman"/>
                <w:lang w:bidi="en-US"/>
              </w:rPr>
              <w:t>平均年降幅达到了1.5m。</w:t>
            </w:r>
          </w:p>
          <w:p>
            <w:pPr>
              <w:pStyle w:val="45"/>
              <w:spacing w:line="320" w:lineRule="exact"/>
              <w:ind w:firstLine="0" w:firstLineChars="0"/>
              <w:rPr>
                <w:rFonts w:ascii="Times New Roman" w:hAnsi="Times New Roman" w:eastAsia="仿宋_GB2312" w:cs="Times New Roman"/>
                <w:lang w:bidi="en-US"/>
              </w:rPr>
            </w:pPr>
            <w:r>
              <w:rPr>
                <w:rFonts w:ascii="Times New Roman" w:hAnsi="Times New Roman" w:eastAsia="仿宋_GB2312" w:cs="Times New Roman"/>
                <w:lang w:bidi="en-US"/>
              </w:rPr>
              <w:t>（2）坎儿井</w:t>
            </w:r>
            <w:r>
              <w:rPr>
                <w:rFonts w:hint="eastAsia" w:ascii="Times New Roman" w:hAnsi="Times New Roman" w:eastAsia="仿宋_GB2312" w:cs="Times New Roman"/>
                <w:lang w:bidi="en-US"/>
              </w:rPr>
              <w:t>数量逐年</w:t>
            </w:r>
            <w:r>
              <w:rPr>
                <w:rFonts w:ascii="Times New Roman" w:hAnsi="Times New Roman" w:eastAsia="仿宋_GB2312" w:cs="Times New Roman"/>
                <w:lang w:bidi="en-US"/>
              </w:rPr>
              <w:t xml:space="preserve">衰减。2003 </w:t>
            </w:r>
            <w:r>
              <w:rPr>
                <w:rFonts w:hint="eastAsia" w:ascii="Times New Roman" w:hAnsi="Times New Roman" w:eastAsia="仿宋_GB2312" w:cs="Times New Roman"/>
                <w:lang w:bidi="en-US"/>
              </w:rPr>
              <w:t>鄯善县有水坎儿井的数量为1</w:t>
            </w:r>
            <w:r>
              <w:rPr>
                <w:rFonts w:ascii="Times New Roman" w:hAnsi="Times New Roman" w:eastAsia="仿宋_GB2312" w:cs="Times New Roman"/>
                <w:lang w:bidi="en-US"/>
              </w:rPr>
              <w:t>03条</w:t>
            </w:r>
            <w:r>
              <w:rPr>
                <w:rFonts w:hint="eastAsia" w:ascii="Times New Roman" w:hAnsi="Times New Roman" w:eastAsia="仿宋_GB2312" w:cs="Times New Roman"/>
                <w:lang w:bidi="en-US"/>
              </w:rPr>
              <w:t>，2</w:t>
            </w:r>
            <w:r>
              <w:rPr>
                <w:rFonts w:ascii="Times New Roman" w:hAnsi="Times New Roman" w:eastAsia="仿宋_GB2312" w:cs="Times New Roman"/>
                <w:lang w:bidi="en-US"/>
              </w:rPr>
              <w:t>014</w:t>
            </w:r>
            <w:r>
              <w:rPr>
                <w:rFonts w:hint="eastAsia" w:ascii="Times New Roman" w:hAnsi="Times New Roman" w:eastAsia="仿宋_GB2312" w:cs="Times New Roman"/>
                <w:lang w:bidi="en-US"/>
              </w:rPr>
              <w:t>年衰减为7</w:t>
            </w:r>
            <w:r>
              <w:rPr>
                <w:rFonts w:ascii="Times New Roman" w:hAnsi="Times New Roman" w:eastAsia="仿宋_GB2312" w:cs="Times New Roman"/>
                <w:lang w:bidi="en-US"/>
              </w:rPr>
              <w:t>2</w:t>
            </w:r>
            <w:r>
              <w:rPr>
                <w:rFonts w:hint="eastAsia" w:ascii="Times New Roman" w:hAnsi="Times New Roman" w:eastAsia="仿宋_GB2312" w:cs="Times New Roman"/>
                <w:lang w:bidi="en-US"/>
              </w:rPr>
              <w:t>条</w:t>
            </w:r>
            <w:r>
              <w:rPr>
                <w:rFonts w:ascii="Times New Roman" w:hAnsi="Times New Roman" w:eastAsia="仿宋_GB2312" w:cs="Times New Roman"/>
                <w:lang w:bidi="en-US"/>
              </w:rPr>
              <w:t>。</w:t>
            </w:r>
          </w:p>
          <w:p>
            <w:pPr>
              <w:pStyle w:val="45"/>
              <w:spacing w:line="320" w:lineRule="exact"/>
              <w:ind w:firstLine="0" w:firstLineChars="0"/>
              <w:rPr>
                <w:rFonts w:ascii="Times New Roman" w:hAnsi="Times New Roman" w:eastAsia="仿宋_GB2312" w:cs="Times New Roman"/>
                <w:lang w:bidi="en-US"/>
              </w:rPr>
            </w:pPr>
            <w:r>
              <w:rPr>
                <w:rFonts w:ascii="Times New Roman" w:hAnsi="Times New Roman" w:eastAsia="仿宋_GB2312" w:cs="Times New Roman"/>
                <w:lang w:bidi="en-US"/>
              </w:rPr>
              <w:t>（3）土地资源利用率低，利用结构不尽合理</w:t>
            </w:r>
            <w:r>
              <w:rPr>
                <w:rFonts w:hint="eastAsia" w:ascii="Times New Roman" w:hAnsi="Times New Roman" w:eastAsia="仿宋_GB2312" w:cs="Times New Roman"/>
                <w:lang w:bidi="en-US"/>
              </w:rPr>
              <w:t>。</w:t>
            </w:r>
          </w:p>
          <w:p>
            <w:pPr>
              <w:adjustRightInd w:val="0"/>
              <w:snapToGrid w:val="0"/>
              <w:rPr>
                <w:rFonts w:ascii="Times New Roman" w:hAnsi="Times New Roman" w:eastAsia="仿宋_GB2312" w:cs="Times New Roman"/>
                <w:lang w:bidi="en-US"/>
              </w:rPr>
            </w:pPr>
          </w:p>
          <w:p>
            <w:pPr>
              <w:adjustRightInd w:val="0"/>
              <w:snapToGrid w:val="0"/>
              <w:rPr>
                <w:rFonts w:ascii="Times New Roman" w:hAnsi="Times New Roman" w:eastAsia="仿宋_GB2312" w:cs="Times New Roman"/>
                <w:lang w:bidi="en-US"/>
              </w:rPr>
            </w:pPr>
          </w:p>
        </w:tc>
      </w:tr>
    </w:tbl>
    <w:p>
      <w:pPr>
        <w:adjustRightInd w:val="0"/>
        <w:snapToGrid w:val="0"/>
        <w:ind w:firstLine="560"/>
        <w:jc w:val="center"/>
        <w:rPr>
          <w:rFonts w:ascii="仿宋_GB2312" w:hAnsi="Times New Roman" w:eastAsia="仿宋_GB2312" w:cs="Times New Roman"/>
          <w:b/>
          <w:iCs/>
          <w:sz w:val="28"/>
          <w:szCs w:val="21"/>
        </w:rPr>
      </w:pPr>
      <w:r>
        <w:rPr>
          <w:rFonts w:hint="eastAsia" w:ascii="仿宋_GB2312" w:hAnsi="Times New Roman" w:eastAsia="仿宋_GB2312" w:cs="Times New Roman"/>
          <w:b/>
          <w:iCs/>
          <w:sz w:val="28"/>
          <w:szCs w:val="21"/>
        </w:rPr>
        <w:t>表</w:t>
      </w:r>
      <w:r>
        <w:rPr>
          <w:rFonts w:ascii="Times New Roman" w:hAnsi="Times New Roman" w:eastAsia="仿宋_GB2312" w:cs="Times New Roman"/>
          <w:b/>
          <w:iCs/>
          <w:sz w:val="28"/>
          <w:szCs w:val="21"/>
        </w:rPr>
        <w:t>2</w:t>
      </w:r>
      <w:r>
        <w:rPr>
          <w:rFonts w:hint="eastAsia" w:ascii="Times New Roman" w:hAnsi="Times New Roman" w:eastAsia="仿宋_GB2312" w:cs="Times New Roman"/>
          <w:b/>
          <w:iCs/>
          <w:sz w:val="28"/>
          <w:szCs w:val="21"/>
        </w:rPr>
        <w:t>.2-2</w:t>
      </w:r>
      <w:r>
        <w:rPr>
          <w:rFonts w:hint="eastAsia" w:ascii="仿宋_GB2312" w:hAnsi="Times New Roman" w:eastAsia="仿宋_GB2312" w:cs="Times New Roman"/>
          <w:b/>
          <w:iCs/>
          <w:sz w:val="28"/>
          <w:szCs w:val="21"/>
        </w:rPr>
        <w:t xml:space="preserve">  吐鲁番市鄯善县生态环境准入清单</w:t>
      </w:r>
    </w:p>
    <w:tbl>
      <w:tblPr>
        <w:tblStyle w:val="37"/>
        <w:tblW w:w="210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1984"/>
        <w:gridCol w:w="1247"/>
        <w:gridCol w:w="1135"/>
        <w:gridCol w:w="8958"/>
        <w:gridCol w:w="5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blHeader/>
          <w:jc w:val="center"/>
        </w:trPr>
        <w:tc>
          <w:tcPr>
            <w:tcW w:w="2122"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b/>
                <w:bCs/>
                <w:lang w:bidi="en-US"/>
              </w:rPr>
              <w:t>环境管控单元编码</w:t>
            </w:r>
          </w:p>
        </w:tc>
        <w:tc>
          <w:tcPr>
            <w:tcW w:w="1984" w:type="dxa"/>
            <w:shd w:val="clear" w:color="auto" w:fill="auto"/>
            <w:vAlign w:val="center"/>
          </w:tcPr>
          <w:p>
            <w:pPr>
              <w:jc w:val="center"/>
              <w:rPr>
                <w:rFonts w:ascii="仿宋_GB2312" w:hAnsi="仿宋" w:eastAsia="仿宋_GB2312" w:cs="仿宋"/>
                <w:b/>
                <w:bCs/>
                <w:lang w:bidi="en-US"/>
              </w:rPr>
            </w:pPr>
            <w:r>
              <w:rPr>
                <w:rFonts w:hint="eastAsia" w:ascii="仿宋_GB2312" w:hAnsi="仿宋" w:eastAsia="仿宋_GB2312" w:cs="仿宋"/>
                <w:b/>
                <w:bCs/>
                <w:lang w:bidi="en-US"/>
              </w:rPr>
              <w:t>环境管控单元名称</w:t>
            </w:r>
          </w:p>
        </w:tc>
        <w:tc>
          <w:tcPr>
            <w:tcW w:w="1247"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仿宋" w:eastAsia="仿宋_GB2312" w:cs="仿宋"/>
                <w:b/>
                <w:bCs/>
                <w:lang w:bidi="en-US"/>
              </w:rPr>
              <w:t>环境管控单元类别</w:t>
            </w:r>
          </w:p>
        </w:tc>
        <w:tc>
          <w:tcPr>
            <w:tcW w:w="10093" w:type="dxa"/>
            <w:gridSpan w:val="2"/>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b/>
                <w:bCs/>
                <w:lang w:bidi="en-US"/>
              </w:rPr>
              <w:t>管控要求</w:t>
            </w:r>
          </w:p>
        </w:tc>
        <w:tc>
          <w:tcPr>
            <w:tcW w:w="5647" w:type="dxa"/>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b/>
                <w:bCs/>
                <w:lang w:bidi="en-US"/>
              </w:rPr>
              <w:t>编制理由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ZH65042110001</w:t>
            </w:r>
          </w:p>
        </w:tc>
        <w:tc>
          <w:tcPr>
            <w:tcW w:w="198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Times New Roman" w:hAnsi="Times New Roman" w:eastAsia="仿宋_GB2312" w:cs="Times New Roman"/>
                <w:lang w:bidi="en-US"/>
              </w:rPr>
              <w:t>鄯善县</w:t>
            </w:r>
            <w:r>
              <w:rPr>
                <w:rFonts w:ascii="Times New Roman" w:hAnsi="Times New Roman" w:eastAsia="仿宋_GB2312" w:cs="Times New Roman"/>
                <w:lang w:bidi="en-US"/>
              </w:rPr>
              <w:t>库木塔格</w:t>
            </w:r>
            <w:r>
              <w:rPr>
                <w:rFonts w:hint="eastAsia" w:ascii="Times New Roman" w:hAnsi="Times New Roman" w:eastAsia="仿宋_GB2312" w:cs="Times New Roman"/>
                <w:lang w:bidi="en-US"/>
              </w:rPr>
              <w:t>国家级风景名胜区</w:t>
            </w:r>
            <w:r>
              <w:rPr>
                <w:rFonts w:ascii="Times New Roman" w:hAnsi="Times New Roman" w:eastAsia="仿宋_GB2312" w:cs="Times New Roman"/>
                <w:lang w:bidi="en-US"/>
              </w:rPr>
              <w:t>生态保护红线区</w:t>
            </w:r>
          </w:p>
        </w:tc>
        <w:tc>
          <w:tcPr>
            <w:tcW w:w="1247"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135"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执行风景名胜区的相关法律法规的要求。包括在风景名胜区内禁止进行下列活动：开山、采石、开矿、开荒、修坟立碑等破坏景观、植被和地形地貌的活动；修建储存爆炸性、易燃性、放射性、毒害性、腐蚀性物品的设施；在景物或者设施上刻划、涂污；乱扔垃圾。禁止违反风景名胜区规划，在风景名胜区内设立各类开发区和在核心景区内建设宾馆、招待所、培训中心、疗养院以及与风景名胜资源保护无关的其他建筑物。在风景名胜区内进行下列活动，应当经风景名胜区管理机构审核后，依照有关法律、法规的规定报有关主管部门批准：设置、张贴商业广告；举办大型游乐等活动；改变水资源、水环境自然状态的活动；其他影响生态和景观的活动。</w:t>
            </w:r>
          </w:p>
        </w:tc>
        <w:tc>
          <w:tcPr>
            <w:tcW w:w="5647"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生态保护红线区，为库木塔格国家级沙漠公园</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生态保护红线区、大气环境优先保护区</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《中华人民共和国环境保护法》、《国家沙漠公园管理办法》、《新疆维吾尔自治区环境保护条例》、《新疆维吾尔自治区风景名胜区管理条例》、《关于划定并严守生态保护红线的若干意见》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ZH65042110002</w:t>
            </w:r>
          </w:p>
        </w:tc>
        <w:tc>
          <w:tcPr>
            <w:tcW w:w="198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Times New Roman" w:hAnsi="Times New Roman" w:eastAsia="仿宋_GB2312" w:cs="Times New Roman"/>
                <w:lang w:bidi="en-US"/>
              </w:rPr>
              <w:t>鄯善县</w:t>
            </w:r>
            <w:r>
              <w:rPr>
                <w:rFonts w:ascii="Times New Roman" w:hAnsi="Times New Roman" w:eastAsia="仿宋_GB2312" w:cs="Times New Roman"/>
                <w:lang w:bidi="en-US"/>
              </w:rPr>
              <w:t>天山水源涵养与生物多样性维护生态保护红线区</w:t>
            </w:r>
          </w:p>
        </w:tc>
        <w:tc>
          <w:tcPr>
            <w:tcW w:w="1247"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135"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推进天然林保护和围栏封育，维护与重建森林、草原等生态系统，严格保护具有水源涵养功能的植被。</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禁止对野生动植物进行滥捕、乱采和乱猎。保护自然生态系统与重要物种栖息地，</w:t>
            </w:r>
            <w:r>
              <w:rPr>
                <w:rFonts w:ascii="仿宋_GB2312" w:hAnsi="Times New Roman" w:eastAsia="仿宋_GB2312" w:cs="Times New Roman"/>
                <w:lang w:bidi="en-US"/>
              </w:rPr>
              <w:t>加强生态建设和管理，减少人为干扰，对其进行封禁，要维持好天然草地的生态平衡，保护好现有野生动植物生存环境。</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4.开展多种形式的民间生物多样性就地保护；继续实施退牧还草工程，通过禁牧封育、轮封轮牧等措施，限制超载放牧等活动，加强草原生态系统保护。</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5</w:t>
            </w:r>
            <w:r>
              <w:rPr>
                <w:rFonts w:ascii="仿宋_GB2312" w:hAnsi="Times New Roman" w:eastAsia="仿宋_GB2312" w:cs="Times New Roman"/>
                <w:lang w:bidi="en-US"/>
              </w:rPr>
              <w:t>.</w:t>
            </w:r>
            <w:r>
              <w:rPr>
                <w:rFonts w:hint="eastAsia" w:ascii="仿宋_GB2312" w:hAnsi="Times New Roman" w:eastAsia="仿宋_GB2312" w:cs="Times New Roman"/>
                <w:lang w:bidi="en-US"/>
              </w:rPr>
              <w:t>减少人类活动、人类扰动对冰川的影响。推进冰川区生态监测。</w:t>
            </w:r>
          </w:p>
        </w:tc>
        <w:tc>
          <w:tcPr>
            <w:tcW w:w="5647"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生态保护红线区，涉及冰川及永久积雪</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生态保护红线区、水环境优先保护区、大气环境优先保护区</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《中华人民共和国环境保护法》、《新疆维吾尔自治区环境保护条例》、《关于划定并严守生态保护红线的若干意见》</w:t>
            </w:r>
            <w:r>
              <w:rPr>
                <w:rFonts w:hint="eastAsia" w:ascii="仿宋_GB2312" w:hAnsi="仿宋" w:eastAsia="仿宋_GB2312" w:cs="仿宋"/>
                <w:bCs/>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ZH65042110003</w:t>
            </w:r>
          </w:p>
        </w:tc>
        <w:tc>
          <w:tcPr>
            <w:tcW w:w="198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Times New Roman" w:hAnsi="Times New Roman" w:eastAsia="仿宋_GB2312" w:cs="Times New Roman"/>
                <w:lang w:bidi="en-US"/>
              </w:rPr>
              <w:t>鄯善县新疆江布拉克国家森林公园优先保护单元</w:t>
            </w:r>
          </w:p>
        </w:tc>
        <w:tc>
          <w:tcPr>
            <w:tcW w:w="1247"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135"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执行森林公园的相关法律法规的要求。禁止毁林开垦和毁林采石、采砂、采土以及其他毁林行为；</w:t>
            </w:r>
            <w:r>
              <w:rPr>
                <w:rFonts w:ascii="仿宋_GB2312" w:hAnsi="Times New Roman" w:eastAsia="仿宋_GB2312" w:cs="Times New Roman"/>
                <w:lang w:bidi="en-US"/>
              </w:rPr>
              <w:t>采伐森林公园的林木，必须遵守有关林业法规、经营方案和技术规程的规定。</w:t>
            </w:r>
            <w:r>
              <w:rPr>
                <w:rFonts w:hint="eastAsia" w:ascii="仿宋_GB2312" w:hAnsi="Times New Roman" w:eastAsia="仿宋_GB2312" w:cs="Times New Roman"/>
                <w:lang w:bidi="en-US"/>
              </w:rPr>
              <w:t>禁止在幼林地和特种用途林内砍柴、放牧。在珍贵景物、重要景点和核心景区，除必要的保护和附属设施外，不得建设宾馆、招待所、疗养院和其他工程设施。国家级森林公园内的建设项目应当符合总体规划的要求，其选址、规模、风格和色彩等应当与周边景观与环境相协调，相应的废水、废物处理和防火设施应当同时设计、同时施工、同时使用。</w:t>
            </w:r>
          </w:p>
        </w:tc>
        <w:tc>
          <w:tcPr>
            <w:tcW w:w="5647"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生态保护红线区，涉及</w:t>
            </w:r>
            <w:r>
              <w:rPr>
                <w:rFonts w:hint="eastAsia" w:ascii="Times New Roman" w:hAnsi="Times New Roman" w:eastAsia="仿宋_GB2312" w:cs="Times New Roman"/>
                <w:lang w:bidi="en-US"/>
              </w:rPr>
              <w:t>新疆江布拉克国家森林公园（鄯善县境内部分）</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生态保护红线区、水环境优先保护区、大气环境优先保护区</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《中华人民共和国环境保护法》、《中华人民共和国森林法》、《森林公园管理办法》、《新疆维吾尔自治区环境保护条例》、《关于划定并严守生态保护红线的若干意见》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ZH65042110004</w:t>
            </w:r>
          </w:p>
        </w:tc>
        <w:tc>
          <w:tcPr>
            <w:tcW w:w="198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鄯善县新疆罗布泊野骆驼国家级自然保护区优先保护单元</w:t>
            </w:r>
          </w:p>
        </w:tc>
        <w:tc>
          <w:tcPr>
            <w:tcW w:w="1247"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135"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执行自然保护区的相关法律法规的要求。禁止在自然保护区内进行砍伐、放牧、狩猎、捕捞、采药、开垦、烧荒、开矿、采石、挖沙等活动；但是，法律、行政法规另有规定的除外。在自然保护区的实验区内，不得建设污染环境、破坏资源或者景观的生产设施；建设其他项目，其污染物排放不得超过国家和地方规定的污染物排放标准。在自然保护区的实验区内开展参观、旅游活动的，由自然保护区管理机构编制方案，方案应当符合自然保护区管理目标。严禁开设与自然保护区保护方向不一致的参观、旅游项目。</w:t>
            </w:r>
          </w:p>
        </w:tc>
        <w:tc>
          <w:tcPr>
            <w:tcW w:w="5647"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生态保护红线区，为新疆罗布泊野骆驼国家级自然保护区(国家级)实验区</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生态保护红线区、大气环境优先保护区</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《中华人民共和国环境保护法》、《中华人民共和国自然保护区条例》、《新疆维吾尔自治区环境保护条例》、《关于划定并严守生态保护红线的若干意见》</w:t>
            </w:r>
            <w:r>
              <w:rPr>
                <w:rFonts w:hint="eastAsia" w:ascii="仿宋_GB2312" w:hAnsi="仿宋" w:eastAsia="仿宋_GB2312" w:cs="仿宋"/>
                <w:bCs/>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ZH65042110005</w:t>
            </w:r>
          </w:p>
        </w:tc>
        <w:tc>
          <w:tcPr>
            <w:tcW w:w="198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鄯善县一般生态空间</w:t>
            </w:r>
          </w:p>
        </w:tc>
        <w:tc>
          <w:tcPr>
            <w:tcW w:w="1247"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135"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w:t>
            </w:r>
            <w:r>
              <w:rPr>
                <w:rFonts w:hint="eastAsia" w:ascii="仿宋_GB2312" w:hAnsi="Times New Roman" w:eastAsia="仿宋_GB2312" w:cs="Times New Roman"/>
                <w:lang w:bidi="en-US"/>
              </w:rPr>
              <w:t>.开展防沙治沙为主的生态修复工作。加强沙丘流动及天然林保护，禁止毁林开垦、吞食林地和非法占用林地；加强防护林建设，开展绿洲外围的荒漠区生态治理和绿洲内部退化林修复，推进沙化草原治理工作。</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严格保护具有水源涵养功能的植被。任何单位和个人不得在水源涵养区、饮用水水源保护区内和河流、湖泊、水库周围建设重化工、涉重金属等工业污染项目。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全面实施退耕还林、退牧还草工程。在水土流失严重并可能对当地或下游造成严重危害的区域实施水土保持工程，进行重点治理。严格资源开发和建设项目的生态监管，控制新的人为水土流失。</w:t>
            </w:r>
            <w:r>
              <w:rPr>
                <w:rFonts w:ascii="仿宋_GB2312" w:hAnsi="Times New Roman" w:eastAsia="仿宋_GB2312" w:cs="Times New Roman"/>
                <w:lang w:bidi="en-US"/>
              </w:rPr>
              <w:t>生产建设项目选址、选线应当避让水土流失重点预防区和重点治理区；无法避让的，应当提高防治标准，优化施工工艺，减少地表扰动和植被损坏范围，有效控制可能造成的水土流失</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调整传统的畜牧业生产方式，加快规模化圈养牧业的发展，控制放养对草地生态系统的损害。积极推进草畜平衡科学管理办法，限制养殖规模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.加强南部荒漠区域的治理工作。</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.加强水资源管控，严格限制地下水开采，提高农业用水效率。</w:t>
            </w:r>
          </w:p>
        </w:tc>
        <w:tc>
          <w:tcPr>
            <w:tcW w:w="5647"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lang w:bidi="en-US"/>
              </w:rPr>
              <w:t>一般</w:t>
            </w:r>
            <w:r>
              <w:rPr>
                <w:rFonts w:hint="eastAsia" w:ascii="仿宋_GB2312" w:hAnsi="仿宋" w:eastAsia="仿宋_GB2312" w:cs="仿宋"/>
                <w:bCs/>
                <w:lang w:bidi="en-US"/>
              </w:rPr>
              <w:t>生态空间，根据评估该单元涉及水源涵养重要区、土地沙化敏感区、水土流失敏感区</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一般生态空间</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《全国主体功能区划》、《关于贯彻实施国家主体功能区环境政策的若干意见》、《新疆维吾尔自治区主体功能区规划》、《新疆维吾尔自治区环境保护条例》</w:t>
            </w:r>
            <w:r>
              <w:rPr>
                <w:rFonts w:hint="eastAsia" w:ascii="仿宋_GB2312" w:hAnsi="仿宋" w:eastAsia="仿宋_GB2312" w:cs="仿宋"/>
                <w:bCs/>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restart"/>
            <w:shd w:val="clear" w:color="auto" w:fill="auto"/>
            <w:vAlign w:val="center"/>
          </w:tcPr>
          <w:p>
            <w:pPr>
              <w:adjustRightInd w:val="0"/>
              <w:snapToGrid w:val="0"/>
              <w:rPr>
                <w:rFonts w:ascii="仿宋_GB2312" w:hAnsi="Times New Roman" w:eastAsia="仿宋_GB2312" w:cs="Times New Roman"/>
                <w:b/>
                <w:bCs/>
                <w:lang w:bidi="en-US"/>
              </w:rPr>
            </w:pPr>
            <w:bookmarkStart w:id="16" w:name="_Hlk71483854"/>
            <w:r>
              <w:rPr>
                <w:rFonts w:hint="eastAsia" w:ascii="仿宋_GB2312" w:hAnsi="Times New Roman" w:eastAsia="仿宋_GB2312" w:cs="Times New Roman"/>
                <w:bCs/>
                <w:lang w:bidi="en-US"/>
              </w:rPr>
              <w:t>ZH65042120001</w:t>
            </w:r>
          </w:p>
        </w:tc>
        <w:tc>
          <w:tcPr>
            <w:tcW w:w="1984" w:type="dxa"/>
            <w:vMerge w:val="restart"/>
            <w:shd w:val="clear" w:color="auto" w:fill="auto"/>
            <w:vAlign w:val="center"/>
          </w:tcPr>
          <w:p>
            <w:pPr>
              <w:adjustRightInd w:val="0"/>
              <w:snapToGrid w:val="0"/>
              <w:rPr>
                <w:rFonts w:ascii="仿宋_GB2312" w:hAnsi="Times New Roman" w:eastAsia="仿宋_GB2312" w:cs="Times New Roman"/>
                <w:b/>
                <w:bCs/>
                <w:lang w:bidi="en-US"/>
              </w:rPr>
            </w:pPr>
            <w:r>
              <w:rPr>
                <w:rFonts w:ascii="Times New Roman" w:hAnsi="Times New Roman" w:eastAsia="仿宋_GB2312" w:cs="Times New Roman"/>
              </w:rPr>
              <w:t>鄯善工业园区重点管控单元</w:t>
            </w:r>
          </w:p>
        </w:tc>
        <w:tc>
          <w:tcPr>
            <w:tcW w:w="1247" w:type="dxa"/>
            <w:vMerge w:val="restart"/>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重点管控单元</w:t>
            </w: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仿宋_GB2312" w:hAnsi="仿宋" w:eastAsia="仿宋_GB2312" w:cs="仿宋"/>
                <w:bCs/>
                <w:lang w:bidi="en-US"/>
              </w:rPr>
              <w:t xml:space="preserve"> 新</w:t>
            </w:r>
            <w:r>
              <w:rPr>
                <w:rFonts w:hint="eastAsia" w:ascii="仿宋_GB2312" w:hAnsi="仿宋" w:eastAsia="仿宋_GB2312" w:cs="仿宋"/>
                <w:bCs/>
                <w:lang w:bidi="en-US"/>
              </w:rPr>
              <w:t>建、扩建、改</w:t>
            </w:r>
            <w:r>
              <w:rPr>
                <w:rFonts w:ascii="仿宋_GB2312" w:hAnsi="仿宋" w:eastAsia="仿宋_GB2312" w:cs="仿宋"/>
                <w:bCs/>
                <w:lang w:bidi="en-US"/>
              </w:rPr>
              <w:t>建</w:t>
            </w:r>
            <w:r>
              <w:rPr>
                <w:rFonts w:ascii="仿宋_GB2312" w:hAnsi="Times New Roman" w:eastAsia="仿宋_GB2312" w:cs="Times New Roman"/>
                <w:lang w:bidi="en-US"/>
              </w:rPr>
              <w:t>企业要符合工业园区规划及规划环评要求。</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禁止高耗水项目。</w:t>
            </w:r>
          </w:p>
          <w:p>
            <w:pPr>
              <w:adjustRightInd w:val="0"/>
              <w:snapToGrid w:val="0"/>
              <w:rPr>
                <w:rFonts w:ascii="仿宋_GB2312" w:hAnsi="Times New Roman" w:eastAsia="仿宋_GB2312" w:cs="Times New Roman"/>
                <w:b/>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位于坎儿井群上游，禁止建设机电井。</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该管控单元主要为鄯善工业园区，主要产业为石油天然气精细化工、无机盐化工、煤电煤化工</w:t>
            </w:r>
          </w:p>
          <w:p>
            <w:pPr>
              <w:adjustRightInd w:val="0"/>
              <w:snapToGrid w:val="0"/>
              <w:rPr>
                <w:rFonts w:ascii="仿宋_GB2312" w:hAnsi="Times New Roman" w:eastAsia="仿宋_GB2312" w:cs="Times New Roman"/>
                <w:lang w:bidi="en-US"/>
              </w:rPr>
            </w:pPr>
            <w:r>
              <w:rPr>
                <w:rFonts w:hint="eastAsia" w:ascii="仿宋_GB2312" w:hAnsi="仿宋" w:eastAsia="仿宋_GB2312" w:cs="仿宋"/>
                <w:b/>
                <w:bCs/>
                <w:lang w:bidi="en-US"/>
              </w:rPr>
              <w:t>要素属性：</w:t>
            </w:r>
            <w:r>
              <w:rPr>
                <w:rFonts w:hint="eastAsia" w:ascii="仿宋_GB2312" w:hAnsi="Times New Roman" w:eastAsia="仿宋_GB2312" w:cs="Times New Roman"/>
                <w:lang w:bidi="en-US"/>
              </w:rPr>
              <w:t>大气环境高排放重点管控区、土壤污染风险重点管控区</w:t>
            </w:r>
          </w:p>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
                <w:bCs/>
                <w:lang w:bidi="en-US"/>
              </w:rPr>
              <w:t>相关要求：</w:t>
            </w:r>
            <w:r>
              <w:rPr>
                <w:rFonts w:hint="eastAsia" w:ascii="仿宋_GB2312" w:hAnsi="仿宋" w:eastAsia="仿宋_GB2312" w:cs="仿宋"/>
                <w:lang w:bidi="en-US"/>
              </w:rPr>
              <w:t>《中华人民共和国土壤污染防治法》</w:t>
            </w:r>
            <w:r>
              <w:rPr>
                <w:rFonts w:hint="eastAsia" w:ascii="仿宋_GB2312" w:hAnsi="仿宋" w:eastAsia="仿宋_GB2312" w:cs="仿宋"/>
                <w:b/>
                <w:bCs/>
                <w:lang w:bidi="en-US"/>
              </w:rPr>
              <w:t>、</w:t>
            </w:r>
            <w:r>
              <w:rPr>
                <w:rFonts w:hint="eastAsia" w:ascii="仿宋_GB2312" w:hAnsi="Times New Roman" w:eastAsia="仿宋_GB2312" w:cs="Times New Roman"/>
                <w:lang w:bidi="en-US"/>
              </w:rPr>
              <w:t>《污染地块土壤环境管理办法》、</w:t>
            </w:r>
            <w:r>
              <w:rPr>
                <w:rFonts w:hint="eastAsia" w:ascii="仿宋_GB2312" w:hAnsi="仿宋" w:eastAsia="仿宋_GB2312" w:cs="仿宋"/>
                <w:lang w:bidi="en-US"/>
              </w:rPr>
              <w:t>《新疆维吾尔自治区坎儿井保护条例》、《新疆维吾尔自治区水污染防治工作方案》、《吐鲁番市生态环境保护“十四五”规划》、《吐鲁番市大气环境质量限期达标规划》、《吐鲁番市打赢蓝天保卫战三年行动计划实施方案（2018-2020）》、《吐鲁番市水污染防治总体实施方案》、</w:t>
            </w:r>
            <w:r>
              <w:rPr>
                <w:rFonts w:hint="eastAsia" w:ascii="仿宋_GB2312" w:hAnsi="Times New Roman" w:eastAsia="仿宋_GB2312" w:cs="Times New Roman"/>
                <w:lang w:bidi="en-US"/>
              </w:rPr>
              <w:t>《吐鲁番市土壤污染防治工作方案》、</w:t>
            </w:r>
            <w:r>
              <w:rPr>
                <w:rFonts w:hint="eastAsia" w:ascii="仿宋_GB2312" w:hAnsi="仿宋" w:eastAsia="仿宋_GB2312" w:cs="仿宋"/>
                <w:lang w:bidi="en-US"/>
              </w:rPr>
              <w:t>《鄯善县打赢蓝天保卫战三年行动计划实施方案（2018-2020）》、《鄯善县水污染防治工作方案》、</w:t>
            </w:r>
            <w:r>
              <w:rPr>
                <w:rFonts w:hint="eastAsia" w:ascii="仿宋_GB2312" w:hAnsi="Times New Roman" w:eastAsia="仿宋_GB2312" w:cs="Times New Roman"/>
                <w:lang w:bidi="en-US"/>
              </w:rPr>
              <w:t>《新疆鄯善高新技术产业园区（鄯善工业园区）总体规划》及规划环评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污染物排放管控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1.对园区的SO</w:t>
            </w:r>
            <w:r>
              <w:rPr>
                <w:rFonts w:hint="eastAsia" w:ascii="仿宋_GB2312" w:hAnsi="Times New Roman" w:eastAsia="仿宋_GB2312" w:cs="Times New Roman"/>
                <w:vertAlign w:val="subscript"/>
                <w:lang w:bidi="en-US"/>
              </w:rPr>
              <w:t>2</w:t>
            </w:r>
            <w:r>
              <w:rPr>
                <w:rFonts w:hint="eastAsia" w:ascii="仿宋_GB2312" w:hAnsi="Times New Roman" w:eastAsia="仿宋_GB2312" w:cs="Times New Roman"/>
                <w:lang w:bidi="en-US"/>
              </w:rPr>
              <w:t>、N</w:t>
            </w:r>
            <w:r>
              <w:rPr>
                <w:rFonts w:ascii="仿宋_GB2312" w:hAnsi="Times New Roman" w:eastAsia="仿宋_GB2312" w:cs="Times New Roman"/>
                <w:lang w:bidi="en-US"/>
              </w:rPr>
              <w:t>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、烟粉尘和V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新建燃煤发电机组实现超低排放</w:t>
            </w:r>
            <w:r>
              <w:rPr>
                <w:rFonts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3.推进工业炉窑全面达标排放，严格执行行业排放标准、加大污染治理力度。</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4.加快推进化工行业VOCs综合治理，加大煤化工（含现代煤化工、炼焦、合成氨等）、橡胶制品、涂料、油墨、胶粘剂、染料、化学助剂（塑料助剂和橡胶助剂）等化工行业VOCs治理力度。</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加强工艺过程除尘设施配置，全面控制工业烟粉尘排放。大型煤堆、料堆场建立密闭料仓与传送装置。推进建筑工地绿色施工，建设工程施工现场必须设置围挡墙，严禁敞开式作业；加强车辆密闭运输监督管理。</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.实施热电联产或天然气、太阳能等清洁能源供热，将工业企业纳入集中供热范围，逐步淘汰小型燃煤锅炉。</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7.</w:t>
            </w:r>
            <w:r>
              <w:rPr>
                <w:rFonts w:ascii="Times New Roman" w:hAnsi="Times New Roman" w:eastAsia="仿宋_GB2312" w:cs="Times New Roman"/>
                <w:lang w:bidi="en-US"/>
              </w:rPr>
              <w:t>加强对鄯善工业园区内企业的废水、废气中重金属的污染防控措施，严格执行重金属总量控制政策。</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8</w:t>
            </w:r>
            <w:r>
              <w:rPr>
                <w:rFonts w:hint="eastAsia" w:ascii="仿宋_GB2312" w:hAnsi="Times New Roman" w:eastAsia="仿宋_GB2312" w:cs="Times New Roman"/>
                <w:lang w:bidi="en-US"/>
              </w:rPr>
              <w:t>.推进污水集中处理设施及再生水回用系统；完善污水管网建设，加强对各企业排放的污废水的监控，禁止在园内设置排污口。</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9</w:t>
            </w:r>
            <w:r>
              <w:rPr>
                <w:rFonts w:hint="eastAsia" w:ascii="仿宋_GB2312" w:hAnsi="Times New Roman" w:eastAsia="仿宋_GB2312" w:cs="Times New Roman"/>
                <w:lang w:bidi="en-US"/>
              </w:rPr>
              <w:t>.对污染地块和列入疑似污染地块名单的地块，严格按照《污染地块土壤环境管理办法》等相关法律法规管理。</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10.</w:t>
            </w:r>
            <w:r>
              <w:rPr>
                <w:rFonts w:hint="eastAsia" w:ascii="仿宋_GB2312" w:hAnsi="Times New Roman" w:eastAsia="仿宋_GB2312" w:cs="Times New Roman"/>
                <w:lang w:bidi="en-US"/>
              </w:rPr>
              <w:t>位于坎儿井群上游，应优化配置水资源，加强地下水的监测和管理，采取有效措施防止地下水位持续下降。</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环境风险防控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1.强化有毒有害原辅材料运输、储存、使用等过程的监管；做好厂区、渣场等的分区防渗措施。</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2.定期排查废水污染治理设施建设运行情况、并做好防腐防渗措施；园区污水集中处理设施安装自动在线监控装置；加强园区下游的水质监测。</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在化工区和有色区设置雨水监控和事故应急池，并采取防渗措施。</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ascii="Times New Roman" w:hAnsi="Times New Roman" w:eastAsia="仿宋_GB2312" w:cs="Times New Roman"/>
                <w:lang w:bidi="en-US"/>
              </w:rPr>
              <w:t>严格污染地块开发利用和流转审批。按照国家有关环境标淮和技术规范，编制风险管控方案</w:t>
            </w:r>
            <w:r>
              <w:rPr>
                <w:rFonts w:hint="eastAsia" w:ascii="Times New Roman"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资源利用效率</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1.加强煤炭清洁高效利用，推广使用优质煤、洁净型煤；严把耗煤新项目准入关，控制煤炭消费总量。</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2.严格实施用水管理。新建、</w:t>
            </w:r>
            <w:r>
              <w:rPr>
                <w:rFonts w:hint="eastAsia" w:ascii="仿宋_GB2312" w:hAnsi="仿宋" w:eastAsia="仿宋_GB2312" w:cs="仿宋"/>
                <w:bCs/>
                <w:lang w:bidi="en-US"/>
              </w:rPr>
              <w:t>扩建、改</w:t>
            </w:r>
            <w:r>
              <w:rPr>
                <w:rFonts w:ascii="仿宋_GB2312" w:hAnsi="仿宋" w:eastAsia="仿宋_GB2312" w:cs="仿宋"/>
                <w:bCs/>
                <w:lang w:bidi="en-US"/>
              </w:rPr>
              <w:t>建</w:t>
            </w:r>
            <w:r>
              <w:rPr>
                <w:rFonts w:hint="eastAsia" w:ascii="仿宋_GB2312" w:hAnsi="Times New Roman" w:eastAsia="仿宋_GB2312" w:cs="Times New Roman"/>
                <w:lang w:bidi="en-US"/>
              </w:rPr>
              <w:t>项目用水要达到行业先进水平，节水设施应与主体工程同时设计、同时施工、同时投运。</w:t>
            </w:r>
          </w:p>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lang w:bidi="en-US"/>
              </w:rPr>
              <w:t>3.提高工业用水效率，提高工业用水重复利用率和中水回用率，满足国家政策和环评要求。</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bookmarkEnd w:id="1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ZH65042120002</w:t>
            </w:r>
          </w:p>
        </w:tc>
        <w:tc>
          <w:tcPr>
            <w:tcW w:w="198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eastAsia="仿宋_GB2312"/>
                <w:lang w:bidi="en-US"/>
              </w:rPr>
              <w:t>鄯善县土壤风险重点管控单元</w:t>
            </w:r>
          </w:p>
        </w:tc>
        <w:tc>
          <w:tcPr>
            <w:tcW w:w="1247" w:type="dxa"/>
            <w:vMerge w:val="restart"/>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重点管控单元</w:t>
            </w:r>
          </w:p>
        </w:tc>
        <w:tc>
          <w:tcPr>
            <w:tcW w:w="1135"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1.严格污染地块和疑似污染地块的开发利用和流转审批，用途拟变更为居住用地和商业、学校、医疗、养老机构等公共设施用地需按照《污染地块土壤环境管理办法》开展相关调查、评估、治理与修复等活动。</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涉及多个疑似污染地块等</w:t>
            </w:r>
          </w:p>
          <w:p>
            <w:pPr>
              <w:adjustRightInd w:val="0"/>
              <w:snapToGrid w:val="0"/>
              <w:rPr>
                <w:rFonts w:ascii="仿宋_GB2312" w:hAnsi="Times New Roman" w:eastAsia="仿宋_GB2312" w:cs="Times New Roman"/>
                <w:lang w:bidi="en-US"/>
              </w:rPr>
            </w:pPr>
            <w:r>
              <w:rPr>
                <w:rFonts w:hint="eastAsia" w:ascii="仿宋_GB2312" w:hAnsi="仿宋" w:eastAsia="仿宋_GB2312" w:cs="仿宋"/>
                <w:b/>
                <w:bCs/>
                <w:lang w:bidi="en-US"/>
              </w:rPr>
              <w:t>要素属性：</w:t>
            </w:r>
            <w:r>
              <w:rPr>
                <w:rFonts w:hint="eastAsia" w:ascii="仿宋_GB2312" w:hAnsi="Times New Roman" w:eastAsia="仿宋_GB2312" w:cs="Times New Roman"/>
                <w:lang w:bidi="en-US"/>
              </w:rPr>
              <w:t>土壤污染风险重点管控区</w:t>
            </w:r>
          </w:p>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
                <w:bCs/>
                <w:lang w:bidi="en-US"/>
              </w:rPr>
              <w:t>相关要求：</w:t>
            </w:r>
            <w:r>
              <w:rPr>
                <w:rFonts w:hint="eastAsia" w:ascii="仿宋_GB2312" w:hAnsi="仿宋" w:eastAsia="仿宋_GB2312" w:cs="仿宋"/>
                <w:lang w:bidi="en-US"/>
              </w:rPr>
              <w:t>《中华人民共和国土壤污染防治法》</w:t>
            </w:r>
            <w:r>
              <w:rPr>
                <w:rFonts w:hint="eastAsia" w:ascii="仿宋_GB2312" w:hAnsi="仿宋" w:eastAsia="仿宋_GB2312" w:cs="仿宋"/>
                <w:b/>
                <w:bCs/>
                <w:lang w:bidi="en-US"/>
              </w:rPr>
              <w:t>、</w:t>
            </w:r>
            <w:r>
              <w:rPr>
                <w:rFonts w:hint="eastAsia" w:ascii="仿宋_GB2312" w:hAnsi="Times New Roman" w:eastAsia="仿宋_GB2312" w:cs="Times New Roman"/>
                <w:lang w:bidi="en-US"/>
              </w:rPr>
              <w:t>《污染地块土壤环境管理办法》、《吐鲁番市土壤污染防治工作方案》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格按照《污染地块土壤环境管理办法》等相关法律法规管理；所在地县级环境保护主管部门应当书面通知土地使用权人，土地使用权人应当自接到书面通知之日起六个月内完成土壤环境初步调查，编制调查报告，及时上传污染地块信息系统，并将调查报告主要内容通过其网站等便于公众知晓的方式向社会公开。</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2.拆除设施、设备或者建筑物、构筑物的，应当制定包括应急措施在内的土壤污染防治工作方案，报地方人民政府生态环境、工业和信息化主管部门备案并实施。</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1.严格污染地块开发利用和流转审批。按照国家有关环境标淮和技术规范，编制风险管控方案。</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restart"/>
            <w:shd w:val="clear" w:color="auto" w:fill="auto"/>
            <w:vAlign w:val="center"/>
          </w:tcPr>
          <w:p>
            <w:pPr>
              <w:adjustRightInd w:val="0"/>
              <w:snapToGrid w:val="0"/>
              <w:rPr>
                <w:rFonts w:ascii="仿宋_GB2312" w:hAnsi="Times New Roman" w:eastAsia="仿宋_GB2312" w:cs="Times New Roman"/>
                <w:bCs/>
                <w:lang w:bidi="en-US"/>
              </w:rPr>
            </w:pPr>
            <w:bookmarkStart w:id="17" w:name="_Hlk71484283"/>
            <w:r>
              <w:rPr>
                <w:rFonts w:hint="eastAsia" w:ascii="仿宋_GB2312" w:hAnsi="Times New Roman" w:eastAsia="仿宋_GB2312" w:cs="Times New Roman"/>
                <w:bCs/>
                <w:lang w:bidi="en-US"/>
              </w:rPr>
              <w:t>ZH65042120003</w:t>
            </w:r>
          </w:p>
        </w:tc>
        <w:tc>
          <w:tcPr>
            <w:tcW w:w="198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rPr>
              <w:t>鄯善县鄯善石材园区重点管控单元</w:t>
            </w:r>
          </w:p>
        </w:tc>
        <w:tc>
          <w:tcPr>
            <w:tcW w:w="1247" w:type="dxa"/>
            <w:vMerge w:val="restart"/>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重点管控单元</w:t>
            </w:r>
          </w:p>
        </w:tc>
        <w:tc>
          <w:tcPr>
            <w:tcW w:w="1135"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仿宋_GB2312" w:hAnsi="仿宋" w:eastAsia="仿宋_GB2312" w:cs="仿宋"/>
                <w:bCs/>
                <w:lang w:bidi="en-US"/>
              </w:rPr>
              <w:t>新</w:t>
            </w:r>
            <w:r>
              <w:rPr>
                <w:rFonts w:hint="eastAsia" w:ascii="仿宋_GB2312" w:hAnsi="仿宋" w:eastAsia="仿宋_GB2312" w:cs="仿宋"/>
                <w:bCs/>
                <w:lang w:bidi="en-US"/>
              </w:rPr>
              <w:t>建、扩建、改</w:t>
            </w:r>
            <w:r>
              <w:rPr>
                <w:rFonts w:ascii="仿宋_GB2312" w:hAnsi="仿宋" w:eastAsia="仿宋_GB2312" w:cs="仿宋"/>
                <w:bCs/>
                <w:lang w:bidi="en-US"/>
              </w:rPr>
              <w:t>建</w:t>
            </w:r>
            <w:r>
              <w:rPr>
                <w:rFonts w:ascii="仿宋_GB2312" w:hAnsi="Times New Roman" w:eastAsia="仿宋_GB2312" w:cs="Times New Roman"/>
                <w:lang w:bidi="en-US"/>
              </w:rPr>
              <w:t>企业要符合工业园区规划及规划环评要求</w:t>
            </w:r>
            <w:r>
              <w:rPr>
                <w:rFonts w:hint="eastAsia" w:ascii="仿宋_GB2312" w:hAnsi="Times New Roman" w:eastAsia="仿宋_GB2312" w:cs="Times New Roman"/>
                <w:lang w:bidi="en-US"/>
              </w:rPr>
              <w:t>。鼓励石粉及石材废料综合利用、冶炼铸造行业废渣利用等有利于园区工业固废消化的静脉产业项目入园。</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限制高耗水项目。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新建铅、锌冶炼项目，单系列铅、锌冶炼规模必须达到</w:t>
            </w:r>
            <w:r>
              <w:rPr>
                <w:rFonts w:ascii="仿宋_GB2312" w:hAnsi="Times New Roman" w:eastAsia="仿宋_GB2312" w:cs="Times New Roman"/>
                <w:lang w:bidi="en-US"/>
              </w:rPr>
              <w:t>10万</w:t>
            </w:r>
            <w:r>
              <w:rPr>
                <w:rFonts w:hint="eastAsia" w:ascii="仿宋_GB2312" w:hAnsi="Times New Roman" w:eastAsia="仿宋_GB2312" w:cs="Times New Roman"/>
                <w:lang w:bidi="en-US"/>
              </w:rPr>
              <w:t>吨/年</w:t>
            </w:r>
            <w:r>
              <w:rPr>
                <w:rFonts w:ascii="仿宋_GB2312" w:hAnsi="Times New Roman" w:eastAsia="仿宋_GB2312" w:cs="Times New Roman"/>
                <w:lang w:bidi="en-US"/>
              </w:rPr>
              <w:t>及以上，企业自有矿山原料比例达到30%以上。</w:t>
            </w:r>
          </w:p>
        </w:tc>
        <w:tc>
          <w:tcPr>
            <w:tcW w:w="5647" w:type="dxa"/>
            <w:vMerge w:val="restart"/>
            <w:shd w:val="clear" w:color="auto" w:fill="auto"/>
            <w:vAlign w:val="center"/>
          </w:tcPr>
          <w:p>
            <w:pPr>
              <w:adjustRightInd w:val="0"/>
              <w:snapToGrid w:val="0"/>
              <w:rPr>
                <w:rFonts w:ascii="Times New Roman" w:hAnsi="Times New Roman" w:eastAsia="仿宋_GB2312" w:cs="Times New Roman"/>
                <w:lang w:bidi="en-US"/>
              </w:rPr>
            </w:pPr>
            <w:r>
              <w:rPr>
                <w:rFonts w:hint="eastAsia" w:ascii="仿宋_GB2312" w:hAnsi="Times New Roman" w:eastAsia="仿宋_GB2312" w:cs="Times New Roman"/>
                <w:b/>
                <w:lang w:bidi="en-US"/>
              </w:rPr>
              <w:t>单元特点：</w:t>
            </w:r>
            <w:r>
              <w:rPr>
                <w:rFonts w:ascii="Times New Roman" w:hAnsi="Times New Roman" w:eastAsia="仿宋_GB2312" w:cs="Times New Roman"/>
                <w:lang w:bidi="en-US"/>
              </w:rPr>
              <w:t>该管控单元为鄯善石材工业园区，主要产业为石建材材料加工、精密铸造、光伏产业、硅基新材料、镁基新材料、装备制造和纺织服装</w:t>
            </w:r>
          </w:p>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要素属性：</w:t>
            </w:r>
            <w:r>
              <w:rPr>
                <w:rFonts w:ascii="Times New Roman" w:hAnsi="Times New Roman" w:eastAsia="仿宋_GB2312" w:cs="Times New Roman"/>
                <w:lang w:bidi="en-US"/>
              </w:rPr>
              <w:t>水环境工业污染重点管控区、</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
                <w:bCs/>
                <w:lang w:bidi="en-US"/>
              </w:rPr>
              <w:t>相关要求：</w:t>
            </w:r>
            <w:r>
              <w:rPr>
                <w:rFonts w:hint="eastAsia" w:ascii="仿宋_GB2312" w:hAnsi="仿宋" w:eastAsia="仿宋_GB2312" w:cs="仿宋"/>
                <w:lang w:bidi="en-US"/>
              </w:rPr>
              <w:t>《新疆维吾尔自治区水污染防治工作方案》、《吐鲁番市大气环境质量限期达标规划》、《吐鲁番市打赢蓝天保卫战三年行动计划实施方案（2018-2020）》、《吐鲁番市生态环境保护“十四五”规划》、《吐鲁番市水污染防治总体实施方案》、《鄯善县打赢蓝天保卫战三年行动计划实施方案（2018-2020）》、《鄯善县水污染防治工作方案》、《鄯善石材工业园区总体规划（201</w:t>
            </w:r>
            <w:r>
              <w:rPr>
                <w:rFonts w:ascii="仿宋_GB2312" w:hAnsi="仿宋" w:eastAsia="仿宋_GB2312" w:cs="仿宋"/>
                <w:lang w:bidi="en-US"/>
              </w:rPr>
              <w:t>5</w:t>
            </w:r>
            <w:r>
              <w:rPr>
                <w:rFonts w:hint="eastAsia" w:ascii="仿宋_GB2312" w:hAnsi="仿宋" w:eastAsia="仿宋_GB2312" w:cs="仿宋"/>
                <w:lang w:bidi="en-US"/>
              </w:rPr>
              <w:t>-2030年）》及规划环评、《铅锌行业准入条件（</w:t>
            </w:r>
            <w:r>
              <w:rPr>
                <w:rFonts w:ascii="仿宋_GB2312" w:hAnsi="仿宋" w:eastAsia="仿宋_GB2312" w:cs="仿宋"/>
                <w:lang w:bidi="en-US"/>
              </w:rPr>
              <w:t>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1.对园区的SO</w:t>
            </w:r>
            <w:r>
              <w:rPr>
                <w:rFonts w:hint="eastAsia" w:ascii="仿宋_GB2312" w:hAnsi="Times New Roman" w:eastAsia="仿宋_GB2312" w:cs="Times New Roman"/>
                <w:vertAlign w:val="subscript"/>
                <w:lang w:bidi="en-US"/>
              </w:rPr>
              <w:t>2</w:t>
            </w:r>
            <w:r>
              <w:rPr>
                <w:rFonts w:hint="eastAsia" w:ascii="仿宋_GB2312" w:hAnsi="Times New Roman" w:eastAsia="仿宋_GB2312" w:cs="Times New Roman"/>
                <w:lang w:bidi="en-US"/>
              </w:rPr>
              <w:t>、N</w:t>
            </w:r>
            <w:r>
              <w:rPr>
                <w:rFonts w:ascii="仿宋_GB2312" w:hAnsi="Times New Roman" w:eastAsia="仿宋_GB2312" w:cs="Times New Roman"/>
                <w:lang w:bidi="en-US"/>
              </w:rPr>
              <w:t>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、烟粉尘和V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新建燃煤发电机组实现超低排放</w:t>
            </w:r>
            <w:r>
              <w:rPr>
                <w:rFonts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3.推进工业炉窑全面达标排放，严格执行行业排放标准、加大污染治理力度。</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4.加快推进VOCs综合治理，加大煤化工（含现代煤化工、炼焦、合成氨等）、涂料、</w:t>
            </w:r>
            <w:r>
              <w:rPr>
                <w:rFonts w:hint="eastAsia" w:ascii="仿宋_GB2312" w:hAnsi="Times New Roman" w:eastAsia="仿宋_GB2312" w:cs="Times New Roman"/>
                <w:lang w:bidi="en-US"/>
              </w:rPr>
              <w:t>涂装等</w:t>
            </w:r>
            <w:r>
              <w:rPr>
                <w:rFonts w:ascii="仿宋_GB2312" w:hAnsi="Times New Roman" w:eastAsia="仿宋_GB2312" w:cs="Times New Roman"/>
                <w:lang w:bidi="en-US"/>
              </w:rPr>
              <w:t>行业VOCs治理力度。</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hint="eastAsia"/>
              </w:rPr>
              <w:t xml:space="preserve"> </w:t>
            </w:r>
            <w:r>
              <w:rPr>
                <w:rFonts w:hint="eastAsia" w:ascii="仿宋_GB2312" w:hAnsi="Times New Roman" w:eastAsia="仿宋_GB2312" w:cs="Times New Roman"/>
                <w:lang w:bidi="en-US"/>
              </w:rPr>
              <w:t>实施热电联产或集中供热改造，将工业企业纳入集中供热范围，</w:t>
            </w:r>
            <w:r>
              <w:rPr>
                <w:rFonts w:ascii="仿宋_GB2312" w:hAnsi="Times New Roman" w:eastAsia="仿宋_GB2312" w:cs="Times New Roman"/>
                <w:lang w:bidi="en-US"/>
              </w:rPr>
              <w:t>园区基本实现集中供热</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4</w:t>
            </w:r>
            <w:r>
              <w:rPr>
                <w:rFonts w:ascii="仿宋_GB2312" w:hAnsi="Times New Roman" w:eastAsia="仿宋_GB2312" w:cs="Times New Roman"/>
                <w:lang w:bidi="en-US"/>
              </w:rPr>
              <w:t>.</w:t>
            </w:r>
            <w:r>
              <w:rPr>
                <w:rFonts w:hint="eastAsia" w:ascii="仿宋_GB2312" w:hAnsi="Times New Roman" w:eastAsia="仿宋_GB2312" w:cs="Times New Roman"/>
                <w:lang w:bidi="en-US"/>
              </w:rPr>
              <w:t>加强工艺过程除尘设施配置，全面控制工业烟粉尘排放。针对园区南区入园企业多数为石材加工企业，应严格控制无组织粉尘污染，原料的露天堆场应采用合理的降尘和防风抑尘网等无组织颗粒物防治措施。</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石材加工园区或暂时独立的装饰石材加工企业必须综合设置污水回收处理系统、水资源再生利用系统、固体废弃物处理系统。</w:t>
            </w:r>
            <w:r>
              <w:rPr>
                <w:rFonts w:ascii="仿宋_GB2312" w:hAnsi="Times New Roman" w:eastAsia="仿宋_GB2312" w:cs="Times New Roman"/>
                <w:lang w:bidi="en-US"/>
              </w:rPr>
              <w:t>水实现内部循环再生利用，严禁外排</w:t>
            </w:r>
            <w:r>
              <w:rPr>
                <w:rFonts w:hint="eastAsia" w:ascii="仿宋_GB2312" w:hAnsi="Times New Roman" w:eastAsia="仿宋_GB2312" w:cs="Times New Roman"/>
                <w:lang w:bidi="en-US"/>
              </w:rPr>
              <w:t>；</w:t>
            </w:r>
            <w:r>
              <w:rPr>
                <w:rFonts w:ascii="仿宋_GB2312" w:hAnsi="Times New Roman" w:eastAsia="仿宋_GB2312" w:cs="Times New Roman"/>
                <w:lang w:bidi="en-US"/>
              </w:rPr>
              <w:t>沉积石粉、石渣等固体废弃物资源化利用。</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.推进污水集中处理设施及再生水回用系统，完善园区污水管网建设；加强对各企业排放的污废水的监控，禁止在园内设置排污口。</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7</w:t>
            </w:r>
            <w:r>
              <w:rPr>
                <w:rFonts w:hint="eastAsia" w:ascii="仿宋_GB2312" w:hAnsi="Times New Roman" w:eastAsia="仿宋_GB2312" w:cs="Times New Roman"/>
                <w:lang w:bidi="en-US"/>
              </w:rPr>
              <w:t>.</w:t>
            </w:r>
            <w:r>
              <w:rPr>
                <w:rFonts w:ascii="仿宋_GB2312" w:hAnsi="Times New Roman" w:eastAsia="仿宋_GB2312" w:cs="Times New Roman"/>
                <w:lang w:bidi="en-US"/>
              </w:rPr>
              <w:t>使用石材化工产品除锈、除斑、清洗、漂白、石胶等废弃液体，必须采取集中收集处理措施。严禁未经处理的石材化工产品直接排放或随意倾倒掩埋。</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1.严格管控易导致环境风险的有毒有害和易燃易爆物质的使用和贮运，涉及此类物质的项目必须编制风险应急预案；强化应急物资储备和救援队伍建设。</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强化企业环境风险防范设施设备建设和正常运行监管，建立常态化的企业隐患排查整治监管机制，涉危的风险企业应及时编制环境风险应急预案并定期更新，每年至少开展一次应急演练；加强风险防控体系建设。</w:t>
            </w:r>
          </w:p>
          <w:p>
            <w:pPr>
              <w:adjustRightInd w:val="0"/>
              <w:snapToGrid w:val="0"/>
              <w:rPr>
                <w:rFonts w:ascii="仿宋_GB2312" w:hAnsi="Times New Roman" w:eastAsia="仿宋_GB2312" w:cs="Times New Roman"/>
                <w:b/>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.定期排查废水污染治理设施建设运行情况、并做好防腐防渗措施。</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1.加强煤炭清洁高效利用，推广使用优质煤、洁净型煤；严把耗煤新项目准入关，控制煤炭消费总量。</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2.严格实施用水管理。新建、</w:t>
            </w:r>
            <w:r>
              <w:rPr>
                <w:rFonts w:hint="eastAsia" w:ascii="仿宋_GB2312" w:hAnsi="仿宋" w:eastAsia="仿宋_GB2312" w:cs="仿宋"/>
                <w:bCs/>
                <w:lang w:bidi="en-US"/>
              </w:rPr>
              <w:t>扩建、改</w:t>
            </w:r>
            <w:r>
              <w:rPr>
                <w:rFonts w:ascii="仿宋_GB2312" w:hAnsi="仿宋" w:eastAsia="仿宋_GB2312" w:cs="仿宋"/>
                <w:bCs/>
                <w:lang w:bidi="en-US"/>
              </w:rPr>
              <w:t>建</w:t>
            </w:r>
            <w:r>
              <w:rPr>
                <w:rFonts w:hint="eastAsia" w:ascii="仿宋_GB2312" w:hAnsi="Times New Roman" w:eastAsia="仿宋_GB2312" w:cs="Times New Roman"/>
                <w:lang w:bidi="en-US"/>
              </w:rPr>
              <w:t>项目用水要达到行业先进水平，节水设施应与主体工程同时设计、同时施工、同时投运。</w:t>
            </w:r>
          </w:p>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lang w:bidi="en-US"/>
              </w:rPr>
              <w:t>3.提高工业用水效率，提高工业用水重复利用率和中水回用率，满足国家政策和环评要求。</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bookmarkEnd w:id="1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restart"/>
            <w:shd w:val="clear" w:color="auto" w:fill="auto"/>
            <w:vAlign w:val="center"/>
          </w:tcPr>
          <w:p>
            <w:pPr>
              <w:adjustRightInd w:val="0"/>
              <w:snapToGrid w:val="0"/>
              <w:rPr>
                <w:rFonts w:ascii="仿宋_GB2312" w:hAnsi="Times New Roman" w:eastAsia="仿宋_GB2312" w:cs="Times New Roman"/>
                <w:bCs/>
                <w:lang w:bidi="en-US"/>
              </w:rPr>
            </w:pPr>
            <w:bookmarkStart w:id="18" w:name="_Hlk71484783"/>
            <w:r>
              <w:rPr>
                <w:rFonts w:hint="eastAsia" w:ascii="仿宋_GB2312" w:hAnsi="Times New Roman" w:eastAsia="仿宋_GB2312" w:cs="Times New Roman"/>
                <w:bCs/>
                <w:lang w:bidi="en-US"/>
              </w:rPr>
              <w:t>ZH65042120004</w:t>
            </w:r>
          </w:p>
        </w:tc>
        <w:tc>
          <w:tcPr>
            <w:tcW w:w="198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鄯善县城镇生活重点管控单元01</w:t>
            </w:r>
          </w:p>
        </w:tc>
        <w:tc>
          <w:tcPr>
            <w:tcW w:w="1247" w:type="dxa"/>
            <w:vMerge w:val="restart"/>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重点管控单元</w:t>
            </w:r>
          </w:p>
        </w:tc>
        <w:tc>
          <w:tcPr>
            <w:tcW w:w="1135"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58"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1.禁止</w:t>
            </w:r>
            <w:r>
              <w:rPr>
                <w:rFonts w:ascii="仿宋_GB2312" w:hAnsi="仿宋" w:eastAsia="仿宋_GB2312" w:cs="仿宋"/>
                <w:bCs/>
                <w:lang w:bidi="en-US"/>
              </w:rPr>
              <w:t>新</w:t>
            </w:r>
            <w:r>
              <w:rPr>
                <w:rFonts w:hint="eastAsia" w:ascii="仿宋_GB2312" w:hAnsi="仿宋" w:eastAsia="仿宋_GB2312" w:cs="仿宋"/>
                <w:bCs/>
                <w:lang w:bidi="en-US"/>
              </w:rPr>
              <w:t>建、扩建、改</w:t>
            </w:r>
            <w:r>
              <w:rPr>
                <w:rFonts w:ascii="仿宋_GB2312" w:hAnsi="仿宋" w:eastAsia="仿宋_GB2312" w:cs="仿宋"/>
                <w:bCs/>
                <w:lang w:bidi="en-US"/>
              </w:rPr>
              <w:t>建</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hint="eastAsia"/>
              </w:rPr>
              <w:t>等</w:t>
            </w:r>
            <w:r>
              <w:rPr>
                <w:rFonts w:hint="eastAsia" w:ascii="仿宋_GB2312" w:hAnsi="Times New Roman" w:eastAsia="仿宋_GB2312" w:cs="Times New Roman"/>
                <w:lang w:bidi="en-US"/>
              </w:rPr>
              <w:t>三类工业项目，现有三类工业项目应制定计划，限期外迁；禁止新建</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lang w:bidi="en-US"/>
              </w:rPr>
              <w:t>涉气二类工业项目（基础设施等民生工程除外），改、扩建的不得新增大气污染物排放因子和排放总量。</w:t>
            </w:r>
          </w:p>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lang w:bidi="en-US"/>
              </w:rPr>
              <w:t>2</w:t>
            </w:r>
            <w:r>
              <w:rPr>
                <w:rFonts w:ascii="Times New Roman" w:hAnsi="Times New Roman" w:eastAsia="仿宋_GB2312" w:cs="Times New Roman"/>
                <w:lang w:bidi="en-US"/>
              </w:rPr>
              <w:t>.不得在居民集中区新建垃圾分拣中心等臭气异味影响较大的项目；不得在居民集中区新建涉及易燃易爆物质的大型仓储项目</w:t>
            </w:r>
            <w:r>
              <w:rPr>
                <w:rFonts w:hint="eastAsia" w:ascii="Times New Roman" w:hAnsi="Times New Roman" w:eastAsia="仿宋_GB2312" w:cs="Times New Roman"/>
                <w:lang w:bidi="en-US"/>
              </w:rPr>
              <w:t>。</w:t>
            </w:r>
          </w:p>
          <w:p>
            <w:pPr>
              <w:adjustRightInd w:val="0"/>
              <w:snapToGrid w:val="0"/>
              <w:rPr>
                <w:rFonts w:ascii="仿宋_GB2312" w:hAnsi="Times New Roman" w:eastAsia="仿宋_GB2312" w:cs="Times New Roman"/>
                <w:b/>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.新建、</w:t>
            </w:r>
            <w:r>
              <w:rPr>
                <w:rFonts w:hint="eastAsia" w:ascii="仿宋_GB2312" w:hAnsi="仿宋" w:eastAsia="仿宋_GB2312" w:cs="仿宋"/>
                <w:bCs/>
                <w:lang w:bidi="en-US"/>
              </w:rPr>
              <w:t>扩建、改</w:t>
            </w:r>
            <w:r>
              <w:rPr>
                <w:rFonts w:ascii="仿宋_GB2312" w:hAnsi="仿宋" w:eastAsia="仿宋_GB2312" w:cs="仿宋"/>
                <w:bCs/>
                <w:lang w:bidi="en-US"/>
              </w:rPr>
              <w:t>建</w:t>
            </w:r>
            <w:r>
              <w:rPr>
                <w:rFonts w:hint="eastAsia" w:ascii="仿宋_GB2312" w:hAnsi="Times New Roman" w:eastAsia="仿宋_GB2312" w:cs="Times New Roman"/>
                <w:lang w:bidi="en-US"/>
              </w:rPr>
              <w:t>公路、铁路、输油输气管道等各类工程，需要穿越、跨越坎儿井的，应当对工程建设期间、运行过程中可能给坎儿井造成的危害进行论证，并制定坎儿井保护方案。</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该管控单元为鄯善县城镇生活区，</w:t>
            </w:r>
            <w:r>
              <w:rPr>
                <w:rFonts w:ascii="Times New Roman" w:hAnsi="Times New Roman" w:eastAsia="仿宋_GB2312" w:cs="Times New Roman"/>
                <w:lang w:bidi="en-US"/>
              </w:rPr>
              <w:t>主要活动为城镇居住人口生产生活</w:t>
            </w:r>
          </w:p>
          <w:p>
            <w:pPr>
              <w:adjustRightInd w:val="0"/>
              <w:snapToGrid w:val="0"/>
              <w:rPr>
                <w:rFonts w:ascii="仿宋_GB2312" w:hAnsi="Times New Roman" w:eastAsia="仿宋_GB2312" w:cs="Times New Roman"/>
                <w:lang w:bidi="en-US"/>
              </w:rPr>
            </w:pPr>
            <w:r>
              <w:rPr>
                <w:rFonts w:hint="eastAsia" w:ascii="仿宋_GB2312" w:hAnsi="仿宋" w:eastAsia="仿宋_GB2312" w:cs="仿宋"/>
                <w:b/>
                <w:bCs/>
                <w:lang w:bidi="en-US"/>
              </w:rPr>
              <w:t>要素属性：</w:t>
            </w:r>
            <w:r>
              <w:rPr>
                <w:rFonts w:hint="eastAsia" w:ascii="仿宋_GB2312" w:hAnsi="Times New Roman" w:eastAsia="仿宋_GB2312" w:cs="Times New Roman"/>
                <w:lang w:bidi="en-US"/>
              </w:rPr>
              <w:t>大气环境受体敏感区</w:t>
            </w:r>
          </w:p>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lang w:bidi="en-US"/>
              </w:rPr>
              <w:t>《新疆维吾尔自治区坎儿井保护条例》、</w:t>
            </w:r>
            <w:r>
              <w:rPr>
                <w:rFonts w:hint="eastAsia" w:ascii="仿宋_GB2312" w:hAnsi="仿宋" w:eastAsia="仿宋_GB2312" w:cs="仿宋"/>
                <w:lang w:bidi="en-US"/>
              </w:rPr>
              <w:t>《吐鲁番市大气环境质量限期达标规划》、《吐鲁番市打赢蓝天保卫战三年行动计划实施方案（2018-2020）》、《吐鲁番市生态环境保护“十四五”规划》、《吐鲁番市水污染防治总体实施方案》、《鄯善县打赢蓝天保卫战三年行动计划实施方案（2018-2020）》、《鄯善县水污染防治工作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58"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噪声和臭气异味防治。涉臭气异味企业应采取封闭、加盖等收集处理措施，提高臭气废气收集率和处理率，明显减少工业臭气异味排放；完成餐饮油烟综合整治，大中型餐饮企业（包括单位食堂）必须安装高效油烟净化装置并进行定期清洗；严格施工扬尘监管。</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2.加强污水处理设施运行管理，全面加强配套管网建设，推进污泥处理处置。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通过经济手段引导供热、供气、供电管网覆盖区域居民减少散煤使用，大力推进“电化农村”建设。逐步将风能、太阳能、电力等清洁能源利用项目扩展到各乡镇。</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推进农业农村污染防治，防治畜禽养殖污染，科学规划布局畜禽养殖，配套建设粪便污水贮存、处理、利用设施，新改扩建规模化畜禽养殖场（小区）要实施雨污分流、粪便污水资源化利用；控制农业面源污染，控制农田化肥农药使用量，大力发展生态循环农业，加快推广测土配方施肥、安全用药、绿色防控、农业废弃物资源化利用等农业清洁生产技术与装备；优化种植业结构与布局；加快农村环境综合整治。</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推进农村生活污水治理。因地制宜，采取“以城带</w:t>
            </w:r>
            <w:r>
              <w:rPr>
                <w:rFonts w:ascii="仿宋_GB2312" w:hAnsi="Times New Roman" w:eastAsia="仿宋_GB2312" w:cs="Times New Roman"/>
                <w:lang w:bidi="en-US"/>
              </w:rPr>
              <w:t>村” 、“以乡（镇）带</w:t>
            </w:r>
            <w:r>
              <w:rPr>
                <w:rFonts w:hint="eastAsia" w:ascii="仿宋_GB2312" w:hAnsi="Times New Roman" w:eastAsia="仿宋_GB2312" w:cs="Times New Roman"/>
                <w:lang w:bidi="en-US"/>
              </w:rPr>
              <w:t>村</w:t>
            </w:r>
            <w:r>
              <w:rPr>
                <w:rFonts w:ascii="仿宋_GB2312" w:hAnsi="Times New Roman" w:eastAsia="仿宋_GB2312" w:cs="Times New Roman"/>
                <w:lang w:bidi="en-US"/>
              </w:rPr>
              <w:t>”</w:t>
            </w:r>
            <w:r>
              <w:rPr>
                <w:rFonts w:hint="eastAsia" w:ascii="仿宋_GB2312" w:hAnsi="Times New Roman" w:eastAsia="仿宋_GB2312" w:cs="Times New Roman"/>
                <w:lang w:bidi="en-US"/>
              </w:rPr>
              <w:t>、</w:t>
            </w:r>
            <w:r>
              <w:rPr>
                <w:rFonts w:ascii="仿宋_GB2312" w:hAnsi="Times New Roman" w:eastAsia="仿宋_GB2312" w:cs="Times New Roman"/>
                <w:lang w:bidi="en-US"/>
              </w:rPr>
              <w:t xml:space="preserve"> “联村” 、“单村” 、“联户” 、“单户”等多种方式，实</w:t>
            </w:r>
            <w:r>
              <w:rPr>
                <w:rFonts w:hint="eastAsia" w:ascii="仿宋_GB2312" w:hAnsi="Times New Roman" w:eastAsia="仿宋_GB2312" w:cs="Times New Roman"/>
                <w:lang w:bidi="en-US"/>
              </w:rPr>
              <w:t>施农村生活污水治理工程，合理布局，科学设计。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.严格按照《新疆维吾尔自治区坎儿井保护条例》对区域内坎儿井进行保护，禁止向坎儿井水源、明渠、蓄水池倾倒废污水、垃圾等废弃物。</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58"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1.紧邻居住、科教、医院等环境敏感点的工业用地，禁止新建环境风险潜势等级高于Ⅲ级的建设项目。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 严格管控易导致环境风险的有毒有害和易燃易爆物质的使用和贮运，涉及此类物质的项目必须编制风险应急预案</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强化企业环境风险防范设施设备建设和正常运行监管，建立常态化的企业隐患排查整治监管机制，涉危的风险企业应及时编制环境风险应急预案并定期更新，每年至少开展一次应急演练。强化应急物资储备和救援队伍建设。</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4.加强风险防控体系建设，防范环境风险。稳妥处置突发环境污染事件，制定和完善污染事故处置应急预案，强化危险源、敏感点的监测、分析、预测、预警。</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58" w:type="dxa"/>
            <w:shd w:val="clear" w:color="auto" w:fill="auto"/>
          </w:tcPr>
          <w:p>
            <w:pPr>
              <w:adjustRightInd w:val="0"/>
              <w:snapToGrid w:val="0"/>
              <w:rPr>
                <w:rFonts w:ascii="仿宋_GB2312" w:hAnsi="Times New Roman" w:eastAsia="仿宋_GB2312" w:cs="Times New Roman"/>
                <w:b/>
                <w:bCs/>
                <w:lang w:bidi="en-US"/>
              </w:rPr>
            </w:pPr>
            <w:r>
              <w:rPr>
                <w:rFonts w:ascii="Times New Roman" w:hAnsi="Times New Roman" w:eastAsia="仿宋_GB2312" w:cs="Times New Roman"/>
                <w:lang w:bidi="en-US"/>
              </w:rPr>
              <w:t>全面开展节水型社会建设，推进节水产品推广普及，限制高耗水服务业用水</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bookmarkEnd w:id="1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restart"/>
            <w:shd w:val="clear" w:color="auto" w:fill="auto"/>
            <w:vAlign w:val="center"/>
          </w:tcPr>
          <w:p>
            <w:pPr>
              <w:adjustRightInd w:val="0"/>
              <w:snapToGrid w:val="0"/>
              <w:rPr>
                <w:rFonts w:ascii="仿宋_GB2312" w:hAnsi="Times New Roman" w:eastAsia="仿宋_GB2312" w:cs="Times New Roman"/>
                <w:bCs/>
                <w:lang w:bidi="en-US"/>
              </w:rPr>
            </w:pPr>
            <w:bookmarkStart w:id="19" w:name="_Hlk71485148"/>
            <w:r>
              <w:rPr>
                <w:rFonts w:hint="eastAsia" w:ascii="仿宋_GB2312" w:hAnsi="Times New Roman" w:eastAsia="仿宋_GB2312" w:cs="Times New Roman"/>
                <w:bCs/>
                <w:lang w:bidi="en-US"/>
              </w:rPr>
              <w:t>ZH65042120005</w:t>
            </w:r>
          </w:p>
        </w:tc>
        <w:tc>
          <w:tcPr>
            <w:tcW w:w="198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鄯善县城镇生活重点管控单元02</w:t>
            </w:r>
          </w:p>
        </w:tc>
        <w:tc>
          <w:tcPr>
            <w:tcW w:w="1247" w:type="dxa"/>
            <w:vMerge w:val="restart"/>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重点管控单元</w:t>
            </w: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空间布局约束</w:t>
            </w:r>
          </w:p>
        </w:tc>
        <w:tc>
          <w:tcPr>
            <w:tcW w:w="8958"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1.禁止</w:t>
            </w:r>
            <w:r>
              <w:rPr>
                <w:rFonts w:ascii="仿宋_GB2312" w:hAnsi="仿宋" w:eastAsia="仿宋_GB2312" w:cs="仿宋"/>
                <w:bCs/>
                <w:lang w:bidi="en-US"/>
              </w:rPr>
              <w:t>新</w:t>
            </w:r>
            <w:r>
              <w:rPr>
                <w:rFonts w:hint="eastAsia" w:ascii="仿宋_GB2312" w:hAnsi="仿宋" w:eastAsia="仿宋_GB2312" w:cs="仿宋"/>
                <w:bCs/>
                <w:lang w:bidi="en-US"/>
              </w:rPr>
              <w:t>建、扩建、改</w:t>
            </w:r>
            <w:r>
              <w:rPr>
                <w:rFonts w:ascii="仿宋_GB2312" w:hAnsi="仿宋" w:eastAsia="仿宋_GB2312" w:cs="仿宋"/>
                <w:bCs/>
                <w:lang w:bidi="en-US"/>
              </w:rPr>
              <w:t>建</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w:t>
            </w:r>
            <w:r>
              <w:rPr>
                <w:rFonts w:hint="eastAsia"/>
              </w:rPr>
              <w:t>等</w:t>
            </w:r>
            <w:r>
              <w:rPr>
                <w:rFonts w:hint="eastAsia" w:ascii="仿宋_GB2312" w:hAnsi="Times New Roman" w:eastAsia="仿宋_GB2312" w:cs="Times New Roman"/>
                <w:lang w:bidi="en-US"/>
              </w:rPr>
              <w:t>三类工业项目，现有三类工业项目应制定计划，限期外迁；禁止新建</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lang w:bidi="en-US"/>
              </w:rPr>
              <w:t>涉气二类工业项目（基础设施等民生工程除外），改、扩建的不得新增大气污染物排放因子和排放总量。</w:t>
            </w:r>
          </w:p>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lang w:bidi="en-US"/>
              </w:rPr>
              <w:t>2</w:t>
            </w:r>
            <w:r>
              <w:rPr>
                <w:rFonts w:ascii="Times New Roman" w:hAnsi="Times New Roman" w:eastAsia="仿宋_GB2312" w:cs="Times New Roman"/>
                <w:lang w:bidi="en-US"/>
              </w:rPr>
              <w:t>.不得在居民集中区新建垃圾分拣中心等臭气异味影响较大的项目；不得在居民集中区新建涉及易燃易爆物质的大型仓储项目</w:t>
            </w:r>
            <w:r>
              <w:rPr>
                <w:rFonts w:hint="eastAsia" w:ascii="Times New Roman" w:hAnsi="Times New Roman" w:eastAsia="仿宋_GB2312" w:cs="Times New Roman"/>
                <w:lang w:bidi="en-US"/>
              </w:rPr>
              <w:t>。</w:t>
            </w:r>
          </w:p>
          <w:p>
            <w:pPr>
              <w:adjustRightInd w:val="0"/>
              <w:snapToGrid w:val="0"/>
              <w:rPr>
                <w:rFonts w:ascii="仿宋_GB2312" w:hAnsi="Times New Roman" w:eastAsia="仿宋_GB2312" w:cs="Times New Roman"/>
                <w:b/>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.新建、</w:t>
            </w:r>
            <w:r>
              <w:rPr>
                <w:rFonts w:hint="eastAsia" w:ascii="仿宋_GB2312" w:hAnsi="仿宋" w:eastAsia="仿宋_GB2312" w:cs="仿宋"/>
                <w:bCs/>
                <w:lang w:bidi="en-US"/>
              </w:rPr>
              <w:t>扩建、改</w:t>
            </w:r>
            <w:r>
              <w:rPr>
                <w:rFonts w:ascii="仿宋_GB2312" w:hAnsi="仿宋" w:eastAsia="仿宋_GB2312" w:cs="仿宋"/>
                <w:bCs/>
                <w:lang w:bidi="en-US"/>
              </w:rPr>
              <w:t>建</w:t>
            </w:r>
            <w:r>
              <w:rPr>
                <w:rFonts w:hint="eastAsia" w:ascii="仿宋_GB2312" w:hAnsi="Times New Roman" w:eastAsia="仿宋_GB2312" w:cs="Times New Roman"/>
                <w:lang w:bidi="en-US"/>
              </w:rPr>
              <w:t>公路、铁路、输油输气管道等各类工程，需要穿越、跨越坎儿井的，应当对工程建设期间、运行过程中可能给坎儿井造成的危害进行论证，并制定坎儿井保护方案。</w:t>
            </w:r>
          </w:p>
        </w:tc>
        <w:tc>
          <w:tcPr>
            <w:tcW w:w="5647" w:type="dxa"/>
            <w:vMerge w:val="restart"/>
            <w:shd w:val="clear" w:color="auto" w:fill="auto"/>
            <w:vAlign w:val="center"/>
          </w:tcPr>
          <w:p>
            <w:pPr>
              <w:adjustRightInd w:val="0"/>
              <w:snapToGrid w:val="0"/>
              <w:rPr>
                <w:rFonts w:ascii="Times New Roman"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该管控单元为鄯善县城镇生活区，</w:t>
            </w:r>
            <w:r>
              <w:rPr>
                <w:rFonts w:ascii="Times New Roman" w:hAnsi="Times New Roman" w:eastAsia="仿宋_GB2312" w:cs="Times New Roman"/>
                <w:lang w:bidi="en-US"/>
              </w:rPr>
              <w:t>主要活动为城镇居住人口生产生活</w:t>
            </w:r>
            <w:r>
              <w:rPr>
                <w:rFonts w:hint="eastAsia" w:ascii="Times New Roman" w:hAnsi="Times New Roman" w:eastAsia="仿宋_GB2312" w:cs="Times New Roman"/>
                <w:lang w:bidi="en-US"/>
              </w:rPr>
              <w:t>，鄯善县城区位于该单元</w:t>
            </w:r>
          </w:p>
          <w:p>
            <w:pPr>
              <w:adjustRightInd w:val="0"/>
              <w:snapToGrid w:val="0"/>
              <w:rPr>
                <w:rFonts w:ascii="仿宋_GB2312" w:hAnsi="Times New Roman" w:eastAsia="仿宋_GB2312" w:cs="Times New Roman"/>
                <w:lang w:bidi="en-US"/>
              </w:rPr>
            </w:pPr>
            <w:r>
              <w:rPr>
                <w:rFonts w:hint="eastAsia" w:ascii="仿宋_GB2312" w:hAnsi="仿宋" w:eastAsia="仿宋_GB2312" w:cs="仿宋"/>
                <w:b/>
                <w:bCs/>
                <w:lang w:bidi="en-US"/>
              </w:rPr>
              <w:t>要素属性：</w:t>
            </w:r>
            <w:r>
              <w:rPr>
                <w:rFonts w:hint="eastAsia" w:ascii="仿宋_GB2312" w:hAnsi="Times New Roman" w:eastAsia="仿宋_GB2312" w:cs="Times New Roman"/>
                <w:lang w:bidi="en-US"/>
              </w:rPr>
              <w:t>大气环境受体敏感区</w:t>
            </w:r>
          </w:p>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lang w:bidi="en-US"/>
              </w:rPr>
              <w:t>《新疆维吾尔自治区坎儿井保护条例》、</w:t>
            </w:r>
            <w:r>
              <w:rPr>
                <w:rFonts w:hint="eastAsia" w:ascii="仿宋_GB2312" w:hAnsi="仿宋" w:eastAsia="仿宋_GB2312" w:cs="仿宋"/>
                <w:lang w:bidi="en-US"/>
              </w:rPr>
              <w:t>《吐鲁番市大气环境质量限期达标规划》、《吐鲁番市打赢蓝天保卫战三年行动计划实施方案（2018-2020）》、《吐鲁番市生态环境保护“十四五”规划》、《吐鲁番市水污染防治总体实施方案》、《鄯善县打赢蓝天保卫战三年行动计划实施方案（2018-2020）》、《鄯善县水污染防治工作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污染物排放管控</w:t>
            </w:r>
          </w:p>
        </w:tc>
        <w:tc>
          <w:tcPr>
            <w:tcW w:w="8958"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噪声和臭气异味防治。涉臭气异味企业应采取封闭、加盖等收集处理措施，提高臭气废气收集率和处理率，明显减少工业臭气异味排放；完成餐饮油烟综合整治，大中型餐饮企业（包括单位食堂）必须安装高效油烟净化装置并进行定期清洗；严格施工扬尘监管。</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2.县级以上城镇生活污水集中处理率达到</w:t>
            </w:r>
            <w:r>
              <w:rPr>
                <w:rFonts w:ascii="仿宋_GB2312" w:hAnsi="Times New Roman" w:eastAsia="仿宋_GB2312" w:cs="Times New Roman"/>
                <w:lang w:bidi="en-US"/>
              </w:rPr>
              <w:t>90%以上；县级以上城镇生活垃圾无害化处理率达到100%。加强污水处理设施运行管理，全面加强配套管网建设，推进污泥处理处置。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通过经济手段引导供热、供气、供电管网覆盖区域居民减少散煤使用，大力推进“电化农村”建设。逐步将风能、太阳能、电力等清洁能源利用项目扩展到各乡镇。</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推进农业农村污染防治，防治畜禽养殖污染，科学规划布局畜禽养殖，配套建设粪便污水贮存、处理、利用设施，新改扩建规模化畜禽养殖场（小区）要实施雨污分流、粪便污水资源化利用；控制农业面源污染，控制农田化肥农药使用量，大力发展生态循环农业，加快推广测土配方施肥、安全用药、绿色防控、农业废弃物资源化利用等农业清洁生产技术与装备；优化种植业结构与布局；加快农村环境综合整治。</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推进农村生活污水治理。因地制宜，采取“以城带</w:t>
            </w:r>
            <w:r>
              <w:rPr>
                <w:rFonts w:ascii="仿宋_GB2312" w:hAnsi="Times New Roman" w:eastAsia="仿宋_GB2312" w:cs="Times New Roman"/>
                <w:lang w:bidi="en-US"/>
              </w:rPr>
              <w:t>村” 、“以乡（镇）带</w:t>
            </w:r>
            <w:r>
              <w:rPr>
                <w:rFonts w:hint="eastAsia" w:ascii="仿宋_GB2312" w:hAnsi="Times New Roman" w:eastAsia="仿宋_GB2312" w:cs="Times New Roman"/>
                <w:lang w:bidi="en-US"/>
              </w:rPr>
              <w:t>村</w:t>
            </w:r>
            <w:r>
              <w:rPr>
                <w:rFonts w:ascii="仿宋_GB2312" w:hAnsi="Times New Roman" w:eastAsia="仿宋_GB2312" w:cs="Times New Roman"/>
                <w:lang w:bidi="en-US"/>
              </w:rPr>
              <w:t>”</w:t>
            </w:r>
            <w:r>
              <w:rPr>
                <w:rFonts w:hint="eastAsia" w:ascii="仿宋_GB2312" w:hAnsi="Times New Roman" w:eastAsia="仿宋_GB2312" w:cs="Times New Roman"/>
                <w:lang w:bidi="en-US"/>
              </w:rPr>
              <w:t>、</w:t>
            </w:r>
            <w:r>
              <w:rPr>
                <w:rFonts w:ascii="仿宋_GB2312" w:hAnsi="Times New Roman" w:eastAsia="仿宋_GB2312" w:cs="Times New Roman"/>
                <w:lang w:bidi="en-US"/>
              </w:rPr>
              <w:t xml:space="preserve"> “联村” 、“单村” 、“联户” 、“单户”等多种方式，实</w:t>
            </w:r>
            <w:r>
              <w:rPr>
                <w:rFonts w:hint="eastAsia" w:ascii="仿宋_GB2312" w:hAnsi="Times New Roman" w:eastAsia="仿宋_GB2312" w:cs="Times New Roman"/>
                <w:lang w:bidi="en-US"/>
              </w:rPr>
              <w:t>施农村生活污水治理工程，合理布局，科学设计。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.严格按照《新疆维吾尔自治区坎儿井保护条例》对区域内坎儿井进行保护，禁止向坎儿井水源、明渠、蓄水池倾倒废污水、垃圾等废弃物。</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环境风险防控</w:t>
            </w:r>
          </w:p>
        </w:tc>
        <w:tc>
          <w:tcPr>
            <w:tcW w:w="8958"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1.紧邻居住、科教、医院等环境敏感点的工业用地，禁止新建环境风险潜势等级高于Ⅲ级的建设项目。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2.严格管控易导致环境风险的有毒有害和易燃易爆物质的使用和贮运，涉及此类物质的项目必须编制风险应急预案</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强化企业环境风险防范设施设备建设和正常运行监管，建立常态化的企业隐患排查整治监管机制，涉危的风险企业应及时编制环境风险应急预案并定期更新，每年至少开展一次应急演练。强化应急物资储备和救援队伍建设。</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4.加强风险防控体系建设，防范环境风险。稳妥处置突发环境污染事件，制定和完善污染事故处置应急预案，强化危险源、敏感点的监测、分析、预测、预警。</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资源利用效率</w:t>
            </w:r>
          </w:p>
        </w:tc>
        <w:tc>
          <w:tcPr>
            <w:tcW w:w="8958" w:type="dxa"/>
            <w:shd w:val="clear" w:color="auto" w:fill="auto"/>
          </w:tcPr>
          <w:p>
            <w:pPr>
              <w:adjustRightInd w:val="0"/>
              <w:snapToGrid w:val="0"/>
              <w:rPr>
                <w:rFonts w:ascii="仿宋_GB2312" w:hAnsi="Times New Roman" w:eastAsia="仿宋_GB2312" w:cs="Times New Roman"/>
                <w:b/>
                <w:bCs/>
                <w:lang w:bidi="en-US"/>
              </w:rPr>
            </w:pPr>
            <w:r>
              <w:rPr>
                <w:rFonts w:ascii="Times New Roman" w:hAnsi="Times New Roman" w:eastAsia="仿宋_GB2312" w:cs="Times New Roman"/>
                <w:lang w:bidi="en-US"/>
              </w:rPr>
              <w:t>全面开展节水型社会建设，推进节水产品推广普及，限制高耗水服务业用水</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bookmarkEnd w:id="1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restart"/>
            <w:shd w:val="clear" w:color="auto" w:fill="auto"/>
            <w:vAlign w:val="center"/>
          </w:tcPr>
          <w:p>
            <w:pPr>
              <w:adjustRightInd w:val="0"/>
              <w:snapToGrid w:val="0"/>
              <w:rPr>
                <w:rFonts w:ascii="仿宋_GB2312" w:hAnsi="Times New Roman" w:eastAsia="仿宋_GB2312" w:cs="Times New Roman"/>
                <w:bCs/>
                <w:lang w:bidi="en-US"/>
              </w:rPr>
            </w:pPr>
            <w:bookmarkStart w:id="20" w:name="_Hlk71485359"/>
            <w:r>
              <w:rPr>
                <w:rFonts w:hint="eastAsia" w:ascii="仿宋_GB2312" w:hAnsi="Times New Roman" w:eastAsia="仿宋_GB2312" w:cs="Times New Roman"/>
                <w:bCs/>
                <w:lang w:bidi="en-US"/>
              </w:rPr>
              <w:t>ZH65042120006</w:t>
            </w:r>
          </w:p>
        </w:tc>
        <w:tc>
          <w:tcPr>
            <w:tcW w:w="198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rPr>
              <w:t>鄯善县地下水开采重点管控单元</w:t>
            </w:r>
          </w:p>
        </w:tc>
        <w:tc>
          <w:tcPr>
            <w:tcW w:w="1247" w:type="dxa"/>
            <w:vMerge w:val="restart"/>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重点管控单元</w:t>
            </w: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1.在地下水超采区，除必要的人饮工程外，禁止兴建地下水取水工程，禁止建设水源热泵工程项目。在地下水超采区上游补给区域，不得新建地下水取水工程。</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对国有开发土地灌溉用水井，自取得取水许可之日起仅可更新一次，并严格控制井深；对已经更新仍不能满足供水需要的，实行自然退地。</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 xml:space="preserve"> 应在原有地下水取水许可的基础上进行水量置换，不得增加地下水取水许可总水量。更新、置换井原井必须封填。</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ascii="Times New Roman" w:hAnsi="Times New Roman" w:eastAsia="仿宋_GB2312" w:cs="Times New Roman"/>
                <w:lang w:bidi="en-US"/>
              </w:rPr>
              <w:t>该管控单元为地下水开采重点管控单元，</w:t>
            </w:r>
            <w:r>
              <w:rPr>
                <w:rFonts w:hint="eastAsia" w:ascii="Times New Roman" w:hAnsi="Times New Roman" w:eastAsia="仿宋_GB2312" w:cs="Times New Roman"/>
                <w:lang w:bidi="en-US"/>
              </w:rPr>
              <w:t>为</w:t>
            </w:r>
            <w:r>
              <w:rPr>
                <w:rFonts w:ascii="Times New Roman" w:hAnsi="Times New Roman" w:eastAsia="仿宋_GB2312" w:cs="Times New Roman"/>
                <w:lang w:bidi="en-US"/>
              </w:rPr>
              <w:t>鄯善县</w:t>
            </w:r>
            <w:r>
              <w:rPr>
                <w:rFonts w:hint="eastAsia" w:ascii="Times New Roman" w:hAnsi="Times New Roman" w:eastAsia="仿宋_GB2312" w:cs="Times New Roman"/>
                <w:lang w:bidi="en-US"/>
              </w:rPr>
              <w:t>浅层地下水大型严重超采区，全部为限采区</w:t>
            </w:r>
          </w:p>
          <w:p>
            <w:pPr>
              <w:adjustRightInd w:val="0"/>
              <w:snapToGrid w:val="0"/>
              <w:rPr>
                <w:rFonts w:ascii="仿宋_GB2312" w:hAnsi="Times New Roman" w:eastAsia="仿宋_GB2312" w:cs="Times New Roman"/>
                <w:lang w:bidi="en-US"/>
              </w:rPr>
            </w:pPr>
            <w:r>
              <w:rPr>
                <w:rFonts w:ascii="Times New Roman" w:hAnsi="Times New Roman" w:eastAsia="仿宋_GB2312" w:cs="Times New Roman"/>
                <w:b/>
                <w:bCs/>
                <w:lang w:bidi="en-US"/>
              </w:rPr>
              <w:t>要素属性：</w:t>
            </w:r>
            <w:r>
              <w:rPr>
                <w:rFonts w:ascii="Times New Roman" w:hAnsi="Times New Roman" w:eastAsia="仿宋_GB2312" w:cs="Times New Roman"/>
              </w:rPr>
              <w:t>地下水</w:t>
            </w:r>
            <w:r>
              <w:rPr>
                <w:rFonts w:hint="eastAsia" w:ascii="Times New Roman" w:hAnsi="Times New Roman" w:eastAsia="仿宋_GB2312" w:cs="Times New Roman"/>
              </w:rPr>
              <w:t>开采</w:t>
            </w:r>
            <w:r>
              <w:rPr>
                <w:rFonts w:ascii="Times New Roman" w:hAnsi="Times New Roman" w:eastAsia="仿宋_GB2312" w:cs="Times New Roman"/>
              </w:rPr>
              <w:t>重点管控区</w:t>
            </w:r>
          </w:p>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
                <w:bCs/>
                <w:lang w:bidi="en-US"/>
              </w:rPr>
              <w:t>相关要求：</w:t>
            </w:r>
            <w:r>
              <w:rPr>
                <w:rFonts w:ascii="Times New Roman" w:hAnsi="Times New Roman" w:eastAsia="仿宋_GB2312" w:cs="Times New Roman"/>
                <w:lang w:bidi="en-US"/>
              </w:rPr>
              <w:t>《新疆维吾尔自治区地下水资源管理条例》</w:t>
            </w:r>
            <w:r>
              <w:rPr>
                <w:rFonts w:hint="eastAsia" w:ascii="Times New Roman" w:hAnsi="Times New Roman" w:eastAsia="仿宋_GB2312" w:cs="Times New Roman"/>
                <w:lang w:bidi="en-US"/>
              </w:rPr>
              <w:t>、《吐鲁番市地下水资源管理实施办法（试行）》、《吐鲁番市地下水资源保护与利用规划》、《吐鲁番市鄯善县地下水超采区治理方案》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污染物排放管控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禁止私设暗管或者利用渗井、渗坑和裂隙排放、倾倒含有毒污染物的废水、含病原体的污水和其他废弃物。禁止利用无防渗漏措施的沟渠、坑塘等输送或者存贮含有毒污染物的废水、含病原体的污水和其他废弃物。禁止将含有汞、镉、砷、铬、铅、氰化物、黄磷等可溶性剧毒废渣及难降解有机物或者含油废弃物直接埋入地下。人工回灌补给地下水，不得恶化地下水水质。</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环境风险防控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1.落实吐鲁番市关于地下水用水总量控制方案，开源与节流并重，实行计划用水、节约用水；开采与补给平衡，防止水源的枯竭和地下水资源的污染。</w:t>
            </w:r>
          </w:p>
          <w:p>
            <w:pPr>
              <w:adjustRightInd w:val="0"/>
              <w:snapToGrid w:val="0"/>
              <w:rPr>
                <w:rFonts w:ascii="仿宋_GB2312" w:hAnsi="Times New Roman" w:eastAsia="仿宋_GB2312" w:cs="Times New Roman"/>
                <w:b/>
                <w:bCs/>
                <w:lang w:bidi="en-US"/>
              </w:rPr>
            </w:pPr>
            <w:r>
              <w:rPr>
                <w:rFonts w:hint="eastAsia" w:ascii="Times New Roman" w:hAnsi="Times New Roman" w:eastAsia="仿宋_GB2312" w:cs="Times New Roman"/>
                <w:lang w:bidi="en-US"/>
              </w:rPr>
              <w:t>2</w:t>
            </w:r>
            <w:r>
              <w:rPr>
                <w:rFonts w:ascii="Times New Roman" w:hAnsi="Times New Roman" w:eastAsia="仿宋_GB2312" w:cs="Times New Roman"/>
                <w:lang w:bidi="en-US"/>
              </w:rPr>
              <w:t>.稳妥处置突发地下水环境污染事件，制定和完善水污染事故处置应急预案，强化危险源、敏感点的监测、分析、预测、预警</w:t>
            </w:r>
            <w:r>
              <w:rPr>
                <w:rFonts w:hint="eastAsia" w:ascii="Times New Roman"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资源利用效率</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1.至2025年，大型超采区变为中型超采区，且地下水位下降速率要控制在0.5米/年以内。至2030年，全部超采区地下水位基本稳定（下降速率为-0.1~0.1米/年）或呈上升趋势，全部达到采补平衡。</w:t>
            </w:r>
          </w:p>
          <w:p>
            <w:pPr>
              <w:adjustRightInd w:val="0"/>
              <w:snapToGrid w:val="0"/>
              <w:rPr>
                <w:rFonts w:ascii="仿宋_GB2312" w:hAnsi="Times New Roman" w:eastAsia="仿宋_GB2312" w:cs="Times New Roman"/>
                <w:b/>
                <w:bCs/>
                <w:lang w:bidi="en-US"/>
              </w:rPr>
            </w:pPr>
            <w:r>
              <w:rPr>
                <w:rFonts w:ascii="Times New Roman" w:hAnsi="Times New Roman" w:eastAsia="仿宋_GB2312" w:cs="Times New Roman"/>
                <w:lang w:bidi="en-US"/>
              </w:rPr>
              <w:t>2. 除满足战备、旱灾、火灾、地震等应急需要外，年度地下水资源开采总量不得超出批准的地下水开采总量控制指标。地下水水位不得低于规划水位控制指标</w:t>
            </w:r>
            <w:r>
              <w:rPr>
                <w:rFonts w:hint="eastAsia" w:ascii="Times New Roman"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bookmarkEnd w:id="2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restart"/>
            <w:shd w:val="clear" w:color="auto" w:fill="auto"/>
            <w:vAlign w:val="center"/>
          </w:tcPr>
          <w:p>
            <w:pPr>
              <w:adjustRightInd w:val="0"/>
              <w:snapToGrid w:val="0"/>
              <w:rPr>
                <w:rFonts w:ascii="仿宋_GB2312" w:hAnsi="Times New Roman" w:eastAsia="仿宋_GB2312" w:cs="Times New Roman"/>
                <w:bCs/>
                <w:lang w:bidi="en-US"/>
              </w:rPr>
            </w:pPr>
            <w:bookmarkStart w:id="21" w:name="_Hlk71485572"/>
            <w:r>
              <w:rPr>
                <w:rFonts w:hint="eastAsia" w:ascii="仿宋_GB2312" w:hAnsi="Times New Roman" w:eastAsia="仿宋_GB2312" w:cs="Times New Roman"/>
                <w:bCs/>
                <w:lang w:bidi="en-US"/>
              </w:rPr>
              <w:t>ZH65042120007</w:t>
            </w:r>
          </w:p>
        </w:tc>
        <w:tc>
          <w:tcPr>
            <w:tcW w:w="198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rPr>
              <w:t>鄯善县沙尔湖矿区重点管控单元</w:t>
            </w:r>
          </w:p>
        </w:tc>
        <w:tc>
          <w:tcPr>
            <w:tcW w:w="1247" w:type="dxa"/>
            <w:vMerge w:val="restart"/>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重点管控单元</w:t>
            </w: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1.围绕大型煤电基地和现代煤化工项目用煤需要，在充分利用现有煤矿生产能力的前提下，严格依照规划新建煤矿项目，并严格执行煤炭产能置换的相关政策。</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煤炭资源开发项目原则上要按照国家和自治区有关政策要求配套建设相应的洗选厂。</w:t>
            </w:r>
          </w:p>
          <w:p>
            <w:pPr>
              <w:adjustRightInd w:val="0"/>
              <w:snapToGrid w:val="0"/>
              <w:rPr>
                <w:rFonts w:ascii="仿宋_GB2312" w:hAnsi="Times New Roman" w:eastAsia="仿宋_GB2312" w:cs="Times New Roman"/>
                <w:b/>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.合理权衡煤炭开采方式。禁止新建非机械化开采的煤矿；禁止建设</w:t>
            </w:r>
            <w:r>
              <w:rPr>
                <w:rFonts w:ascii="仿宋_GB2312" w:hAnsi="Times New Roman" w:eastAsia="仿宋_GB2312" w:cs="Times New Roman"/>
                <w:lang w:bidi="en-US"/>
              </w:rPr>
              <w:t>45 万吨/年以下能力的改扩建矿井；禁止核准新建120 万吨/年矿井及400 万吨/年露天以下规模的煤矿项目</w:t>
            </w:r>
            <w:r>
              <w:rPr>
                <w:rFonts w:hint="eastAsia" w:ascii="仿宋_GB2312" w:hAnsi="Times New Roman" w:eastAsia="仿宋_GB2312" w:cs="Times New Roman"/>
                <w:lang w:bidi="en-US"/>
              </w:rPr>
              <w:t>。禁止开采放射性核素超过《新疆煤炭资源开采天然放射性核素限量》。（DB65/T3471）要求的煤炭资源。新建和改扩建煤炭采选项目选址应符合《煤炭洗选工程设计规范》（GB50359）。</w:t>
            </w:r>
          </w:p>
        </w:tc>
        <w:tc>
          <w:tcPr>
            <w:tcW w:w="5647" w:type="dxa"/>
            <w:vMerge w:val="restart"/>
            <w:shd w:val="clear" w:color="auto" w:fill="auto"/>
            <w:vAlign w:val="center"/>
          </w:tcPr>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单元特点：</w:t>
            </w:r>
            <w:r>
              <w:rPr>
                <w:rFonts w:ascii="Times New Roman" w:hAnsi="Times New Roman" w:eastAsia="仿宋_GB2312" w:cs="Times New Roman"/>
                <w:lang w:bidi="en-US"/>
              </w:rPr>
              <w:t>该管控单元为沙尔湖矿区，类型为煤矿</w:t>
            </w:r>
          </w:p>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
                <w:bCs/>
                <w:lang w:bidi="en-US"/>
              </w:rPr>
              <w:t>相关要求：</w:t>
            </w:r>
            <w:r>
              <w:rPr>
                <w:rFonts w:hint="eastAsia" w:ascii="仿宋_GB2312" w:hAnsi="仿宋" w:eastAsia="仿宋_GB2312" w:cs="仿宋"/>
                <w:lang w:bidi="en-US"/>
              </w:rPr>
              <w:t>《吐鲁番市大气环境质量限期达标规划》、《吐鲁番市打赢蓝天保卫战三年行动计划实施方案（2018-2020）》、《吐鲁番市生态环境保护“十四五”规划》、《吐鲁番市水污染防治总体实施方案》、《新疆维吾尔自治区矿产资源总体规划（2016-2020）》、</w:t>
            </w:r>
            <w:r>
              <w:rPr>
                <w:rFonts w:hint="eastAsia" w:ascii="Times New Roman" w:hAnsi="Times New Roman" w:eastAsia="仿宋_GB2312" w:cs="Times New Roman"/>
                <w:lang w:bidi="en-US"/>
              </w:rPr>
              <w:t>《</w:t>
            </w:r>
            <w:r>
              <w:rPr>
                <w:rFonts w:ascii="Times New Roman" w:hAnsi="Times New Roman" w:eastAsia="仿宋_GB2312" w:cs="Times New Roman"/>
                <w:lang w:bidi="en-US"/>
              </w:rPr>
              <w:t>新疆维吾尔自治区</w:t>
            </w:r>
            <w:r>
              <w:rPr>
                <w:rFonts w:hint="eastAsia" w:ascii="Times New Roman" w:hAnsi="Times New Roman" w:eastAsia="仿宋_GB2312" w:cs="Times New Roman"/>
                <w:lang w:bidi="en-US"/>
              </w:rPr>
              <w:t>吐鲁番市</w:t>
            </w:r>
            <w:r>
              <w:rPr>
                <w:rFonts w:ascii="Times New Roman" w:hAnsi="Times New Roman" w:eastAsia="仿宋_GB2312" w:cs="Times New Roman"/>
                <w:lang w:bidi="en-US"/>
              </w:rPr>
              <w:t>矿产资源总体规划（2016-2020）</w:t>
            </w:r>
            <w:r>
              <w:rPr>
                <w:rFonts w:hint="eastAsia" w:ascii="Times New Roman" w:hAnsi="Times New Roman" w:eastAsia="仿宋_GB2312" w:cs="Times New Roman"/>
                <w:lang w:bidi="en-US"/>
              </w:rPr>
              <w:t>》、</w:t>
            </w:r>
            <w:r>
              <w:rPr>
                <w:rFonts w:hint="eastAsia" w:ascii="仿宋_GB2312" w:hAnsi="仿宋" w:eastAsia="仿宋_GB2312" w:cs="仿宋"/>
                <w:lang w:bidi="en-US"/>
              </w:rPr>
              <w:t>《鄯善县打赢蓝天保卫战三年行动计划实施方案（2018-2020）》、《鄯善县水污染防治工作方案》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污染物排放管控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Times New Roman" w:hAnsi="Times New Roman" w:eastAsia="仿宋_GB2312" w:cs="Times New Roman"/>
                <w:lang w:bidi="en-US"/>
              </w:rPr>
              <w:t>建设绿色煤炭矿山</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贮存、转载、装卸等过程中产生的无组织污染物必须采取防尘抑尘措施，新建及改扩建采煤项目原煤须采用筒仓或封闭式煤场，厂内输送采用封闭式皮带走廊。锅炉灰渣及煤矸石优先综合利用。煤矸石无害化处置率达到100%；露天矿的剥离物集中排入排土场，处置率达100%。</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3.矿区</w:t>
            </w:r>
            <w:r>
              <w:rPr>
                <w:rFonts w:hint="eastAsia" w:ascii="仿宋_GB2312" w:hAnsi="Times New Roman" w:eastAsia="仿宋_GB2312" w:cs="Times New Roman"/>
                <w:lang w:bidi="en-US"/>
              </w:rPr>
              <w:t>其他易起尘的</w:t>
            </w:r>
            <w:r>
              <w:rPr>
                <w:rFonts w:ascii="仿宋_GB2312" w:hAnsi="Times New Roman" w:eastAsia="仿宋_GB2312" w:cs="Times New Roman"/>
                <w:lang w:bidi="en-US"/>
              </w:rPr>
              <w:t>堆场均应</w:t>
            </w:r>
            <w:r>
              <w:rPr>
                <w:rFonts w:hint="eastAsia" w:ascii="仿宋_GB2312" w:hAnsi="Times New Roman" w:eastAsia="仿宋_GB2312" w:cs="Times New Roman"/>
                <w:lang w:bidi="en-US"/>
              </w:rPr>
              <w:t>采取封闭、覆盖、设置防风抑尘网等措施</w:t>
            </w:r>
            <w:r>
              <w:rPr>
                <w:rFonts w:ascii="仿宋_GB2312" w:hAnsi="Times New Roman" w:eastAsia="仿宋_GB2312" w:cs="Times New Roman"/>
                <w:lang w:bidi="en-US"/>
              </w:rPr>
              <w:t>；矿区内道路应尽量进行硬化</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环境风险防控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1.完善危险源防控机制，提升矿井综合抗灾能力，实施安全闭合管理，确保隐患治理到位。</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资源利用效率</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严把耗煤新项目准入关，控制煤炭消费总量。</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w:t>
            </w:r>
            <w:r>
              <w:rPr>
                <w:rFonts w:ascii="Times New Roman" w:hAnsi="Times New Roman" w:eastAsia="仿宋_GB2312" w:cs="Times New Roman"/>
                <w:lang w:bidi="en-US"/>
              </w:rPr>
              <w:t xml:space="preserve"> 进一步提高选矿废水综合利用率，促进煤矸石、矿井水等资源综合利用。</w:t>
            </w:r>
            <w:r>
              <w:rPr>
                <w:rFonts w:hint="eastAsia" w:ascii="仿宋_GB2312" w:hAnsi="Times New Roman" w:eastAsia="仿宋_GB2312" w:cs="Times New Roman"/>
                <w:lang w:bidi="en-US"/>
              </w:rPr>
              <w:t>新建矿山和现有生产矿山的地质环境得到全面治理和复垦，“三废”达标排放率达到95%，废水综合利用率达到70%以上，固体废物综合利用率达到50%以上；对全县的历史遗留地质环境问题，进行逐一恢复治理。</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bookmarkEnd w:id="2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ZH65042120008</w:t>
            </w:r>
          </w:p>
        </w:tc>
        <w:tc>
          <w:tcPr>
            <w:tcW w:w="198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rPr>
              <w:t>鄯善县</w:t>
            </w:r>
            <w:r>
              <w:rPr>
                <w:rFonts w:hint="eastAsia" w:ascii="Times New Roman" w:hAnsi="Times New Roman" w:eastAsia="仿宋_GB2312" w:cs="Times New Roman"/>
              </w:rPr>
              <w:t>库木塔格</w:t>
            </w:r>
            <w:r>
              <w:rPr>
                <w:rFonts w:ascii="Times New Roman" w:hAnsi="Times New Roman" w:eastAsia="仿宋_GB2312" w:cs="Times New Roman"/>
              </w:rPr>
              <w:t>矿区重点管控单元</w:t>
            </w:r>
          </w:p>
        </w:tc>
        <w:tc>
          <w:tcPr>
            <w:tcW w:w="1247" w:type="dxa"/>
            <w:vMerge w:val="restart"/>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重点管控单元</w:t>
            </w: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1.围绕大型煤电基地和现代煤化工项目用煤需要，在充分利用现有煤矿生产能力的前提下，严格依照规划新建煤矿项目，并严格执行煤炭产能置换的相关政策。</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煤炭资源开发项目原则上要按照国家和自治区有关政策要求配套建设相应的洗选厂。</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.合理权衡煤炭开采方式。禁止新建非机械化开采的煤矿；禁止建设</w:t>
            </w:r>
            <w:r>
              <w:rPr>
                <w:rFonts w:ascii="仿宋_GB2312" w:hAnsi="Times New Roman" w:eastAsia="仿宋_GB2312" w:cs="Times New Roman"/>
                <w:lang w:bidi="en-US"/>
              </w:rPr>
              <w:t>45 万吨/年以下能力的改扩建矿井；禁止核准新建120 万吨/年矿井及400 万吨/年露天以下规模的煤矿项目</w:t>
            </w:r>
            <w:r>
              <w:rPr>
                <w:rFonts w:hint="eastAsia" w:ascii="仿宋_GB2312" w:hAnsi="Times New Roman" w:eastAsia="仿宋_GB2312" w:cs="Times New Roman"/>
                <w:lang w:bidi="en-US"/>
              </w:rPr>
              <w:t>。禁止开采放射性核素超过《新疆煤炭资源开采天然放射性核素限量》。（DB65/T3471）要求的煤炭资源。新建和改扩建煤炭采选项目选址应符合《煤炭工业矿井设计规范》（GB50215）、《煤炭洗选工程设计规范》（GB50359）。</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该管控单元为库木塔格矿区，类型为煤矿</w:t>
            </w:r>
          </w:p>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
                <w:bCs/>
                <w:lang w:bidi="en-US"/>
              </w:rPr>
              <w:t>相关要求：</w:t>
            </w:r>
            <w:r>
              <w:rPr>
                <w:rFonts w:hint="eastAsia" w:ascii="仿宋_GB2312" w:hAnsi="Calibri" w:eastAsia="仿宋_GB2312" w:cs="Times New Roman"/>
                <w:lang w:bidi="en-US"/>
              </w:rPr>
              <w:t>《新疆维吾尔自治区矿产资源总体规划（</w:t>
            </w:r>
            <w:r>
              <w:rPr>
                <w:rFonts w:ascii="仿宋_GB2312" w:hAnsi="Calibri" w:eastAsia="仿宋_GB2312" w:cs="Times New Roman"/>
                <w:lang w:bidi="en-US"/>
              </w:rPr>
              <w:t>2016-2020）》</w:t>
            </w:r>
            <w:r>
              <w:rPr>
                <w:rFonts w:hint="eastAsia" w:ascii="仿宋_GB2312" w:hAnsi="Calibri" w:eastAsia="仿宋_GB2312" w:cs="Times New Roman"/>
                <w:lang w:bidi="en-US"/>
              </w:rPr>
              <w:t>、</w:t>
            </w:r>
            <w:r>
              <w:rPr>
                <w:rFonts w:hint="eastAsia" w:ascii="Times New Roman" w:hAnsi="Times New Roman" w:eastAsia="仿宋_GB2312" w:cs="Times New Roman"/>
                <w:lang w:bidi="en-US"/>
              </w:rPr>
              <w:t>《</w:t>
            </w:r>
            <w:r>
              <w:rPr>
                <w:rFonts w:ascii="Times New Roman" w:hAnsi="Times New Roman" w:eastAsia="仿宋_GB2312" w:cs="Times New Roman"/>
                <w:lang w:bidi="en-US"/>
              </w:rPr>
              <w:t>新疆维吾尔自治区</w:t>
            </w:r>
            <w:r>
              <w:rPr>
                <w:rFonts w:hint="eastAsia" w:ascii="Times New Roman" w:hAnsi="Times New Roman" w:eastAsia="仿宋_GB2312" w:cs="Times New Roman"/>
                <w:lang w:bidi="en-US"/>
              </w:rPr>
              <w:t>吐鲁番市</w:t>
            </w:r>
            <w:r>
              <w:rPr>
                <w:rFonts w:ascii="Times New Roman" w:hAnsi="Times New Roman" w:eastAsia="仿宋_GB2312" w:cs="Times New Roman"/>
                <w:lang w:bidi="en-US"/>
              </w:rPr>
              <w:t>矿产资源总体规划（2016-2020）</w:t>
            </w:r>
            <w:r>
              <w:rPr>
                <w:rFonts w:hint="eastAsia" w:ascii="Times New Roman" w:hAnsi="Times New Roman" w:eastAsia="仿宋_GB2312" w:cs="Times New Roman"/>
                <w:lang w:bidi="en-US"/>
              </w:rPr>
              <w:t>》、</w:t>
            </w:r>
            <w:r>
              <w:rPr>
                <w:rFonts w:hint="eastAsia" w:ascii="仿宋_GB2312" w:hAnsi="仿宋" w:eastAsia="仿宋_GB2312" w:cs="仿宋"/>
                <w:lang w:bidi="en-US"/>
              </w:rPr>
              <w:t>《吐鲁番市大气环境质量限期达标规划》、《吐鲁番市打赢蓝天保卫战三年行动计划实施方案（2018-2020）》、《吐鲁番市生态环境保护“十四五”规划》、《吐鲁番市水污染防治总体实施方案》、《鄯善县打赢蓝天保卫战三年行动计划实施方案（2018-2020）》、《鄯善县水污染防治工作方案》、</w:t>
            </w:r>
            <w:r>
              <w:rPr>
                <w:rFonts w:hint="eastAsia" w:ascii="仿宋_GB2312" w:hAnsi="Calibri" w:eastAsia="仿宋_GB2312" w:cs="Times New Roman"/>
                <w:lang w:bidi="en-US"/>
              </w:rPr>
              <w:t>《吐鲁番市土壤污染防治工作方案》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污染物排放管控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Times New Roman" w:hAnsi="Times New Roman" w:eastAsia="仿宋_GB2312" w:cs="Times New Roman"/>
                <w:lang w:bidi="en-US"/>
              </w:rPr>
              <w:t>建设绿色煤炭矿山</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煤炭贮存、转载、装卸等过程中产生的无组织污染物必须采取防尘抑尘措施，新建及改扩建采煤项目原煤须采用筒仓或封闭式煤场，厂内输送采用封闭式皮带走廊。锅炉灰渣及煤矸石优先综合利用。煤矸石无害化处置率达到100%；露天矿的剥离物集中排入排土场，处置率达100%。</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3.矿区</w:t>
            </w:r>
            <w:r>
              <w:rPr>
                <w:rFonts w:hint="eastAsia" w:ascii="仿宋_GB2312" w:hAnsi="Times New Roman" w:eastAsia="仿宋_GB2312" w:cs="Times New Roman"/>
                <w:lang w:bidi="en-US"/>
              </w:rPr>
              <w:t>其他易起尘的</w:t>
            </w:r>
            <w:r>
              <w:rPr>
                <w:rFonts w:ascii="仿宋_GB2312" w:hAnsi="Times New Roman" w:eastAsia="仿宋_GB2312" w:cs="Times New Roman"/>
                <w:lang w:bidi="en-US"/>
              </w:rPr>
              <w:t>堆场均应</w:t>
            </w:r>
            <w:r>
              <w:rPr>
                <w:rFonts w:hint="eastAsia" w:ascii="仿宋_GB2312" w:hAnsi="Times New Roman" w:eastAsia="仿宋_GB2312" w:cs="Times New Roman"/>
                <w:lang w:bidi="en-US"/>
              </w:rPr>
              <w:t>采取封闭、覆盖、设置防风抑尘网等措施</w:t>
            </w:r>
            <w:r>
              <w:rPr>
                <w:rFonts w:ascii="仿宋_GB2312" w:hAnsi="Times New Roman" w:eastAsia="仿宋_GB2312" w:cs="Times New Roman"/>
                <w:lang w:bidi="en-US"/>
              </w:rPr>
              <w:t>；矿区内道路应尽量进行硬化</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环境风险防控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1.完善危险源防控机制，提升矿井综合抗灾能力，实施安全闭合管理，确保隐患治理到位。</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资源利用效率</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严把耗煤新项目准入关，控制煤炭消费总量。</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w:t>
            </w:r>
            <w:r>
              <w:rPr>
                <w:rFonts w:ascii="Times New Roman" w:hAnsi="Times New Roman" w:eastAsia="仿宋_GB2312" w:cs="Times New Roman"/>
                <w:lang w:bidi="en-US"/>
              </w:rPr>
              <w:t xml:space="preserve"> 进一步提高选矿废水综合利用率，促进煤矸石、矿井水等资源综合利用。</w:t>
            </w:r>
            <w:r>
              <w:rPr>
                <w:rFonts w:hint="eastAsia" w:ascii="仿宋_GB2312" w:hAnsi="Times New Roman" w:eastAsia="仿宋_GB2312" w:cs="Times New Roman"/>
                <w:lang w:bidi="en-US"/>
              </w:rPr>
              <w:t>新建矿山和现有生产矿山的地质环境得到全面治理和复垦，“三废”达标排放率达到95%，废水综合利用率达到70%以上，固体废物综合利用率达到50%以上；对全县的历史遗留地质环境问题，进行逐一恢复治理。</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ZH65042120009</w:t>
            </w:r>
          </w:p>
        </w:tc>
        <w:tc>
          <w:tcPr>
            <w:tcW w:w="198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rPr>
              <w:t>鄯善县</w:t>
            </w:r>
            <w:r>
              <w:rPr>
                <w:rFonts w:hint="eastAsia" w:ascii="Times New Roman" w:hAnsi="Times New Roman" w:eastAsia="仿宋_GB2312" w:cs="Times New Roman"/>
              </w:rPr>
              <w:t>艾丁湖</w:t>
            </w:r>
            <w:r>
              <w:rPr>
                <w:rFonts w:ascii="Times New Roman" w:hAnsi="Times New Roman" w:eastAsia="仿宋_GB2312" w:cs="Times New Roman"/>
              </w:rPr>
              <w:t>矿区重点管控单元</w:t>
            </w:r>
          </w:p>
        </w:tc>
        <w:tc>
          <w:tcPr>
            <w:tcW w:w="1247" w:type="dxa"/>
            <w:vMerge w:val="restart"/>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重点管控单元</w:t>
            </w: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1.围绕大型煤电基地和现代煤化工项目用煤需要，在充分利用现有煤矿生产能力的前提下，严格依照规划新建煤矿项目，并严格执行煤炭产能置换的相关政策。</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煤炭资源开发项目原则上要按照国家和自治区有关政策要求配套建设相应的洗选厂。</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.合理权衡煤炭开采方式。禁止新建非机械化开采的煤矿；禁止建设</w:t>
            </w:r>
            <w:r>
              <w:rPr>
                <w:rFonts w:ascii="仿宋_GB2312" w:hAnsi="Times New Roman" w:eastAsia="仿宋_GB2312" w:cs="Times New Roman"/>
                <w:lang w:bidi="en-US"/>
              </w:rPr>
              <w:t>45 万吨/年以下能力的改扩建矿井；禁止核准新建120 万吨/年矿井及400 万吨/年露天以下规模的煤矿项目</w:t>
            </w:r>
            <w:r>
              <w:rPr>
                <w:rFonts w:hint="eastAsia" w:ascii="仿宋_GB2312" w:hAnsi="Times New Roman" w:eastAsia="仿宋_GB2312" w:cs="Times New Roman"/>
                <w:lang w:bidi="en-US"/>
              </w:rPr>
              <w:t>。禁止开采放射性核素超过《新疆煤炭资源开采天然放射性核素限量》。（DB65/T3471）要求的煤炭资源。新建和改扩建煤炭采选项目选址应符合《煤炭工业矿井设计规范》（GB50215）、《煤炭洗选工程设计规范》（GB50359）。</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该管控单元主要为艾丁湖矿区</w:t>
            </w:r>
          </w:p>
          <w:p>
            <w:pPr>
              <w:adjustRightInd w:val="0"/>
              <w:snapToGrid w:val="0"/>
              <w:rPr>
                <w:rFonts w:ascii="仿宋_GB2312" w:hAnsi="Times New Roman" w:eastAsia="仿宋_GB2312" w:cs="Times New Roman"/>
                <w:lang w:bidi="en-US"/>
              </w:rPr>
            </w:pPr>
            <w:r>
              <w:rPr>
                <w:rFonts w:ascii="Times New Roman"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Calibri" w:eastAsia="仿宋_GB2312" w:cs="Times New Roman"/>
                <w:lang w:bidi="en-US"/>
              </w:rPr>
            </w:pPr>
            <w:r>
              <w:rPr>
                <w:rFonts w:hint="eastAsia" w:ascii="仿宋_GB2312" w:hAnsi="Times New Roman" w:eastAsia="仿宋_GB2312" w:cs="Times New Roman"/>
                <w:b/>
                <w:bCs/>
                <w:lang w:bidi="en-US"/>
              </w:rPr>
              <w:t>相关要求：</w:t>
            </w:r>
            <w:r>
              <w:rPr>
                <w:rFonts w:hint="eastAsia" w:ascii="仿宋_GB2312" w:hAnsi="Calibri" w:eastAsia="仿宋_GB2312" w:cs="Times New Roman"/>
                <w:lang w:bidi="en-US"/>
              </w:rPr>
              <w:t>《新疆维吾尔自治区矿产资源总体规划（</w:t>
            </w:r>
            <w:r>
              <w:rPr>
                <w:rFonts w:ascii="仿宋_GB2312" w:hAnsi="Calibri" w:eastAsia="仿宋_GB2312" w:cs="Times New Roman"/>
                <w:lang w:bidi="en-US"/>
              </w:rPr>
              <w:t>2016-2020）》</w:t>
            </w:r>
            <w:r>
              <w:rPr>
                <w:rFonts w:hint="eastAsia" w:ascii="仿宋_GB2312" w:hAnsi="Calibri" w:eastAsia="仿宋_GB2312" w:cs="Times New Roman"/>
                <w:lang w:bidi="en-US"/>
              </w:rPr>
              <w:t>、</w:t>
            </w:r>
            <w:r>
              <w:rPr>
                <w:rFonts w:hint="eastAsia" w:ascii="Times New Roman" w:hAnsi="Times New Roman" w:eastAsia="仿宋_GB2312" w:cs="Times New Roman"/>
                <w:lang w:bidi="en-US"/>
              </w:rPr>
              <w:t>《</w:t>
            </w:r>
            <w:r>
              <w:rPr>
                <w:rFonts w:ascii="Times New Roman" w:hAnsi="Times New Roman" w:eastAsia="仿宋_GB2312" w:cs="Times New Roman"/>
                <w:lang w:bidi="en-US"/>
              </w:rPr>
              <w:t>新疆维吾尔自治区</w:t>
            </w:r>
            <w:r>
              <w:rPr>
                <w:rFonts w:hint="eastAsia" w:ascii="Times New Roman" w:hAnsi="Times New Roman" w:eastAsia="仿宋_GB2312" w:cs="Times New Roman"/>
                <w:lang w:bidi="en-US"/>
              </w:rPr>
              <w:t>吐鲁番市</w:t>
            </w:r>
            <w:r>
              <w:rPr>
                <w:rFonts w:ascii="Times New Roman" w:hAnsi="Times New Roman" w:eastAsia="仿宋_GB2312" w:cs="Times New Roman"/>
                <w:lang w:bidi="en-US"/>
              </w:rPr>
              <w:t>矿产资源总体规划（2016-2020）</w:t>
            </w:r>
            <w:r>
              <w:rPr>
                <w:rFonts w:hint="eastAsia" w:ascii="Times New Roman" w:hAnsi="Times New Roman" w:eastAsia="仿宋_GB2312" w:cs="Times New Roman"/>
                <w:lang w:bidi="en-US"/>
              </w:rPr>
              <w:t>》、</w:t>
            </w:r>
            <w:r>
              <w:rPr>
                <w:rFonts w:hint="eastAsia" w:ascii="仿宋_GB2312" w:hAnsi="仿宋" w:eastAsia="仿宋_GB2312" w:cs="仿宋"/>
                <w:lang w:bidi="en-US"/>
              </w:rPr>
              <w:t>《吐鲁番市大气环境质量限期达标规划》、《吐鲁番市打赢蓝天保卫战三年行动计划实施方案（2018-2020）》、《吐鲁番市生态环境保护“十四五”规划》、《吐鲁番市水污染防治总体实施方案》、《鄯善县打赢蓝天保卫战三年行动计划实施方案（2018-2020）》、《鄯善县水污染防治工作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污染物排放管控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1.建设绿色煤炭矿山。</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煤炭贮存、转载、装卸等过程中产生的无组织污染物必须采取防尘抑尘措施，新建及改扩建采煤项目原煤须采用筒仓或封闭式煤场，厂内输送采用封闭式皮带走廊。锅炉灰渣及煤矸石优先综合利用。煤矸石无害化处置率达到100%；露天矿的剥离物集中排入排土场，处置率达100%。</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3.矿区</w:t>
            </w:r>
            <w:r>
              <w:rPr>
                <w:rFonts w:hint="eastAsia" w:ascii="仿宋_GB2312" w:hAnsi="Times New Roman" w:eastAsia="仿宋_GB2312" w:cs="Times New Roman"/>
                <w:lang w:bidi="en-US"/>
              </w:rPr>
              <w:t>其他易起尘的</w:t>
            </w:r>
            <w:r>
              <w:rPr>
                <w:rFonts w:ascii="仿宋_GB2312" w:hAnsi="Times New Roman" w:eastAsia="仿宋_GB2312" w:cs="Times New Roman"/>
                <w:lang w:bidi="en-US"/>
              </w:rPr>
              <w:t>堆场均应</w:t>
            </w:r>
            <w:r>
              <w:rPr>
                <w:rFonts w:hint="eastAsia" w:ascii="仿宋_GB2312" w:hAnsi="Times New Roman" w:eastAsia="仿宋_GB2312" w:cs="Times New Roman"/>
                <w:lang w:bidi="en-US"/>
              </w:rPr>
              <w:t>采取封闭、覆盖、设置防风抑尘网等措施</w:t>
            </w:r>
            <w:r>
              <w:rPr>
                <w:rFonts w:ascii="仿宋_GB2312" w:hAnsi="Times New Roman" w:eastAsia="仿宋_GB2312" w:cs="Times New Roman"/>
                <w:lang w:bidi="en-US"/>
              </w:rPr>
              <w:t>；矿区内道路应尽量进行硬化</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环境风险防控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1.完善危险源防控机制，提升矿井综合抗灾能力，实施安全闭合管理，确保隐患治理到位。</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资源利用效率</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严把耗煤新项目准入关，控制煤炭消费总量。</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w:t>
            </w:r>
            <w:r>
              <w:rPr>
                <w:rFonts w:ascii="Times New Roman" w:hAnsi="Times New Roman" w:eastAsia="仿宋_GB2312" w:cs="Times New Roman"/>
                <w:lang w:bidi="en-US"/>
              </w:rPr>
              <w:t xml:space="preserve"> 进一步提高选矿废水综合利用率，促进煤矸石、矿井水等资源综合利用。</w:t>
            </w:r>
            <w:r>
              <w:rPr>
                <w:rFonts w:hint="eastAsia" w:ascii="仿宋_GB2312" w:hAnsi="Times New Roman" w:eastAsia="仿宋_GB2312" w:cs="Times New Roman"/>
                <w:lang w:bidi="en-US"/>
              </w:rPr>
              <w:t>新建矿山和现有生产矿山的地质环境得到全面治理和复垦，“三废”达标排放率达到95%，废水综合利用率达到70%以上，固体废物综合利用率达到50%以上；对全县的历史遗留地质环境问题，进行逐一恢复治理。</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ZH65042120010</w:t>
            </w:r>
          </w:p>
        </w:tc>
        <w:tc>
          <w:tcPr>
            <w:tcW w:w="198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rPr>
              <w:t>鄯善县</w:t>
            </w:r>
            <w:r>
              <w:rPr>
                <w:rFonts w:hint="eastAsia" w:ascii="Times New Roman" w:hAnsi="Times New Roman" w:eastAsia="仿宋_GB2312" w:cs="Times New Roman"/>
              </w:rPr>
              <w:t>七克台</w:t>
            </w:r>
            <w:r>
              <w:rPr>
                <w:rFonts w:ascii="Times New Roman" w:hAnsi="Times New Roman" w:eastAsia="仿宋_GB2312" w:cs="Times New Roman"/>
              </w:rPr>
              <w:t>矿区重点管控单元</w:t>
            </w:r>
          </w:p>
        </w:tc>
        <w:tc>
          <w:tcPr>
            <w:tcW w:w="1247" w:type="dxa"/>
            <w:vMerge w:val="restart"/>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重点管控单元</w:t>
            </w: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1.围绕大型煤电基地和现代煤化工项目用煤需要，在充分利用现有煤矿生产能力的前提下，严格依照规划新建煤矿项目，并严格执行煤炭产能置换的相关政策。</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煤炭资源开发项目原则上要按照国家和自治区有关政策要求配套建设相应的洗选厂。</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.禁止新建非机械化开采的煤矿；禁止建设</w:t>
            </w:r>
            <w:r>
              <w:rPr>
                <w:rFonts w:ascii="仿宋_GB2312" w:hAnsi="Times New Roman" w:eastAsia="仿宋_GB2312" w:cs="Times New Roman"/>
                <w:lang w:bidi="en-US"/>
              </w:rPr>
              <w:t>45 万吨/年以下能力的改扩建矿井；禁止核准新建120 万吨/年矿井及400 万吨/年露天以下规模的煤矿项目</w:t>
            </w:r>
            <w:r>
              <w:rPr>
                <w:rFonts w:hint="eastAsia" w:ascii="仿宋_GB2312" w:hAnsi="Times New Roman" w:eastAsia="仿宋_GB2312" w:cs="Times New Roman"/>
                <w:lang w:bidi="en-US"/>
              </w:rPr>
              <w:t>。禁止开采放射性核素超过《新疆煤炭资源开采天然放射性核素限量》。（DB65/T3471）要求的煤炭资源。新建和改扩建煤炭采选项目选址应符合《煤炭工业矿井设计规范》（GB50215）、《煤炭洗选工程设计规范》（GB50359）。</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主要为矿产资源、地下水限采区。为煤矿</w:t>
            </w:r>
          </w:p>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r>
              <w:rPr>
                <w:rFonts w:hint="eastAsia" w:ascii="Times New Roman" w:hAnsi="Times New Roman" w:eastAsia="仿宋_GB2312" w:cs="Times New Roman"/>
                <w:lang w:bidi="en-US"/>
              </w:rPr>
              <w:t>、地下水开采重点管控区</w:t>
            </w:r>
          </w:p>
          <w:p>
            <w:pPr>
              <w:adjustRightInd w:val="0"/>
              <w:snapToGrid w:val="0"/>
              <w:rPr>
                <w:rFonts w:ascii="仿宋_GB2312" w:hAnsi="Calibri" w:eastAsia="仿宋_GB2312" w:cs="Times New Roman"/>
                <w:lang w:bidi="en-US"/>
              </w:rPr>
            </w:pPr>
            <w:r>
              <w:rPr>
                <w:rFonts w:hint="eastAsia" w:ascii="仿宋_GB2312" w:hAnsi="Times New Roman" w:eastAsia="仿宋_GB2312" w:cs="Times New Roman"/>
                <w:b/>
                <w:bCs/>
                <w:lang w:bidi="en-US"/>
              </w:rPr>
              <w:t>相关要求：</w:t>
            </w:r>
            <w:r>
              <w:rPr>
                <w:rFonts w:hint="eastAsia" w:ascii="仿宋_GB2312" w:hAnsi="Calibri" w:eastAsia="仿宋_GB2312" w:cs="Times New Roman"/>
                <w:lang w:bidi="en-US"/>
              </w:rPr>
              <w:t>《新疆维吾尔自治区矿产资源总体规划（</w:t>
            </w:r>
            <w:r>
              <w:rPr>
                <w:rFonts w:ascii="仿宋_GB2312" w:hAnsi="Calibri" w:eastAsia="仿宋_GB2312" w:cs="Times New Roman"/>
                <w:lang w:bidi="en-US"/>
              </w:rPr>
              <w:t>2016-2020）》</w:t>
            </w:r>
            <w:r>
              <w:rPr>
                <w:rFonts w:hint="eastAsia" w:ascii="仿宋_GB2312" w:hAnsi="Calibri" w:eastAsia="仿宋_GB2312" w:cs="Times New Roman"/>
                <w:lang w:bidi="en-US"/>
              </w:rPr>
              <w:t>、</w:t>
            </w:r>
            <w:r>
              <w:rPr>
                <w:rFonts w:hint="eastAsia" w:ascii="Times New Roman" w:hAnsi="Times New Roman" w:eastAsia="仿宋_GB2312" w:cs="Times New Roman"/>
                <w:lang w:bidi="en-US"/>
              </w:rPr>
              <w:t>《</w:t>
            </w:r>
            <w:r>
              <w:rPr>
                <w:rFonts w:ascii="Times New Roman" w:hAnsi="Times New Roman" w:eastAsia="仿宋_GB2312" w:cs="Times New Roman"/>
                <w:lang w:bidi="en-US"/>
              </w:rPr>
              <w:t>新疆维吾尔自治区</w:t>
            </w:r>
            <w:r>
              <w:rPr>
                <w:rFonts w:hint="eastAsia" w:ascii="Times New Roman" w:hAnsi="Times New Roman" w:eastAsia="仿宋_GB2312" w:cs="Times New Roman"/>
                <w:lang w:bidi="en-US"/>
              </w:rPr>
              <w:t>吐鲁番市</w:t>
            </w:r>
            <w:r>
              <w:rPr>
                <w:rFonts w:ascii="Times New Roman" w:hAnsi="Times New Roman" w:eastAsia="仿宋_GB2312" w:cs="Times New Roman"/>
                <w:lang w:bidi="en-US"/>
              </w:rPr>
              <w:t>矿产资源总体规划（2016-2020）</w:t>
            </w:r>
            <w:r>
              <w:rPr>
                <w:rFonts w:hint="eastAsia" w:ascii="Times New Roman" w:hAnsi="Times New Roman" w:eastAsia="仿宋_GB2312" w:cs="Times New Roman"/>
                <w:lang w:bidi="en-US"/>
              </w:rPr>
              <w:t>》、</w:t>
            </w:r>
            <w:r>
              <w:rPr>
                <w:rFonts w:hint="eastAsia" w:ascii="仿宋_GB2312" w:hAnsi="仿宋" w:eastAsia="仿宋_GB2312" w:cs="仿宋"/>
                <w:lang w:bidi="en-US"/>
              </w:rPr>
              <w:t>《吐鲁番市大气环境质量限期达标规划》、《吐鲁番市打赢蓝天保卫战三年行动计划实施方案（2018-2020）》、《吐鲁番市生态环境保护“十四五”规划》、《吐鲁番市水污染防治总体实施方案》、《鄯善县打赢蓝天保卫战三年行动计划实施方案（2018-2020）》、《鄯善县水污染防治工作方案》、《新疆鄯善县七克台矿区总体规划》及规划环评</w:t>
            </w:r>
          </w:p>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污染物排放管控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Times New Roman" w:hAnsi="Times New Roman" w:eastAsia="仿宋_GB2312" w:cs="Times New Roman"/>
                <w:lang w:bidi="en-US"/>
              </w:rPr>
              <w:t>建设绿色煤炭矿山</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贮存、转载、装卸等过程中产生的无组织污染物必须采取防尘抑尘措施，新建及改扩建采煤项目原煤须采用筒仓或封闭式煤场，厂内输送采用封闭式皮带走廊。锅炉灰渣及煤矸石优先综合利用。煤矸石无害化处置率达到100%。</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3.矿区</w:t>
            </w:r>
            <w:r>
              <w:rPr>
                <w:rFonts w:hint="eastAsia" w:ascii="仿宋_GB2312" w:hAnsi="Times New Roman" w:eastAsia="仿宋_GB2312" w:cs="Times New Roman"/>
                <w:lang w:bidi="en-US"/>
              </w:rPr>
              <w:t>其他易起尘的</w:t>
            </w:r>
            <w:r>
              <w:rPr>
                <w:rFonts w:ascii="仿宋_GB2312" w:hAnsi="Times New Roman" w:eastAsia="仿宋_GB2312" w:cs="Times New Roman"/>
                <w:lang w:bidi="en-US"/>
              </w:rPr>
              <w:t>堆场均应</w:t>
            </w:r>
            <w:r>
              <w:rPr>
                <w:rFonts w:hint="eastAsia" w:ascii="仿宋_GB2312" w:hAnsi="Times New Roman" w:eastAsia="仿宋_GB2312" w:cs="Times New Roman"/>
                <w:lang w:bidi="en-US"/>
              </w:rPr>
              <w:t>采取封闭、覆盖、设置防风抑尘网等措施</w:t>
            </w:r>
            <w:r>
              <w:rPr>
                <w:rFonts w:ascii="仿宋_GB2312" w:hAnsi="Times New Roman" w:eastAsia="仿宋_GB2312" w:cs="Times New Roman"/>
                <w:lang w:bidi="en-US"/>
              </w:rPr>
              <w:t>；矿区内道路应尽量进行硬化</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环境风险防控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1.完善危险源防控机制，提升矿井综合抗灾能力，实施安全闭合管理，确保隐患治理到位。</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122"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984" w:type="dxa"/>
            <w:vMerge w:val="continue"/>
            <w:shd w:val="clear" w:color="auto" w:fill="auto"/>
            <w:vAlign w:val="center"/>
          </w:tcPr>
          <w:p>
            <w:pPr>
              <w:adjustRightInd w:val="0"/>
              <w:snapToGrid w:val="0"/>
              <w:rPr>
                <w:rFonts w:ascii="仿宋_GB2312" w:hAnsi="Times New Roman" w:eastAsia="仿宋_GB2312" w:cs="Times New Roman"/>
                <w:bCs/>
                <w:lang w:bidi="en-US"/>
              </w:rPr>
            </w:pPr>
          </w:p>
        </w:tc>
        <w:tc>
          <w:tcPr>
            <w:tcW w:w="12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c>
          <w:tcPr>
            <w:tcW w:w="1135" w:type="dxa"/>
            <w:shd w:val="clear" w:color="auto" w:fill="auto"/>
            <w:vAlign w:val="center"/>
          </w:tcPr>
          <w:p>
            <w:pPr>
              <w:adjustRightInd w:val="0"/>
              <w:snapToGrid w:val="0"/>
              <w:rPr>
                <w:rFonts w:ascii="仿宋_GB2312" w:hAnsi="Times New Roman" w:eastAsia="仿宋_GB2312" w:cs="Times New Roman"/>
                <w:b/>
                <w:bCs/>
                <w:lang w:bidi="en-US"/>
              </w:rPr>
            </w:pPr>
            <w:r>
              <w:rPr>
                <w:rFonts w:hint="eastAsia" w:ascii="仿宋_GB2312" w:hAnsi="Times New Roman" w:eastAsia="仿宋_GB2312" w:cs="Times New Roman"/>
                <w:bCs/>
                <w:lang w:bidi="en-US"/>
              </w:rPr>
              <w:t>资源利用效率</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严把耗煤新项目准入关，控制煤炭消费总量。</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w:t>
            </w:r>
            <w:r>
              <w:rPr>
                <w:rFonts w:ascii="Times New Roman" w:hAnsi="Times New Roman" w:eastAsia="仿宋_GB2312" w:cs="Times New Roman"/>
                <w:lang w:bidi="en-US"/>
              </w:rPr>
              <w:t>进一步提高选矿废水综合利用率，促进煤矸石、矿井水等资源综合利用。</w:t>
            </w:r>
            <w:r>
              <w:rPr>
                <w:rFonts w:hint="eastAsia" w:ascii="仿宋_GB2312" w:hAnsi="Times New Roman" w:eastAsia="仿宋_GB2312" w:cs="Times New Roman"/>
                <w:lang w:bidi="en-US"/>
              </w:rPr>
              <w:t>新建矿山和现有生产矿山的地质环境得到全面治理和复垦，“三废”达标排放率达到95%，废水综合利用率达到70%以上，固体废物综合利用率达到50%以上；对全县的历史遗留地质环境问题，进行逐一恢复治理。</w:t>
            </w:r>
          </w:p>
        </w:tc>
        <w:tc>
          <w:tcPr>
            <w:tcW w:w="5647" w:type="dxa"/>
            <w:vMerge w:val="continue"/>
            <w:shd w:val="clear" w:color="auto" w:fill="auto"/>
            <w:vAlign w:val="center"/>
          </w:tcPr>
          <w:p>
            <w:pPr>
              <w:adjustRightInd w:val="0"/>
              <w:snapToGrid w:val="0"/>
              <w:rPr>
                <w:rFonts w:ascii="仿宋_GB2312" w:hAnsi="Times New Roman" w:eastAsia="仿宋_GB2312" w:cs="Times New Roman"/>
                <w:b/>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restart"/>
            <w:shd w:val="clear" w:color="auto" w:fill="auto"/>
            <w:vAlign w:val="center"/>
          </w:tcPr>
          <w:p>
            <w:pPr>
              <w:adjustRightInd w:val="0"/>
              <w:snapToGrid w:val="0"/>
              <w:spacing w:line="360" w:lineRule="auto"/>
              <w:rPr>
                <w:rFonts w:ascii="仿宋_GB2312" w:hAnsi="Times New Roman" w:eastAsia="仿宋_GB2312" w:cs="Times New Roman"/>
                <w:lang w:bidi="en-US"/>
              </w:rPr>
            </w:pPr>
            <w:bookmarkStart w:id="22" w:name="_Hlk71486164"/>
            <w:r>
              <w:rPr>
                <w:rFonts w:hint="eastAsia" w:ascii="仿宋_GB2312" w:hAnsi="Times New Roman" w:eastAsia="仿宋_GB2312" w:cs="Times New Roman"/>
                <w:lang w:bidi="en-US"/>
              </w:rPr>
              <w:t>ZH65042130001</w:t>
            </w:r>
          </w:p>
        </w:tc>
        <w:tc>
          <w:tcPr>
            <w:tcW w:w="1984"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鄯善县大气环境布局敏感区一般管控单元</w:t>
            </w:r>
          </w:p>
        </w:tc>
        <w:tc>
          <w:tcPr>
            <w:tcW w:w="1247"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一般管控单元</w:t>
            </w:r>
          </w:p>
        </w:tc>
        <w:tc>
          <w:tcPr>
            <w:tcW w:w="1135"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lang w:bidi="en-US"/>
              </w:rPr>
              <w:t>空间布局约束</w:t>
            </w:r>
          </w:p>
        </w:tc>
        <w:tc>
          <w:tcPr>
            <w:tcW w:w="8958" w:type="dxa"/>
            <w:shd w:val="clear" w:color="auto" w:fill="auto"/>
          </w:tcPr>
          <w:p>
            <w:pPr>
              <w:pStyle w:val="45"/>
              <w:adjustRightInd w:val="0"/>
              <w:snapToGrid w:val="0"/>
              <w:ind w:firstLine="0" w:firstLineChars="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仿宋_GB2312" w:hAnsi="Times New Roman" w:eastAsia="仿宋_GB2312" w:cs="Times New Roman"/>
                <w:lang w:bidi="en-US"/>
              </w:rPr>
              <w:t>.</w:t>
            </w:r>
            <w:r>
              <w:rPr>
                <w:rFonts w:hint="eastAsia" w:ascii="仿宋_GB2312" w:hAnsi="Times New Roman" w:eastAsia="仿宋_GB2312" w:cs="Times New Roman"/>
                <w:lang w:bidi="en-US"/>
              </w:rPr>
              <w:t>禁止布置工业园区或工业集聚区。</w:t>
            </w:r>
          </w:p>
          <w:p>
            <w:pPr>
              <w:pStyle w:val="45"/>
              <w:adjustRightInd w:val="0"/>
              <w:snapToGrid w:val="0"/>
              <w:ind w:firstLine="0" w:firstLineChars="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.禁止新增</w:t>
            </w:r>
            <w:r>
              <w:rPr>
                <w:rFonts w:hint="eastAsia" w:ascii="仿宋_GB2312" w:hAnsi="Times New Roman" w:eastAsia="仿宋_GB2312" w:cs="Times New Roman"/>
                <w:lang w:bidi="en-US"/>
              </w:rPr>
              <w:t>传统</w:t>
            </w:r>
            <w:r>
              <w:rPr>
                <w:rFonts w:ascii="仿宋_GB2312" w:hAnsi="Times New Roman" w:eastAsia="仿宋_GB2312" w:cs="Times New Roman"/>
                <w:lang w:bidi="en-US"/>
              </w:rPr>
              <w:t>燃煤的工业项目；禁止准入</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ascii="仿宋_GB2312" w:hAnsi="Times New Roman" w:eastAsia="仿宋_GB2312" w:cs="Times New Roman"/>
                <w:lang w:bidi="en-US"/>
              </w:rPr>
              <w:t>三类工业项目；禁止准入包装印刷、工业涂装等高VOCs排放建设项目</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不得建设大规模涉及有毒有害气体的生产、使用、储运等的项目。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限制</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lang w:bidi="en-US"/>
              </w:rPr>
              <w:t>涉气二类工业项目，</w:t>
            </w:r>
            <w:r>
              <w:rPr>
                <w:rFonts w:ascii="仿宋_GB2312" w:hAnsi="Times New Roman" w:eastAsia="仿宋_GB2312" w:cs="Times New Roman"/>
                <w:lang w:bidi="en-US"/>
              </w:rPr>
              <w:t>新建</w:t>
            </w:r>
            <w:r>
              <w:rPr>
                <w:rFonts w:hint="eastAsia" w:ascii="仿宋_GB2312" w:hAnsi="Times New Roman" w:eastAsia="仿宋_GB2312" w:cs="Times New Roman"/>
                <w:lang w:bidi="en-US"/>
              </w:rPr>
              <w:t>、扩建</w:t>
            </w:r>
            <w:r>
              <w:rPr>
                <w:rFonts w:ascii="仿宋_GB2312" w:hAnsi="Times New Roman" w:eastAsia="仿宋_GB2312" w:cs="Times New Roman"/>
                <w:lang w:bidi="en-US"/>
              </w:rPr>
              <w:t>二类工业项目污染物排放水平要达到同行业国内先进水平</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5.现有</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ascii="仿宋_GB2312" w:hAnsi="Times New Roman" w:eastAsia="仿宋_GB2312" w:cs="Times New Roman"/>
                <w:lang w:bidi="en-US"/>
              </w:rPr>
              <w:t>三类工业项目应限期退出或关停</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推进新能源的开发和利用，鼓励发展风力发电和太阳能发电。</w:t>
            </w:r>
          </w:p>
        </w:tc>
        <w:tc>
          <w:tcPr>
            <w:tcW w:w="5647" w:type="dxa"/>
            <w:vMerge w:val="restart"/>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lang w:bidi="en-US"/>
              </w:rPr>
              <w:t>单元特点：</w:t>
            </w:r>
            <w:r>
              <w:rPr>
                <w:rFonts w:hint="eastAsia" w:ascii="仿宋_GB2312" w:hAnsi="仿宋" w:eastAsia="仿宋_GB2312" w:cs="仿宋"/>
                <w:lang w:bidi="en-US"/>
              </w:rPr>
              <w:t>布局敏感区</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要素属性：</w:t>
            </w:r>
            <w:r>
              <w:rPr>
                <w:rFonts w:hint="eastAsia" w:ascii="仿宋_GB2312" w:hAnsi="仿宋" w:eastAsia="仿宋_GB2312" w:cs="仿宋"/>
                <w:lang w:bidi="en-US"/>
              </w:rPr>
              <w:t>大气布局敏感区</w:t>
            </w:r>
          </w:p>
          <w:p>
            <w:pPr>
              <w:adjustRightInd w:val="0"/>
              <w:snapToGrid w:val="0"/>
              <w:rPr>
                <w:rFonts w:ascii="仿宋_GB2312" w:hAnsi="Calibri" w:eastAsia="仿宋_GB2312" w:cs="Times New Roman"/>
                <w:lang w:bidi="en-US"/>
              </w:rPr>
            </w:pPr>
            <w:r>
              <w:rPr>
                <w:rFonts w:hint="eastAsia" w:ascii="仿宋_GB2312" w:hAnsi="仿宋" w:eastAsia="仿宋_GB2312" w:cs="仿宋"/>
                <w:b/>
                <w:lang w:bidi="en-US"/>
              </w:rPr>
              <w:t>相关要求：</w:t>
            </w:r>
            <w:r>
              <w:rPr>
                <w:rFonts w:ascii="Times New Roman" w:hAnsi="Times New Roman" w:eastAsia="仿宋_GB2312" w:cs="Times New Roman"/>
                <w:lang w:bidi="en-US"/>
              </w:rPr>
              <w:t>《吐鲁番市大气环境质量限期达标规划》、《吐鲁番市打赢蓝天保卫战三年行动计划实施方案》、《吐鲁番市</w:t>
            </w:r>
            <w:r>
              <w:rPr>
                <w:rFonts w:hint="eastAsia" w:ascii="Times New Roman" w:hAnsi="Times New Roman" w:eastAsia="仿宋_GB2312" w:cs="Times New Roman"/>
                <w:lang w:bidi="en-US"/>
              </w:rPr>
              <w:t>生态</w:t>
            </w:r>
            <w:r>
              <w:rPr>
                <w:rFonts w:ascii="Times New Roman" w:hAnsi="Times New Roman" w:eastAsia="仿宋_GB2312" w:cs="Times New Roman"/>
                <w:lang w:bidi="en-US"/>
              </w:rPr>
              <w:t>环境保护“十</w:t>
            </w:r>
            <w:r>
              <w:rPr>
                <w:rFonts w:hint="eastAsia" w:ascii="Times New Roman" w:hAnsi="Times New Roman" w:eastAsia="仿宋_GB2312" w:cs="Times New Roman"/>
                <w:lang w:bidi="en-US"/>
              </w:rPr>
              <w:t>四</w:t>
            </w:r>
            <w:r>
              <w:rPr>
                <w:rFonts w:ascii="Times New Roman" w:hAnsi="Times New Roman" w:eastAsia="仿宋_GB2312" w:cs="Times New Roman"/>
                <w:lang w:bidi="en-US"/>
              </w:rPr>
              <w:t>五”规划》</w:t>
            </w:r>
            <w:r>
              <w:rPr>
                <w:rFonts w:hint="eastAsia" w:ascii="Times New Roman" w:hAnsi="Times New Roman" w:eastAsia="仿宋_GB2312" w:cs="Times New Roman"/>
                <w:lang w:bidi="en-US"/>
              </w:rPr>
              <w:t>、</w:t>
            </w:r>
            <w:r>
              <w:rPr>
                <w:rFonts w:hint="eastAsia" w:ascii="仿宋_GB2312" w:hAnsi="仿宋" w:eastAsia="仿宋_GB2312" w:cs="仿宋"/>
                <w:lang w:bidi="en-US"/>
              </w:rPr>
              <w:t>《鄯善县打赢蓝天保卫战三年行动计划实施方案（2018-2020）》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84"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247"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5"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8958"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w:t>
            </w:r>
            <w:r>
              <w:rPr>
                <w:rFonts w:hint="eastAsia" w:ascii="仿宋_GB2312" w:hAnsi="Times New Roman" w:eastAsia="仿宋_GB2312" w:cs="Times New Roman"/>
                <w:lang w:bidi="en-US"/>
              </w:rPr>
              <w:t>对</w:t>
            </w:r>
            <w:r>
              <w:rPr>
                <w:rFonts w:ascii="仿宋_GB2312" w:hAnsi="Times New Roman" w:eastAsia="仿宋_GB2312" w:cs="Times New Roman"/>
                <w:lang w:bidi="en-US"/>
              </w:rPr>
              <w:t>SO</w:t>
            </w:r>
            <w:r>
              <w:rPr>
                <w:rFonts w:ascii="仿宋_GB2312" w:hAnsi="Times New Roman" w:eastAsia="仿宋_GB2312" w:cs="Times New Roman"/>
                <w:vertAlign w:val="subscript"/>
                <w:lang w:bidi="en-US"/>
              </w:rPr>
              <w:t>2</w:t>
            </w:r>
            <w:r>
              <w:rPr>
                <w:rFonts w:hint="eastAsia" w:ascii="仿宋_GB2312" w:hAnsi="Times New Roman" w:eastAsia="仿宋_GB2312" w:cs="Times New Roman"/>
                <w:lang w:bidi="en-US"/>
              </w:rPr>
              <w:t>、</w:t>
            </w:r>
            <w:r>
              <w:rPr>
                <w:rFonts w:ascii="仿宋_GB2312" w:hAnsi="Times New Roman" w:eastAsia="仿宋_GB2312" w:cs="Times New Roman"/>
                <w:lang w:bidi="en-US"/>
              </w:rPr>
              <w:t>NO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s进行总量控制，新增工业项目所需的总量需在单元内平衡。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2.新、改、扩建涉VOCs排放项目，应从源头加强控制，使用低（无）VOCs含量的原辅材料，加强废气收集，安装高效治理设施，废气收集率和处理率均达到国内先进水平。</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加快推进集中供热、煤改气、煤改电工程。</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因地制宜制定实施清洁取暖方案，实行散煤清洁化改造整村推进。通过以电代煤、气代煤以及风能、太阳能、地热能等清洁能源替代。</w:t>
            </w:r>
          </w:p>
        </w:tc>
        <w:tc>
          <w:tcPr>
            <w:tcW w:w="5647"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84"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247"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5"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8958"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1.强化企业环境风险防范设施设备建设和正常运行监管，建立常态化的企业隐患排查整治监管机制，涉危的风险企业应及时编制环境风险应急预案并定期更新，每年至少开展一次应急演练。</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.加强风险防控体系建设，防范环境风险</w:t>
            </w:r>
          </w:p>
        </w:tc>
        <w:tc>
          <w:tcPr>
            <w:tcW w:w="5647"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84"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247"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5"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8958"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tc>
        <w:tc>
          <w:tcPr>
            <w:tcW w:w="5647" w:type="dxa"/>
            <w:vMerge w:val="continue"/>
            <w:vAlign w:val="center"/>
          </w:tcPr>
          <w:p>
            <w:pPr>
              <w:adjustRightInd w:val="0"/>
              <w:snapToGrid w:val="0"/>
              <w:rPr>
                <w:rFonts w:ascii="仿宋_GB2312" w:hAnsi="仿宋" w:eastAsia="仿宋_GB2312" w:cs="仿宋"/>
                <w:lang w:bidi="en-US"/>
              </w:rPr>
            </w:pPr>
          </w:p>
        </w:tc>
      </w:tr>
      <w:bookmarkEnd w:id="2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restart"/>
            <w:shd w:val="clear" w:color="auto" w:fill="auto"/>
            <w:vAlign w:val="center"/>
          </w:tcPr>
          <w:p>
            <w:pPr>
              <w:adjustRightInd w:val="0"/>
              <w:snapToGrid w:val="0"/>
              <w:spacing w:line="360" w:lineRule="auto"/>
              <w:rPr>
                <w:rFonts w:ascii="仿宋_GB2312" w:hAnsi="Times New Roman" w:eastAsia="仿宋_GB2312" w:cs="Times New Roman"/>
                <w:lang w:bidi="en-US"/>
              </w:rPr>
            </w:pPr>
            <w:bookmarkStart w:id="23" w:name="_Hlk71486387"/>
            <w:r>
              <w:rPr>
                <w:rFonts w:hint="eastAsia" w:ascii="仿宋_GB2312" w:hAnsi="Times New Roman" w:eastAsia="仿宋_GB2312" w:cs="Times New Roman"/>
                <w:lang w:bidi="en-US"/>
              </w:rPr>
              <w:t>ZH65042130002</w:t>
            </w:r>
          </w:p>
        </w:tc>
        <w:tc>
          <w:tcPr>
            <w:tcW w:w="1984"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鄯善县大气环境弱扩散区一般管控单元01</w:t>
            </w:r>
          </w:p>
        </w:tc>
        <w:tc>
          <w:tcPr>
            <w:tcW w:w="1247"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一般管控单元</w:t>
            </w:r>
          </w:p>
        </w:tc>
        <w:tc>
          <w:tcPr>
            <w:tcW w:w="1135"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lang w:bidi="en-US"/>
              </w:rPr>
              <w:t>空间布局约束</w:t>
            </w:r>
          </w:p>
        </w:tc>
        <w:tc>
          <w:tcPr>
            <w:tcW w:w="8958"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1.禁止新增</w:t>
            </w:r>
            <w:r>
              <w:rPr>
                <w:rFonts w:hint="eastAsia" w:ascii="仿宋_GB2312" w:hAnsi="Times New Roman" w:eastAsia="仿宋_GB2312" w:cs="Times New Roman"/>
                <w:lang w:bidi="en-US"/>
              </w:rPr>
              <w:t>传统</w:t>
            </w:r>
            <w:r>
              <w:rPr>
                <w:rFonts w:ascii="仿宋_GB2312" w:hAnsi="Times New Roman" w:eastAsia="仿宋_GB2312" w:cs="Times New Roman"/>
                <w:lang w:bidi="en-US"/>
              </w:rPr>
              <w:t>燃煤的工业项目；禁止准入</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ascii="仿宋_GB2312" w:hAnsi="Times New Roman" w:eastAsia="仿宋_GB2312" w:cs="Times New Roman"/>
                <w:lang w:bidi="en-US"/>
              </w:rPr>
              <w:t>三类工业项目；禁止准入包装印刷、工业涂装等高VOCs排放建设项目</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不得建设大规模涉及有毒有害气体的生产、使用、储运等的项目。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限制进行大规模高强度工业化开发，限制</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lang w:bidi="en-US"/>
              </w:rPr>
              <w:t>涉气二类工业项目，</w:t>
            </w:r>
            <w:r>
              <w:rPr>
                <w:rFonts w:ascii="仿宋_GB2312" w:hAnsi="Times New Roman" w:eastAsia="仿宋_GB2312" w:cs="Times New Roman"/>
                <w:lang w:bidi="en-US"/>
              </w:rPr>
              <w:t>新建</w:t>
            </w:r>
            <w:r>
              <w:rPr>
                <w:rFonts w:hint="eastAsia" w:ascii="仿宋_GB2312" w:hAnsi="Times New Roman" w:eastAsia="仿宋_GB2312" w:cs="Times New Roman"/>
                <w:lang w:bidi="en-US"/>
              </w:rPr>
              <w:t>、扩建</w:t>
            </w:r>
            <w:r>
              <w:rPr>
                <w:rFonts w:ascii="仿宋_GB2312" w:hAnsi="Times New Roman" w:eastAsia="仿宋_GB2312" w:cs="Times New Roman"/>
                <w:lang w:bidi="en-US"/>
              </w:rPr>
              <w:t>二类工业项目污染物排放水平要达到同行业国内先进水平</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4.现有</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ascii="仿宋_GB2312" w:hAnsi="Times New Roman" w:eastAsia="仿宋_GB2312" w:cs="Times New Roman"/>
                <w:lang w:bidi="en-US"/>
              </w:rPr>
              <w:t>三类工业项目应限期退出或关停</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推进新能源的开发和利用，鼓励发展风力发电和太阳能发电。</w:t>
            </w:r>
          </w:p>
        </w:tc>
        <w:tc>
          <w:tcPr>
            <w:tcW w:w="5647" w:type="dxa"/>
            <w:vMerge w:val="restart"/>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lang w:bidi="en-US"/>
              </w:rPr>
              <w:t>单元特点：</w:t>
            </w:r>
            <w:r>
              <w:rPr>
                <w:rFonts w:hint="eastAsia" w:ascii="仿宋_GB2312" w:hAnsi="仿宋" w:eastAsia="仿宋_GB2312" w:cs="仿宋"/>
                <w:lang w:bidi="en-US"/>
              </w:rPr>
              <w:t>弱扩散区</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要素属性：</w:t>
            </w:r>
            <w:r>
              <w:rPr>
                <w:rFonts w:hint="eastAsia" w:ascii="仿宋_GB2312" w:hAnsi="仿宋" w:eastAsia="仿宋_GB2312" w:cs="仿宋"/>
                <w:lang w:bidi="en-US"/>
              </w:rPr>
              <w:t>大气弱扩散区</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相关要求：</w:t>
            </w:r>
            <w:r>
              <w:rPr>
                <w:rFonts w:hint="eastAsia" w:ascii="仿宋_GB2312" w:hAnsi="仿宋" w:eastAsia="仿宋_GB2312" w:cs="仿宋"/>
                <w:lang w:bidi="en-US"/>
              </w:rPr>
              <w:t>《吐鲁番市大气环境质量限期达标规划》、《吐鲁番市打赢蓝天保卫战三年行动计划实施方案（</w:t>
            </w:r>
            <w:r>
              <w:rPr>
                <w:rFonts w:ascii="仿宋_GB2312" w:hAnsi="仿宋" w:eastAsia="仿宋_GB2312" w:cs="仿宋"/>
                <w:lang w:bidi="en-US"/>
              </w:rPr>
              <w:t>2018-2020）》、《</w:t>
            </w:r>
            <w:r>
              <w:rPr>
                <w:rFonts w:hint="eastAsia" w:ascii="仿宋_GB2312" w:hAnsi="仿宋" w:eastAsia="仿宋_GB2312" w:cs="仿宋"/>
                <w:lang w:bidi="en-US"/>
              </w:rPr>
              <w:t>吐鲁番市生态环境保护“十四五”规划</w:t>
            </w:r>
            <w:r>
              <w:rPr>
                <w:rFonts w:ascii="仿宋_GB2312" w:hAnsi="仿宋" w:eastAsia="仿宋_GB2312" w:cs="仿宋"/>
                <w:lang w:bidi="en-US"/>
              </w:rPr>
              <w:t>》、《吐鲁番市水污染防治总体实施方案》</w:t>
            </w:r>
            <w:r>
              <w:rPr>
                <w:rFonts w:hint="eastAsia" w:ascii="仿宋_GB2312" w:hAnsi="仿宋" w:eastAsia="仿宋_GB2312" w:cs="仿宋"/>
                <w:lang w:bidi="en-US"/>
              </w:rPr>
              <w:t>、《鄯善县打赢蓝天保卫战三年行动计划实施方案（2018-2020）》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continue"/>
            <w:shd w:val="clear" w:color="auto" w:fill="auto"/>
            <w:vAlign w:val="center"/>
          </w:tcPr>
          <w:p>
            <w:pPr>
              <w:rPr>
                <w:rFonts w:ascii="仿宋_GB2312" w:hAnsi="Times New Roman" w:eastAsia="仿宋_GB2312" w:cs="Times New Roman"/>
                <w:lang w:bidi="en-US"/>
              </w:rPr>
            </w:pPr>
          </w:p>
        </w:tc>
        <w:tc>
          <w:tcPr>
            <w:tcW w:w="1984"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247"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5"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8958"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w:t>
            </w:r>
            <w:r>
              <w:rPr>
                <w:rFonts w:hint="eastAsia" w:ascii="仿宋_GB2312" w:hAnsi="Times New Roman" w:eastAsia="仿宋_GB2312" w:cs="Times New Roman"/>
                <w:lang w:bidi="en-US"/>
              </w:rPr>
              <w:t>对</w:t>
            </w:r>
            <w:r>
              <w:rPr>
                <w:rFonts w:ascii="仿宋_GB2312" w:hAnsi="Times New Roman" w:eastAsia="仿宋_GB2312" w:cs="Times New Roman"/>
                <w:lang w:bidi="en-US"/>
              </w:rPr>
              <w:t>SO</w:t>
            </w:r>
            <w:r>
              <w:rPr>
                <w:rFonts w:ascii="仿宋_GB2312" w:hAnsi="Times New Roman" w:eastAsia="仿宋_GB2312" w:cs="Times New Roman"/>
                <w:vertAlign w:val="subscript"/>
                <w:lang w:bidi="en-US"/>
              </w:rPr>
              <w:t>2</w:t>
            </w:r>
            <w:r>
              <w:rPr>
                <w:rFonts w:hint="eastAsia" w:ascii="仿宋_GB2312" w:hAnsi="Times New Roman" w:eastAsia="仿宋_GB2312" w:cs="Times New Roman"/>
                <w:lang w:bidi="en-US"/>
              </w:rPr>
              <w:t>、</w:t>
            </w:r>
            <w:r>
              <w:rPr>
                <w:rFonts w:ascii="仿宋_GB2312" w:hAnsi="Times New Roman" w:eastAsia="仿宋_GB2312" w:cs="Times New Roman"/>
                <w:lang w:bidi="en-US"/>
              </w:rPr>
              <w:t>NO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s进行总量控制，新增工业项目所需的总量需在单元内平衡。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2.新、改、扩建涉VOCs排放项目，应从源头加强控制，使用低（无）VOCs含量的原辅材料，加强废气收集，安装高效治理设施，废气收集率和处理率均达到国内先进水平。</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加快推进集中供热、煤改气、煤改电工程。</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因地制宜制定实施清洁取暖方案，实行散煤清洁化改造整村推进。通过以电代煤、气代煤以及风能、太阳能、地热能等清洁能源替代。</w:t>
            </w:r>
          </w:p>
        </w:tc>
        <w:tc>
          <w:tcPr>
            <w:tcW w:w="5647"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continue"/>
            <w:shd w:val="clear" w:color="auto" w:fill="auto"/>
            <w:vAlign w:val="center"/>
          </w:tcPr>
          <w:p>
            <w:pPr>
              <w:adjustRightInd w:val="0"/>
              <w:snapToGrid w:val="0"/>
              <w:spacing w:line="360" w:lineRule="auto"/>
              <w:rPr>
                <w:rFonts w:ascii="仿宋_GB2312" w:hAnsi="Times New Roman" w:eastAsia="仿宋_GB2312" w:cs="Times New Roman"/>
                <w:lang w:bidi="en-US"/>
              </w:rPr>
            </w:pPr>
          </w:p>
        </w:tc>
        <w:tc>
          <w:tcPr>
            <w:tcW w:w="1984" w:type="dxa"/>
            <w:vMerge w:val="continue"/>
            <w:shd w:val="clear" w:color="auto" w:fill="auto"/>
            <w:vAlign w:val="center"/>
          </w:tcPr>
          <w:p>
            <w:pPr>
              <w:adjustRightInd w:val="0"/>
              <w:snapToGrid w:val="0"/>
              <w:spacing w:line="360" w:lineRule="auto"/>
              <w:rPr>
                <w:rFonts w:ascii="仿宋_GB2312" w:hAnsi="Times New Roman" w:eastAsia="仿宋_GB2312" w:cs="Times New Roman"/>
                <w:lang w:bidi="en-US"/>
              </w:rPr>
            </w:pPr>
          </w:p>
        </w:tc>
        <w:tc>
          <w:tcPr>
            <w:tcW w:w="1247"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5"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8958"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1.强化企业环境风险防范设施设备建设和正常运行监管，建立常态化的企业隐患排查整治监管机制，涉危的风险企业应及时编制环境风险应急预案并定期更新，每年至少开展一次应急演练。</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.加强风险防控体系建设，防范环境风险。</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建立重污染天气预警体系，建立应对的应急预案。</w:t>
            </w:r>
          </w:p>
        </w:tc>
        <w:tc>
          <w:tcPr>
            <w:tcW w:w="5647"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continue"/>
            <w:shd w:val="clear" w:color="auto" w:fill="auto"/>
            <w:vAlign w:val="center"/>
          </w:tcPr>
          <w:p>
            <w:pPr>
              <w:adjustRightInd w:val="0"/>
              <w:snapToGrid w:val="0"/>
              <w:spacing w:line="360" w:lineRule="auto"/>
              <w:rPr>
                <w:rFonts w:ascii="仿宋_GB2312" w:hAnsi="Times New Roman" w:eastAsia="仿宋_GB2312" w:cs="Times New Roman"/>
                <w:lang w:bidi="en-US"/>
              </w:rPr>
            </w:pPr>
          </w:p>
        </w:tc>
        <w:tc>
          <w:tcPr>
            <w:tcW w:w="1984" w:type="dxa"/>
            <w:vMerge w:val="continue"/>
            <w:shd w:val="clear" w:color="auto" w:fill="auto"/>
            <w:vAlign w:val="center"/>
          </w:tcPr>
          <w:p>
            <w:pPr>
              <w:adjustRightInd w:val="0"/>
              <w:snapToGrid w:val="0"/>
              <w:spacing w:line="360" w:lineRule="auto"/>
              <w:rPr>
                <w:rFonts w:ascii="仿宋_GB2312" w:hAnsi="Times New Roman" w:eastAsia="仿宋_GB2312" w:cs="Times New Roman"/>
                <w:lang w:bidi="en-US"/>
              </w:rPr>
            </w:pPr>
          </w:p>
        </w:tc>
        <w:tc>
          <w:tcPr>
            <w:tcW w:w="1247"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5"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8958"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加强煤炭安全绿色开发和清洁高效利用，推广使用优质煤、洁净型煤。</w:t>
            </w:r>
          </w:p>
        </w:tc>
        <w:tc>
          <w:tcPr>
            <w:tcW w:w="5647"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restart"/>
            <w:shd w:val="clear" w:color="auto" w:fill="auto"/>
            <w:vAlign w:val="center"/>
          </w:tcPr>
          <w:p>
            <w:pPr>
              <w:adjustRightInd w:val="0"/>
              <w:snapToGrid w:val="0"/>
              <w:spacing w:line="360" w:lineRule="auto"/>
              <w:rPr>
                <w:rFonts w:ascii="仿宋_GB2312" w:hAnsi="Times New Roman" w:eastAsia="仿宋_GB2312" w:cs="Times New Roman"/>
                <w:lang w:bidi="en-US"/>
              </w:rPr>
            </w:pPr>
            <w:r>
              <w:rPr>
                <w:rFonts w:hint="eastAsia" w:ascii="仿宋_GB2312" w:hAnsi="Times New Roman" w:eastAsia="仿宋_GB2312" w:cs="Times New Roman"/>
                <w:lang w:bidi="en-US"/>
              </w:rPr>
              <w:t>ZH65042130003</w:t>
            </w:r>
          </w:p>
        </w:tc>
        <w:tc>
          <w:tcPr>
            <w:tcW w:w="1984"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鄯善县大气环境弱扩散区一般管控单元</w:t>
            </w:r>
            <w:r>
              <w:rPr>
                <w:rFonts w:ascii="仿宋_GB2312" w:hAnsi="Times New Roman" w:eastAsia="仿宋_GB2312" w:cs="Times New Roman"/>
                <w:lang w:bidi="en-US"/>
              </w:rPr>
              <w:t>0</w:t>
            </w:r>
            <w:r>
              <w:rPr>
                <w:rFonts w:hint="eastAsia" w:ascii="仿宋_GB2312" w:hAnsi="Times New Roman" w:eastAsia="仿宋_GB2312" w:cs="Times New Roman"/>
                <w:lang w:bidi="en-US"/>
              </w:rPr>
              <w:t>2</w:t>
            </w:r>
          </w:p>
        </w:tc>
        <w:tc>
          <w:tcPr>
            <w:tcW w:w="1247"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一般管控单元</w:t>
            </w:r>
          </w:p>
        </w:tc>
        <w:tc>
          <w:tcPr>
            <w:tcW w:w="1135"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lang w:bidi="en-US"/>
              </w:rPr>
              <w:t>空间布局约束</w:t>
            </w:r>
          </w:p>
        </w:tc>
        <w:tc>
          <w:tcPr>
            <w:tcW w:w="8958"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1.禁止新增</w:t>
            </w:r>
            <w:r>
              <w:rPr>
                <w:rFonts w:hint="eastAsia" w:ascii="仿宋_GB2312" w:hAnsi="Times New Roman" w:eastAsia="仿宋_GB2312" w:cs="Times New Roman"/>
                <w:lang w:bidi="en-US"/>
              </w:rPr>
              <w:t>传统</w:t>
            </w:r>
            <w:r>
              <w:rPr>
                <w:rFonts w:ascii="仿宋_GB2312" w:hAnsi="Times New Roman" w:eastAsia="仿宋_GB2312" w:cs="Times New Roman"/>
                <w:lang w:bidi="en-US"/>
              </w:rPr>
              <w:t>燃煤的工业项目；禁止准入</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ascii="仿宋_GB2312" w:hAnsi="Times New Roman" w:eastAsia="仿宋_GB2312" w:cs="Times New Roman"/>
                <w:lang w:bidi="en-US"/>
              </w:rPr>
              <w:t>三类工业项目；禁止包装印刷、工业涂装等高VOCs排放建设项目</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不得建设大规模涉及有毒有害气体的生产、使用、储运等的项目。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限制进行大规模高强度工业化开发，限制</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lang w:bidi="en-US"/>
              </w:rPr>
              <w:t>涉气二类工业项目，</w:t>
            </w:r>
            <w:r>
              <w:rPr>
                <w:rFonts w:ascii="仿宋_GB2312" w:hAnsi="Times New Roman" w:eastAsia="仿宋_GB2312" w:cs="Times New Roman"/>
                <w:lang w:bidi="en-US"/>
              </w:rPr>
              <w:t>新建</w:t>
            </w:r>
            <w:r>
              <w:rPr>
                <w:rFonts w:hint="eastAsia" w:ascii="仿宋_GB2312" w:hAnsi="Times New Roman" w:eastAsia="仿宋_GB2312" w:cs="Times New Roman"/>
                <w:lang w:bidi="en-US"/>
              </w:rPr>
              <w:t>、扩建</w:t>
            </w:r>
            <w:r>
              <w:rPr>
                <w:rFonts w:ascii="仿宋_GB2312" w:hAnsi="Times New Roman" w:eastAsia="仿宋_GB2312" w:cs="Times New Roman"/>
                <w:lang w:bidi="en-US"/>
              </w:rPr>
              <w:t>二类工业项目污染物排放水平要达到同行业国内先进水平</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4.现有</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ascii="仿宋_GB2312" w:hAnsi="Times New Roman" w:eastAsia="仿宋_GB2312" w:cs="Times New Roman"/>
                <w:lang w:bidi="en-US"/>
              </w:rPr>
              <w:t>三类工业项目应限期退出或关停</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推进新能源的开发和利用，鼓励发展风力发电和太阳能发电。</w:t>
            </w:r>
          </w:p>
        </w:tc>
        <w:tc>
          <w:tcPr>
            <w:tcW w:w="5647" w:type="dxa"/>
            <w:vMerge w:val="restart"/>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lang w:bidi="en-US"/>
              </w:rPr>
              <w:t>单元特点：</w:t>
            </w:r>
            <w:r>
              <w:rPr>
                <w:rFonts w:hint="eastAsia" w:ascii="仿宋_GB2312" w:hAnsi="仿宋" w:eastAsia="仿宋_GB2312" w:cs="仿宋"/>
                <w:lang w:bidi="en-US"/>
              </w:rPr>
              <w:t>弱扩散区</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要素属性：</w:t>
            </w:r>
            <w:r>
              <w:rPr>
                <w:rFonts w:hint="eastAsia" w:ascii="仿宋_GB2312" w:hAnsi="仿宋" w:eastAsia="仿宋_GB2312" w:cs="仿宋"/>
                <w:lang w:bidi="en-US"/>
              </w:rPr>
              <w:t>大气弱扩散区</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相关要求：</w:t>
            </w:r>
            <w:r>
              <w:rPr>
                <w:rFonts w:hint="eastAsia" w:ascii="仿宋_GB2312" w:hAnsi="仿宋" w:eastAsia="仿宋_GB2312" w:cs="仿宋"/>
                <w:lang w:bidi="en-US"/>
              </w:rPr>
              <w:t>《吐鲁番市大气环境质量限期达标规划》、《吐鲁番市打赢蓝天保卫战三年行动计划实施方案（</w:t>
            </w:r>
            <w:r>
              <w:rPr>
                <w:rFonts w:ascii="仿宋_GB2312" w:hAnsi="仿宋" w:eastAsia="仿宋_GB2312" w:cs="仿宋"/>
                <w:lang w:bidi="en-US"/>
              </w:rPr>
              <w:t>2018-2020）》、《吐鲁番市环境保护“十三五”规划》、《吐鲁番市水污染防治总体实施方案》</w:t>
            </w:r>
            <w:r>
              <w:rPr>
                <w:rFonts w:hint="eastAsia" w:ascii="仿宋_GB2312" w:hAnsi="仿宋" w:eastAsia="仿宋_GB2312" w:cs="仿宋"/>
                <w:lang w:bidi="en-US"/>
              </w:rPr>
              <w:t>、《鄯善县打赢蓝天保卫战三年行动计划实施方案（2018-2020）》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continue"/>
            <w:shd w:val="clear" w:color="auto" w:fill="auto"/>
            <w:vAlign w:val="center"/>
          </w:tcPr>
          <w:p>
            <w:pPr>
              <w:adjustRightInd w:val="0"/>
              <w:snapToGrid w:val="0"/>
              <w:spacing w:line="360" w:lineRule="auto"/>
              <w:rPr>
                <w:rFonts w:ascii="仿宋_GB2312" w:hAnsi="Times New Roman" w:eastAsia="仿宋_GB2312" w:cs="Times New Roman"/>
                <w:lang w:bidi="en-US"/>
              </w:rPr>
            </w:pPr>
          </w:p>
        </w:tc>
        <w:tc>
          <w:tcPr>
            <w:tcW w:w="1984" w:type="dxa"/>
            <w:vMerge w:val="continue"/>
            <w:shd w:val="clear" w:color="auto" w:fill="auto"/>
            <w:vAlign w:val="center"/>
          </w:tcPr>
          <w:p>
            <w:pPr>
              <w:adjustRightInd w:val="0"/>
              <w:snapToGrid w:val="0"/>
              <w:spacing w:line="360" w:lineRule="auto"/>
              <w:rPr>
                <w:rFonts w:ascii="仿宋_GB2312" w:hAnsi="Times New Roman" w:eastAsia="仿宋_GB2312" w:cs="Times New Roman"/>
                <w:lang w:bidi="en-US"/>
              </w:rPr>
            </w:pPr>
          </w:p>
        </w:tc>
        <w:tc>
          <w:tcPr>
            <w:tcW w:w="1247"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5"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8958"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w:t>
            </w:r>
            <w:r>
              <w:rPr>
                <w:rFonts w:hint="eastAsia" w:ascii="仿宋_GB2312" w:hAnsi="Times New Roman" w:eastAsia="仿宋_GB2312" w:cs="Times New Roman"/>
                <w:lang w:bidi="en-US"/>
              </w:rPr>
              <w:t>对</w:t>
            </w:r>
            <w:r>
              <w:rPr>
                <w:rFonts w:ascii="仿宋_GB2312" w:hAnsi="Times New Roman" w:eastAsia="仿宋_GB2312" w:cs="Times New Roman"/>
                <w:lang w:bidi="en-US"/>
              </w:rPr>
              <w:t>SO</w:t>
            </w:r>
            <w:r>
              <w:rPr>
                <w:rFonts w:ascii="仿宋_GB2312" w:hAnsi="Times New Roman" w:eastAsia="仿宋_GB2312" w:cs="Times New Roman"/>
                <w:vertAlign w:val="subscript"/>
                <w:lang w:bidi="en-US"/>
              </w:rPr>
              <w:t>2</w:t>
            </w:r>
            <w:r>
              <w:rPr>
                <w:rFonts w:hint="eastAsia" w:ascii="仿宋_GB2312" w:hAnsi="Times New Roman" w:eastAsia="仿宋_GB2312" w:cs="Times New Roman"/>
                <w:lang w:bidi="en-US"/>
              </w:rPr>
              <w:t>、</w:t>
            </w:r>
            <w:r>
              <w:rPr>
                <w:rFonts w:ascii="仿宋_GB2312" w:hAnsi="Times New Roman" w:eastAsia="仿宋_GB2312" w:cs="Times New Roman"/>
                <w:lang w:bidi="en-US"/>
              </w:rPr>
              <w:t>NO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s进行总量控制，新增工业项目所需的总量需在单元内平衡。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2.新、改、扩建涉VOCs排放项目，应从源头加强控制，使用低（无）VOCs含量的原辅材料，加强废气收集，安装高效治理设施，废气收集率和处理率均达到国内先进水平。</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加快推进集中供热、煤改气、煤改电工程。</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因地制宜制定实施清洁取暖方案，实行散煤清洁化改造整村推进。通过以电代煤、气代煤以及风能、太阳能、地热能等清洁能源替代。</w:t>
            </w:r>
          </w:p>
        </w:tc>
        <w:tc>
          <w:tcPr>
            <w:tcW w:w="5647"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84"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247"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5"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8958"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1.强化企业环境风险防范设施设备建设和正常运行监管，建立常态化的企业隐患排查整治监管机制，涉危的风险企业应及时编制环境风险应急预案并定期更新，每年至少开展一次应急演练。</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.加强风险防控体系建设，防范环境风险。</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建立重污染天气预警体系，建立应对的应急预案。</w:t>
            </w:r>
          </w:p>
        </w:tc>
        <w:tc>
          <w:tcPr>
            <w:tcW w:w="5647"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84"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247"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5"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8958"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加强煤炭安全绿色开发和清洁高效利用，推广使用优质煤、洁净型煤。</w:t>
            </w:r>
          </w:p>
        </w:tc>
        <w:tc>
          <w:tcPr>
            <w:tcW w:w="5647" w:type="dxa"/>
            <w:vMerge w:val="continue"/>
            <w:vAlign w:val="center"/>
          </w:tcPr>
          <w:p>
            <w:pPr>
              <w:adjustRightInd w:val="0"/>
              <w:snapToGrid w:val="0"/>
              <w:rPr>
                <w:rFonts w:ascii="仿宋_GB2312" w:hAnsi="仿宋" w:eastAsia="仿宋_GB2312" w:cs="仿宋"/>
                <w:lang w:bidi="en-US"/>
              </w:rPr>
            </w:pPr>
          </w:p>
        </w:tc>
      </w:tr>
      <w:bookmarkEnd w:id="2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restart"/>
            <w:shd w:val="clear" w:color="auto" w:fill="auto"/>
            <w:vAlign w:val="center"/>
          </w:tcPr>
          <w:p>
            <w:pPr>
              <w:adjustRightInd w:val="0"/>
              <w:snapToGrid w:val="0"/>
              <w:spacing w:line="360" w:lineRule="auto"/>
              <w:rPr>
                <w:rFonts w:ascii="仿宋_GB2312" w:hAnsi="Times New Roman" w:eastAsia="仿宋_GB2312" w:cs="Times New Roman"/>
                <w:lang w:bidi="en-US"/>
              </w:rPr>
            </w:pPr>
            <w:r>
              <w:rPr>
                <w:rFonts w:hint="eastAsia" w:ascii="仿宋_GB2312" w:hAnsi="Times New Roman" w:eastAsia="仿宋_GB2312" w:cs="Times New Roman"/>
                <w:lang w:bidi="en-US"/>
              </w:rPr>
              <w:t>ZH65042130004</w:t>
            </w:r>
          </w:p>
        </w:tc>
        <w:tc>
          <w:tcPr>
            <w:tcW w:w="1984" w:type="dxa"/>
            <w:vMerge w:val="restart"/>
            <w:shd w:val="clear" w:color="auto" w:fill="auto"/>
            <w:vAlign w:val="center"/>
          </w:tcPr>
          <w:p>
            <w:pPr>
              <w:adjustRightInd w:val="0"/>
              <w:snapToGrid w:val="0"/>
              <w:spacing w:line="360" w:lineRule="auto"/>
              <w:rPr>
                <w:rFonts w:ascii="仿宋_GB2312" w:hAnsi="Times New Roman" w:eastAsia="仿宋_GB2312" w:cs="Times New Roman"/>
                <w:lang w:bidi="en-US"/>
              </w:rPr>
            </w:pPr>
            <w:r>
              <w:rPr>
                <w:rFonts w:hint="eastAsia" w:ascii="仿宋_GB2312" w:hAnsi="Times New Roman" w:eastAsia="仿宋_GB2312" w:cs="Times New Roman"/>
                <w:lang w:bidi="en-US"/>
              </w:rPr>
              <w:t>鄯善县其他一般管控单元</w:t>
            </w:r>
          </w:p>
        </w:tc>
        <w:tc>
          <w:tcPr>
            <w:tcW w:w="1247"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一般管控单元</w:t>
            </w:r>
          </w:p>
        </w:tc>
        <w:tc>
          <w:tcPr>
            <w:tcW w:w="1135"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lang w:bidi="en-US"/>
              </w:rPr>
              <w:t>空间布局约束</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1.原则上禁止建设涉及一类重金属、持久性有机污染物排放的工业项目。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限制进行大规模高强度工业化、城镇化开发，严格控制金属冶炼、石油化工、焦化等“高污染、高环境风险产品”工业项目，原则上不增加产能。现有“高污染、高环境风险产品”工业项目持续削减污染物排放总量并严格控制环境风险。</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推进新能源的开发和利用，鼓励发展风力发电和太阳能发电。</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.建立集镇居住商业区、耕地保护区与工业功能区等集聚区块之间的防护带。</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严格执行畜禽养殖禁养区规定，根据区域用地和消纳水平，合理确定养殖规模。加强基本农田保护，严格限制非农项目占用耕地。</w:t>
            </w:r>
          </w:p>
        </w:tc>
        <w:tc>
          <w:tcPr>
            <w:tcW w:w="5647" w:type="dxa"/>
            <w:vMerge w:val="restart"/>
            <w:vAlign w:val="center"/>
          </w:tcPr>
          <w:p>
            <w:pPr>
              <w:adjustRightInd w:val="0"/>
              <w:snapToGrid w:val="0"/>
              <w:rPr>
                <w:rFonts w:ascii="仿宋_GB2312" w:hAnsi="仿宋" w:eastAsia="仿宋_GB2312" w:cs="仿宋"/>
                <w:lang w:bidi="en-US"/>
              </w:rPr>
            </w:pPr>
            <w:r>
              <w:rPr>
                <w:rFonts w:hint="eastAsia" w:ascii="仿宋_GB2312" w:hAnsi="仿宋" w:eastAsia="仿宋_GB2312" w:cs="仿宋"/>
                <w:b/>
                <w:lang w:bidi="en-US"/>
              </w:rPr>
              <w:t>单元特点：</w:t>
            </w:r>
            <w:r>
              <w:rPr>
                <w:rFonts w:hint="eastAsia" w:ascii="仿宋_GB2312" w:hAnsi="仿宋" w:eastAsia="仿宋_GB2312" w:cs="仿宋"/>
                <w:lang w:bidi="en-US"/>
              </w:rPr>
              <w:t>涉及</w:t>
            </w:r>
            <w:r>
              <w:rPr>
                <w:rFonts w:hint="eastAsia" w:ascii="仿宋_GB2312" w:hAnsi="仿宋" w:eastAsia="仿宋_GB2312" w:cs="仿宋"/>
                <w:bCs/>
                <w:lang w:bidi="en-US"/>
              </w:rPr>
              <w:t>矿产资源开发利用、涉及基本农田</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要素属性：</w:t>
            </w:r>
            <w:r>
              <w:rPr>
                <w:rFonts w:hint="eastAsia" w:ascii="仿宋_GB2312" w:hAnsi="仿宋" w:eastAsia="仿宋_GB2312" w:cs="仿宋"/>
                <w:lang w:bidi="en-US"/>
              </w:rPr>
              <w:t>一般管控区</w:t>
            </w:r>
          </w:p>
          <w:p>
            <w:pPr>
              <w:adjustRightInd w:val="0"/>
              <w:snapToGrid w:val="0"/>
              <w:rPr>
                <w:rFonts w:ascii="仿宋_GB2312" w:hAnsi="Calibri" w:eastAsia="仿宋_GB2312" w:cs="Times New Roman"/>
                <w:lang w:bidi="en-US"/>
              </w:rPr>
            </w:pPr>
            <w:r>
              <w:rPr>
                <w:rFonts w:hint="eastAsia" w:ascii="仿宋_GB2312" w:hAnsi="仿宋" w:eastAsia="仿宋_GB2312" w:cs="仿宋"/>
                <w:b/>
                <w:lang w:bidi="en-US"/>
              </w:rPr>
              <w:t>相关要求：</w:t>
            </w:r>
            <w:r>
              <w:rPr>
                <w:rFonts w:hint="eastAsia" w:ascii="仿宋_GB2312" w:hAnsi="仿宋_GB2312" w:eastAsia="仿宋_GB2312" w:cs="仿宋_GB2312"/>
              </w:rPr>
              <w:t>《基本农田保护条例》、《农用地土壤环境管理办法》、</w:t>
            </w:r>
            <w:r>
              <w:rPr>
                <w:rFonts w:hint="eastAsia" w:ascii="仿宋_GB2312" w:hAnsi="仿宋" w:eastAsia="仿宋_GB2312" w:cs="仿宋"/>
                <w:lang w:bidi="en-US"/>
              </w:rPr>
              <w:t>《吐鲁番市环境保护“十四五”规划》、《吐鲁番市大气环境质量限期达标规划》、《吐鲁番市打赢蓝天保卫战三年行动计划实施方案（</w:t>
            </w:r>
            <w:r>
              <w:rPr>
                <w:rFonts w:ascii="仿宋_GB2312" w:hAnsi="仿宋" w:eastAsia="仿宋_GB2312" w:cs="仿宋"/>
                <w:lang w:bidi="en-US"/>
              </w:rPr>
              <w:t>2018-2020）》</w:t>
            </w:r>
            <w:r>
              <w:rPr>
                <w:rFonts w:hint="eastAsia" w:ascii="仿宋_GB2312" w:hAnsi="仿宋" w:eastAsia="仿宋_GB2312" w:cs="仿宋"/>
                <w:lang w:bidi="en-US"/>
              </w:rPr>
              <w:t>、《吐鲁番市水污染防治总体实施方案》、《鄯善县打赢蓝天保卫战三年行动计划实施方案（2018-2020）》</w:t>
            </w:r>
          </w:p>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84"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247"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5"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污染物排放管控</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bCs/>
              </w:rPr>
              <w:t>1</w:t>
            </w:r>
            <w:r>
              <w:rPr>
                <w:rFonts w:ascii="Times New Roman" w:hAnsi="Times New Roman" w:eastAsia="仿宋_GB2312" w:cs="Times New Roman"/>
                <w:bCs/>
              </w:rPr>
              <w:t>.加强农业面源污染治理，严格控制化肥农药施加量，逐步削减农业面源污染物排放量</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bCs/>
              </w:rPr>
            </w:pPr>
            <w:r>
              <w:rPr>
                <w:rFonts w:ascii="仿宋_GB2312" w:hAnsi="Times New Roman" w:eastAsia="仿宋_GB2312" w:cs="Times New Roman"/>
                <w:lang w:bidi="en-US"/>
              </w:rPr>
              <w:t>2</w:t>
            </w:r>
            <w:r>
              <w:rPr>
                <w:rFonts w:hint="eastAsia" w:ascii="仿宋_GB2312" w:hAnsi="Times New Roman" w:eastAsia="仿宋_GB2312" w:cs="Times New Roman"/>
                <w:lang w:bidi="en-US"/>
              </w:rPr>
              <w:t>.加强矿产资源开采的环境保护工作。</w:t>
            </w:r>
          </w:p>
        </w:tc>
        <w:tc>
          <w:tcPr>
            <w:tcW w:w="5647"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84"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247"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5"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环境风险防控</w:t>
            </w:r>
          </w:p>
        </w:tc>
        <w:tc>
          <w:tcPr>
            <w:tcW w:w="8958" w:type="dxa"/>
            <w:shd w:val="clear" w:color="auto" w:fill="auto"/>
            <w:vAlign w:val="center"/>
          </w:tcPr>
          <w:p>
            <w:pPr>
              <w:adjustRightInd w:val="0"/>
              <w:snapToGrid w:val="0"/>
              <w:rPr>
                <w:rFonts w:ascii="仿宋_GB2312" w:hAnsi="Times New Roman" w:eastAsia="仿宋_GB2312" w:cs="Times New Roman"/>
                <w:bCs/>
              </w:rPr>
            </w:pPr>
            <w:r>
              <w:rPr>
                <w:rFonts w:ascii="Times New Roman" w:hAnsi="Times New Roman" w:eastAsia="仿宋_GB2312" w:cs="Times New Roman"/>
                <w:bCs/>
              </w:rPr>
              <w:t>禁止向农用地排放重金属或者其他有毒有害物质含量超标的污水、污泥，以及可能造成土壤污染的尾矿、矿渣等。加强农田土壤、灌溉水的监测及评价，对周边或区域环境风险源进行评估</w:t>
            </w:r>
            <w:r>
              <w:rPr>
                <w:rFonts w:hint="eastAsia" w:ascii="Times New Roman" w:hAnsi="Times New Roman" w:eastAsia="仿宋_GB2312" w:cs="Times New Roman"/>
                <w:bCs/>
              </w:rPr>
              <w:t>。</w:t>
            </w:r>
          </w:p>
        </w:tc>
        <w:tc>
          <w:tcPr>
            <w:tcW w:w="5647" w:type="dxa"/>
            <w:vMerge w:val="continue"/>
            <w:vAlign w:val="center"/>
          </w:tcPr>
          <w:p>
            <w:pPr>
              <w:adjustRightInd w:val="0"/>
              <w:snapToGrid w:val="0"/>
              <w:rPr>
                <w:rFonts w:ascii="仿宋_GB2312" w:hAnsi="仿宋" w:eastAsia="仿宋_GB2312" w:cs="仿宋"/>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122"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984" w:type="dxa"/>
            <w:vMerge w:val="continue"/>
            <w:shd w:val="clear" w:color="auto" w:fill="auto"/>
            <w:vAlign w:val="center"/>
          </w:tcPr>
          <w:p>
            <w:pPr>
              <w:adjustRightInd w:val="0"/>
              <w:snapToGrid w:val="0"/>
              <w:spacing w:line="360" w:lineRule="auto"/>
              <w:ind w:firstLine="420" w:firstLineChars="200"/>
              <w:rPr>
                <w:rFonts w:ascii="仿宋_GB2312" w:hAnsi="Times New Roman" w:eastAsia="仿宋_GB2312" w:cs="Times New Roman"/>
                <w:lang w:bidi="en-US"/>
              </w:rPr>
            </w:pPr>
          </w:p>
        </w:tc>
        <w:tc>
          <w:tcPr>
            <w:tcW w:w="1247"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5" w:type="dxa"/>
            <w:shd w:val="clear" w:color="auto" w:fill="auto"/>
            <w:vAlign w:val="center"/>
          </w:tcPr>
          <w:p>
            <w:pPr>
              <w:adjustRightInd w:val="0"/>
              <w:snapToGrid w:val="0"/>
              <w:jc w:val="center"/>
              <w:rPr>
                <w:rFonts w:ascii="仿宋_GB2312" w:hAnsi="仿宋" w:eastAsia="仿宋_GB2312" w:cs="仿宋"/>
                <w:lang w:bidi="en-US"/>
              </w:rPr>
            </w:pPr>
            <w:r>
              <w:rPr>
                <w:rFonts w:hint="eastAsia" w:ascii="仿宋_GB2312" w:hAnsi="仿宋" w:eastAsia="仿宋_GB2312" w:cs="仿宋"/>
                <w:lang w:bidi="en-US"/>
              </w:rPr>
              <w:t>资源利用效率</w:t>
            </w:r>
          </w:p>
        </w:tc>
        <w:tc>
          <w:tcPr>
            <w:tcW w:w="8958" w:type="dxa"/>
            <w:shd w:val="clear" w:color="auto" w:fill="auto"/>
            <w:vAlign w:val="center"/>
          </w:tcPr>
          <w:p>
            <w:pPr>
              <w:adjustRightInd w:val="0"/>
              <w:snapToGrid w:val="0"/>
              <w:rPr>
                <w:rFonts w:ascii="仿宋_GB2312" w:hAnsi="Times New Roman" w:eastAsia="仿宋_GB2312" w:cs="Times New Roman"/>
                <w:lang w:bidi="en-US"/>
              </w:rPr>
            </w:pPr>
            <w:r>
              <w:rPr>
                <w:rFonts w:ascii="Times New Roman" w:hAnsi="Times New Roman" w:eastAsia="仿宋_GB2312" w:cs="Times New Roman"/>
                <w:bCs/>
              </w:rPr>
              <w:t>实行水资源消耗总量和强度双控，推进农业节水，提高农业用水效率。优化能源结构，加强能源清洁利用</w:t>
            </w:r>
            <w:r>
              <w:rPr>
                <w:rFonts w:hint="eastAsia" w:ascii="Times New Roman" w:hAnsi="Times New Roman" w:eastAsia="仿宋_GB2312" w:cs="Times New Roman"/>
                <w:bCs/>
              </w:rPr>
              <w:t>。</w:t>
            </w:r>
          </w:p>
        </w:tc>
        <w:tc>
          <w:tcPr>
            <w:tcW w:w="5647" w:type="dxa"/>
            <w:vMerge w:val="continue"/>
            <w:vAlign w:val="center"/>
          </w:tcPr>
          <w:p>
            <w:pPr>
              <w:adjustRightInd w:val="0"/>
              <w:snapToGrid w:val="0"/>
              <w:rPr>
                <w:rFonts w:ascii="仿宋_GB2312" w:hAnsi="仿宋" w:eastAsia="仿宋_GB2312" w:cs="仿宋"/>
                <w:lang w:bidi="en-US"/>
              </w:rPr>
            </w:pPr>
          </w:p>
        </w:tc>
      </w:tr>
    </w:tbl>
    <w:p>
      <w:pPr>
        <w:adjustRightInd w:val="0"/>
        <w:snapToGrid w:val="0"/>
        <w:spacing w:line="360" w:lineRule="auto"/>
        <w:ind w:firstLine="560" w:firstLineChars="200"/>
        <w:rPr>
          <w:rFonts w:ascii="仿宋_GB2312" w:hAnsi="Calibri" w:eastAsia="仿宋_GB2312" w:cs="Times New Roman"/>
          <w:sz w:val="28"/>
          <w:szCs w:val="20"/>
        </w:rPr>
        <w:sectPr>
          <w:headerReference r:id="rId5" w:type="first"/>
          <w:footerReference r:id="rId7" w:type="first"/>
          <w:headerReference r:id="rId4" w:type="even"/>
          <w:footerReference r:id="rId6" w:type="even"/>
          <w:pgSz w:w="23757" w:h="16783" w:orient="landscape"/>
          <w:pgMar w:top="1800" w:right="1440" w:bottom="1800" w:left="1440" w:header="851" w:footer="992" w:gutter="0"/>
          <w:cols w:space="720" w:num="1"/>
          <w:docGrid w:type="lines" w:linePitch="312" w:charSpace="0"/>
        </w:sectPr>
      </w:pPr>
    </w:p>
    <w:p>
      <w:pPr>
        <w:outlineLvl w:val="1"/>
        <w:rPr>
          <w:rFonts w:ascii="仿宋_GB2312" w:hAnsi="Times New Roman" w:eastAsia="仿宋_GB2312" w:cs="Times New Roman"/>
          <w:b/>
          <w:bCs/>
          <w:sz w:val="32"/>
          <w:szCs w:val="32"/>
        </w:rPr>
      </w:pPr>
      <w:bookmarkStart w:id="24" w:name="_Toc46146974"/>
      <w:bookmarkStart w:id="25" w:name="_Toc73999322"/>
      <w:bookmarkStart w:id="26" w:name="_Toc46147067"/>
      <w:r>
        <w:rPr>
          <w:rFonts w:ascii="仿宋_GB2312" w:hAnsi="Times New Roman" w:eastAsia="仿宋_GB2312" w:cs="Times New Roman"/>
          <w:b/>
          <w:bCs/>
          <w:sz w:val="32"/>
          <w:szCs w:val="32"/>
        </w:rPr>
        <w:t>2</w:t>
      </w:r>
      <w:r>
        <w:rPr>
          <w:rFonts w:hint="eastAsia" w:ascii="仿宋_GB2312" w:hAnsi="Times New Roman" w:eastAsia="仿宋_GB2312" w:cs="Times New Roman"/>
          <w:b/>
          <w:bCs/>
          <w:sz w:val="32"/>
          <w:szCs w:val="32"/>
        </w:rPr>
        <w:t>.3托克逊县生态环境准入清单</w:t>
      </w:r>
      <w:bookmarkEnd w:id="24"/>
      <w:bookmarkEnd w:id="25"/>
      <w:bookmarkEnd w:id="26"/>
    </w:p>
    <w:p>
      <w:pPr>
        <w:adjustRightInd w:val="0"/>
        <w:snapToGrid w:val="0"/>
        <w:ind w:firstLine="560"/>
        <w:jc w:val="center"/>
        <w:rPr>
          <w:rFonts w:ascii="Times New Roman" w:hAnsi="Times New Roman" w:eastAsia="仿宋_GB2312" w:cs="Times New Roman"/>
          <w:b/>
          <w:iCs/>
          <w:sz w:val="28"/>
          <w:szCs w:val="21"/>
        </w:rPr>
      </w:pPr>
      <w:r>
        <w:rPr>
          <w:rFonts w:ascii="Times New Roman" w:hAnsi="Times New Roman" w:eastAsia="仿宋_GB2312" w:cs="Times New Roman"/>
          <w:b/>
          <w:iCs/>
          <w:sz w:val="28"/>
          <w:szCs w:val="21"/>
        </w:rPr>
        <w:t>表2.3-1  托克逊县区域特征研判</w:t>
      </w:r>
    </w:p>
    <w:tbl>
      <w:tblPr>
        <w:tblStyle w:val="37"/>
        <w:tblW w:w="20050" w:type="dxa"/>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0"/>
        <w:gridCol w:w="12615"/>
        <w:gridCol w:w="4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exact"/>
        </w:trPr>
        <w:tc>
          <w:tcPr>
            <w:tcW w:w="3040" w:type="dxa"/>
            <w:tcBorders>
              <w:tl2br w:val="nil"/>
              <w:tr2bl w:val="nil"/>
            </w:tcBorders>
            <w:vAlign w:val="center"/>
          </w:tcPr>
          <w:p>
            <w:pPr>
              <w:adjustRightInd w:val="0"/>
              <w:snapToGrid w:val="0"/>
              <w:jc w:val="center"/>
              <w:rPr>
                <w:rFonts w:ascii="Times New Roman" w:hAnsi="Times New Roman" w:eastAsia="仿宋_GB2312" w:cs="Times New Roman"/>
                <w:b/>
                <w:lang w:bidi="en-US"/>
              </w:rPr>
            </w:pPr>
            <w:r>
              <w:rPr>
                <w:rFonts w:ascii="Times New Roman" w:hAnsi="Times New Roman" w:eastAsia="仿宋_GB2312" w:cs="Times New Roman"/>
                <w:b/>
                <w:lang w:bidi="en-US"/>
              </w:rPr>
              <w:t>区域特点</w:t>
            </w:r>
          </w:p>
        </w:tc>
        <w:tc>
          <w:tcPr>
            <w:tcW w:w="12615" w:type="dxa"/>
            <w:tcBorders>
              <w:tl2br w:val="nil"/>
              <w:tr2bl w:val="nil"/>
            </w:tcBorders>
            <w:vAlign w:val="center"/>
          </w:tcPr>
          <w:p>
            <w:pPr>
              <w:adjustRightInd w:val="0"/>
              <w:snapToGrid w:val="0"/>
              <w:jc w:val="center"/>
              <w:rPr>
                <w:rFonts w:ascii="Times New Roman" w:hAnsi="Times New Roman" w:eastAsia="仿宋_GB2312" w:cs="Times New Roman"/>
                <w:b/>
                <w:lang w:bidi="en-US"/>
              </w:rPr>
            </w:pPr>
            <w:r>
              <w:rPr>
                <w:rFonts w:ascii="Times New Roman" w:hAnsi="Times New Roman" w:eastAsia="仿宋_GB2312" w:cs="Times New Roman"/>
                <w:b/>
                <w:lang w:bidi="en-US"/>
              </w:rPr>
              <w:t>发展定位与目标</w:t>
            </w:r>
          </w:p>
        </w:tc>
        <w:tc>
          <w:tcPr>
            <w:tcW w:w="4395" w:type="dxa"/>
            <w:tcBorders>
              <w:tl2br w:val="nil"/>
              <w:tr2bl w:val="nil"/>
            </w:tcBorders>
            <w:vAlign w:val="center"/>
          </w:tcPr>
          <w:p>
            <w:pPr>
              <w:adjustRightInd w:val="0"/>
              <w:snapToGrid w:val="0"/>
              <w:jc w:val="center"/>
              <w:rPr>
                <w:rFonts w:ascii="Times New Roman" w:hAnsi="Times New Roman" w:eastAsia="仿宋_GB2312" w:cs="Times New Roman"/>
                <w:b/>
                <w:lang w:bidi="en-US"/>
              </w:rPr>
            </w:pPr>
            <w:r>
              <w:rPr>
                <w:rFonts w:ascii="Times New Roman" w:hAnsi="Times New Roman" w:eastAsia="仿宋_GB2312" w:cs="Times New Roman"/>
                <w:b/>
                <w:lang w:bidi="en-US"/>
              </w:rPr>
              <w:t>区域突出生态环境问题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12" w:hRule="exact"/>
        </w:trPr>
        <w:tc>
          <w:tcPr>
            <w:tcW w:w="3040" w:type="dxa"/>
            <w:tcBorders>
              <w:tl2br w:val="nil"/>
              <w:tr2bl w:val="nil"/>
            </w:tcBorders>
            <w:vAlign w:val="center"/>
          </w:tcPr>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托克逊县位于新疆维吾尔自治区中东部，天山南麓，吐鲁番盆地西部。东与吐鲁番市高昌区为邻，南与巴州尉犁县相接，西与巴州的和硕、和静县相连，北与乌鲁木齐市毗邻。</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2.托克逊县三面山地环绕，西、北面高而东部低，盆地自西北向东南倾斜的地貌特征，地势高低悬殊。</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3.托克逊县属典型大陆性暖温带荒漠气候，光照充足、热量丰富。年均风速8m/s，素有“风库”之称。</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4.境内主要有6条河流，吐鲁番境内的长年有水河流均位于托克逊，即阿拉沟和白杨河，其余河流均为季节性河流。</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rPr>
              <w:t>5.矿产资源丰富，已发现矿产41种，其中煤炭、钨、石灰岩、盐矿、膨润土、蒙皂石矿等储量丰富。</w:t>
            </w:r>
          </w:p>
        </w:tc>
        <w:tc>
          <w:tcPr>
            <w:tcW w:w="12615" w:type="dxa"/>
            <w:tcBorders>
              <w:tl2br w:val="nil"/>
              <w:tr2bl w:val="nil"/>
            </w:tcBorders>
            <w:vAlign w:val="center"/>
          </w:tcPr>
          <w:p>
            <w:pPr>
              <w:adjustRightInd w:val="0"/>
              <w:snapToGrid w:val="0"/>
              <w:spacing w:line="320" w:lineRule="exact"/>
              <w:rPr>
                <w:rFonts w:ascii="Times New Roman" w:hAnsi="Times New Roman" w:eastAsia="仿宋_GB2312" w:cs="Times New Roman"/>
                <w:b/>
                <w:bCs/>
                <w:lang w:bidi="en-US"/>
              </w:rPr>
            </w:pPr>
            <w:r>
              <w:rPr>
                <w:rFonts w:ascii="Times New Roman" w:hAnsi="Times New Roman" w:eastAsia="仿宋_GB2312" w:cs="Times New Roman"/>
                <w:b/>
                <w:bCs/>
                <w:lang w:bidi="en-US"/>
              </w:rPr>
              <w:t>1.区域发展战略定位</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（1）吐鲁番市的副中心城市。</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（2）衔接“五中心三基地一通道”，积极建设吐鲁番煤电煤化工基地、联系南北疆的流通中心。</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（3）乌吐经济一体化发展的重要组成部分，乌鲁木齐一小时经济圈的重要构成部分。</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（4）天山北坡产业带的能源产业基地。</w:t>
            </w:r>
          </w:p>
          <w:p>
            <w:pPr>
              <w:adjustRightInd w:val="0"/>
              <w:snapToGrid w:val="0"/>
              <w:spacing w:line="320" w:lineRule="exact"/>
              <w:rPr>
                <w:rFonts w:ascii="Times New Roman" w:hAnsi="Times New Roman" w:eastAsia="仿宋_GB2312" w:cs="Times New Roman"/>
                <w:lang w:bidi="en-US"/>
              </w:rPr>
            </w:pPr>
            <w:r>
              <w:rPr>
                <w:rFonts w:hint="eastAsia" w:ascii="Times New Roman" w:hAnsi="Times New Roman" w:eastAsia="仿宋_GB2312" w:cs="Times New Roman"/>
                <w:lang w:bidi="en-US"/>
              </w:rPr>
              <w:t>（5）新疆工业强基示范区，文旅康养创新区，特色农业加工区，梦回江南之水乡城。</w:t>
            </w:r>
          </w:p>
          <w:p>
            <w:pPr>
              <w:adjustRightInd w:val="0"/>
              <w:snapToGrid w:val="0"/>
              <w:spacing w:line="320" w:lineRule="exact"/>
              <w:rPr>
                <w:rFonts w:ascii="Times New Roman" w:hAnsi="Times New Roman" w:eastAsia="仿宋_GB2312" w:cs="Times New Roman"/>
                <w:b/>
                <w:bCs/>
                <w:lang w:bidi="en-US"/>
              </w:rPr>
            </w:pPr>
            <w:r>
              <w:rPr>
                <w:rFonts w:ascii="Times New Roman" w:hAnsi="Times New Roman" w:eastAsia="仿宋_GB2312" w:cs="Times New Roman"/>
                <w:b/>
                <w:bCs/>
                <w:lang w:bidi="en-US"/>
              </w:rPr>
              <w:t>2.产业发展布局</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w:t>
            </w:r>
            <w:r>
              <w:rPr>
                <w:rFonts w:hint="eastAsia" w:ascii="Times New Roman" w:hAnsi="Times New Roman" w:eastAsia="仿宋_GB2312" w:cs="Times New Roman"/>
                <w:lang w:bidi="en-US"/>
              </w:rPr>
              <w:t>大力发展煤化工，</w:t>
            </w:r>
            <w:r>
              <w:rPr>
                <w:rFonts w:ascii="Times New Roman" w:hAnsi="Times New Roman" w:eastAsia="仿宋_GB2312" w:cs="Times New Roman"/>
                <w:lang w:bidi="en-US"/>
              </w:rPr>
              <w:t>积极打造</w:t>
            </w:r>
            <w:r>
              <w:rPr>
                <w:rFonts w:hint="eastAsia" w:ascii="Times New Roman" w:hAnsi="Times New Roman" w:eastAsia="仿宋_GB2312" w:cs="Times New Roman"/>
                <w:lang w:bidi="en-US"/>
              </w:rPr>
              <w:t>新疆重要的</w:t>
            </w:r>
            <w:r>
              <w:rPr>
                <w:rFonts w:ascii="Times New Roman" w:hAnsi="Times New Roman" w:eastAsia="仿宋_GB2312" w:cs="Times New Roman"/>
                <w:lang w:bidi="en-US"/>
              </w:rPr>
              <w:t>煤化工基地</w:t>
            </w:r>
            <w:r>
              <w:rPr>
                <w:rFonts w:hint="eastAsia" w:ascii="Times New Roman" w:hAnsi="Times New Roman" w:eastAsia="仿宋_GB2312" w:cs="Times New Roman"/>
                <w:lang w:bidi="en-US"/>
              </w:rPr>
              <w:t>。围绕现有企业上下游产业和产品，突出延链、补链两个关键点，以煤制油、煤制气为基本出发点、兼顾基础化学品为主要产业方向，重点按照“煤炭</w:t>
            </w:r>
            <w:r>
              <w:rPr>
                <w:rFonts w:ascii="Times New Roman" w:hAnsi="Times New Roman" w:eastAsia="仿宋_GB2312" w:cs="Times New Roman"/>
                <w:lang w:bidi="en-US"/>
              </w:rPr>
              <w:t>-甲醇-烯烃-石化产品”路线发展煤基替代石化产业</w:t>
            </w:r>
            <w:r>
              <w:rPr>
                <w:rFonts w:hint="eastAsia" w:ascii="Times New Roman" w:hAnsi="Times New Roman" w:eastAsia="仿宋_GB2312" w:cs="Times New Roman"/>
                <w:lang w:bidi="en-US"/>
              </w:rPr>
              <w:t>。加强煤炭分级分质转化技术创新，积极构建分质利用产业链。大力发展活性炭产业。</w:t>
            </w:r>
          </w:p>
          <w:p>
            <w:pPr>
              <w:adjustRightInd w:val="0"/>
              <w:snapToGrid w:val="0"/>
              <w:spacing w:line="320" w:lineRule="exact"/>
              <w:rPr>
                <w:rFonts w:ascii="Times New Roman" w:hAnsi="Times New Roman" w:eastAsia="仿宋_GB2312" w:cs="Times New Roman"/>
                <w:lang w:bidi="en-US"/>
              </w:rPr>
            </w:pPr>
            <w:r>
              <w:rPr>
                <w:rFonts w:hint="eastAsia" w:ascii="Times New Roman" w:hAnsi="Times New Roman" w:eastAsia="仿宋_GB2312" w:cs="Times New Roman"/>
                <w:lang w:bidi="en-US"/>
              </w:rPr>
              <w:t>（2）</w:t>
            </w:r>
            <w:r>
              <w:rPr>
                <w:rFonts w:ascii="Times New Roman" w:hAnsi="Times New Roman" w:eastAsia="仿宋_GB2312" w:cs="Times New Roman"/>
                <w:lang w:bidi="en-US"/>
              </w:rPr>
              <w:t>大力发展现代煤炭产业，推进煤电基地建设。重点建设克布尔碱矿区、黑山矿区</w:t>
            </w:r>
            <w:r>
              <w:rPr>
                <w:rFonts w:hint="eastAsia" w:ascii="Times New Roman" w:hAnsi="Times New Roman" w:eastAsia="仿宋_GB2312" w:cs="Times New Roman"/>
                <w:lang w:bidi="en-US"/>
              </w:rPr>
              <w:t>、干沟矿区</w:t>
            </w:r>
            <w:r>
              <w:rPr>
                <w:rFonts w:ascii="Times New Roman" w:hAnsi="Times New Roman" w:eastAsia="仿宋_GB2312" w:cs="Times New Roman"/>
                <w:lang w:bidi="en-US"/>
              </w:rPr>
              <w:t>，</w:t>
            </w:r>
            <w:r>
              <w:rPr>
                <w:rFonts w:hint="eastAsia" w:ascii="Times New Roman" w:hAnsi="Times New Roman" w:eastAsia="仿宋_GB2312" w:cs="Times New Roman"/>
                <w:lang w:bidi="en-US"/>
              </w:rPr>
              <w:t>推进艾维尔沟矿区、干沟矿区、博尔加依矿区前期工作。</w:t>
            </w:r>
            <w:r>
              <w:rPr>
                <w:rFonts w:ascii="Times New Roman" w:hAnsi="Times New Roman" w:eastAsia="仿宋_GB2312" w:cs="Times New Roman"/>
                <w:lang w:bidi="en-US"/>
              </w:rPr>
              <w:t>推进</w:t>
            </w:r>
            <w:r>
              <w:rPr>
                <w:rFonts w:hint="eastAsia" w:ascii="Times New Roman" w:hAnsi="Times New Roman" w:eastAsia="仿宋_GB2312" w:cs="Times New Roman"/>
                <w:lang w:bidi="en-US"/>
              </w:rPr>
              <w:t>“西电东送”能源大通道煤电基地建设，大力推进</w:t>
            </w:r>
            <w:r>
              <w:rPr>
                <w:rFonts w:ascii="Times New Roman" w:hAnsi="Times New Roman" w:eastAsia="仿宋_GB2312" w:cs="Times New Roman"/>
                <w:lang w:bidi="en-US"/>
              </w:rPr>
              <w:t>托克逊4×1000MW电厂建设，鼓励建设单机66-100万千瓦超临界燃煤发电机组和煤电联营项目，打造</w:t>
            </w:r>
            <w:r>
              <w:rPr>
                <w:rFonts w:hint="eastAsia" w:ascii="Times New Roman" w:hAnsi="Times New Roman" w:eastAsia="仿宋_GB2312" w:cs="Times New Roman"/>
                <w:lang w:bidi="en-US"/>
              </w:rPr>
              <w:t>新疆重要煤炭电力能源供应</w:t>
            </w:r>
            <w:r>
              <w:rPr>
                <w:rFonts w:ascii="Times New Roman" w:hAnsi="Times New Roman" w:eastAsia="仿宋_GB2312" w:cs="Times New Roman"/>
                <w:lang w:bidi="en-US"/>
              </w:rPr>
              <w:t>基地</w:t>
            </w:r>
            <w:r>
              <w:rPr>
                <w:rFonts w:hint="eastAsia" w:ascii="Times New Roman" w:hAnsi="Times New Roman" w:eastAsia="仿宋_GB2312" w:cs="Times New Roman"/>
                <w:lang w:bidi="en-US"/>
              </w:rPr>
              <w:t>。</w:t>
            </w:r>
          </w:p>
          <w:p>
            <w:pPr>
              <w:adjustRightInd w:val="0"/>
              <w:snapToGrid w:val="0"/>
              <w:spacing w:line="320" w:lineRule="exact"/>
              <w:rPr>
                <w:rFonts w:ascii="Times New Roman" w:hAnsi="Times New Roman" w:eastAsia="仿宋_GB2312" w:cs="Times New Roman"/>
                <w:lang w:bidi="en-US"/>
              </w:rPr>
            </w:pPr>
            <w:r>
              <w:rPr>
                <w:rFonts w:hint="eastAsia" w:ascii="Times New Roman" w:hAnsi="Times New Roman" w:eastAsia="仿宋_GB2312" w:cs="Times New Roman"/>
                <w:lang w:bidi="en-US"/>
              </w:rPr>
              <w:t>（3）充分发挥托克逊县风、光、火电互补综合能源优势，积极推进风电、光伏、光热等新能源项目建设，加快推进风光储一体化建设.</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（4）</w:t>
            </w:r>
            <w:r>
              <w:rPr>
                <w:rFonts w:hint="eastAsia" w:ascii="Times New Roman" w:hAnsi="Times New Roman" w:eastAsia="仿宋_GB2312" w:cs="Times New Roman"/>
                <w:lang w:bidi="en-US"/>
              </w:rPr>
              <w:t>重点</w:t>
            </w:r>
            <w:r>
              <w:rPr>
                <w:rFonts w:ascii="Times New Roman" w:hAnsi="Times New Roman" w:eastAsia="仿宋_GB2312" w:cs="Times New Roman"/>
                <w:lang w:bidi="en-US"/>
              </w:rPr>
              <w:t>发展煤基新材料</w:t>
            </w:r>
            <w:r>
              <w:rPr>
                <w:rFonts w:hint="eastAsia" w:ascii="Times New Roman" w:hAnsi="Times New Roman" w:eastAsia="仿宋_GB2312" w:cs="Times New Roman"/>
                <w:lang w:bidi="en-US"/>
              </w:rPr>
              <w:t>，培育发展</w:t>
            </w:r>
            <w:r>
              <w:rPr>
                <w:rFonts w:ascii="Times New Roman" w:hAnsi="Times New Roman" w:eastAsia="仿宋_GB2312" w:cs="Times New Roman"/>
                <w:lang w:bidi="en-US"/>
              </w:rPr>
              <w:t>高端铝基新材料产业</w:t>
            </w:r>
            <w:r>
              <w:rPr>
                <w:rFonts w:hint="eastAsia" w:ascii="Times New Roman" w:hAnsi="Times New Roman" w:eastAsia="仿宋_GB2312" w:cs="Times New Roman"/>
                <w:lang w:bidi="en-US"/>
              </w:rPr>
              <w:t>，积极发展多金属新材料</w:t>
            </w:r>
            <w:r>
              <w:rPr>
                <w:rFonts w:ascii="Times New Roman" w:hAnsi="Times New Roman" w:eastAsia="仿宋_GB2312" w:cs="Times New Roman"/>
                <w:lang w:bidi="en-US"/>
              </w:rPr>
              <w:t>。</w:t>
            </w:r>
            <w:r>
              <w:rPr>
                <w:rFonts w:hint="eastAsia" w:ascii="Times New Roman" w:hAnsi="Times New Roman" w:eastAsia="仿宋_GB2312" w:cs="Times New Roman"/>
                <w:lang w:bidi="en-US"/>
              </w:rPr>
              <w:t>依托优质石材原料优势，加快发展新型建材。</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（5）</w:t>
            </w:r>
            <w:r>
              <w:rPr>
                <w:rFonts w:hint="eastAsia" w:ascii="Times New Roman" w:hAnsi="Times New Roman" w:eastAsia="仿宋_GB2312" w:cs="Times New Roman"/>
                <w:lang w:bidi="en-US"/>
              </w:rPr>
              <w:t>加快发展汽车电池产业，依托骆驼集团电池龙头企业，发挥可再生资源的规模优势，</w:t>
            </w:r>
            <w:r>
              <w:rPr>
                <w:rFonts w:ascii="Times New Roman" w:hAnsi="Times New Roman" w:eastAsia="仿宋_GB2312" w:cs="Times New Roman"/>
                <w:lang w:bidi="en-US"/>
              </w:rPr>
              <w:t>加大引进多样式汽车电池加工产业，延伸上下游产业，形成产业要素聚集，促进汽车电池生产基地做大做强。</w:t>
            </w:r>
          </w:p>
          <w:p>
            <w:pPr>
              <w:adjustRightInd w:val="0"/>
              <w:snapToGrid w:val="0"/>
              <w:spacing w:line="320" w:lineRule="exact"/>
              <w:rPr>
                <w:rFonts w:ascii="Times New Roman" w:hAnsi="Times New Roman" w:eastAsia="仿宋_GB2312" w:cs="Times New Roman"/>
                <w:lang w:bidi="en-US"/>
              </w:rPr>
            </w:pPr>
            <w:r>
              <w:rPr>
                <w:rFonts w:hint="eastAsia" w:ascii="Times New Roman" w:hAnsi="Times New Roman" w:eastAsia="仿宋_GB2312" w:cs="Times New Roman"/>
                <w:lang w:bidi="en-US"/>
              </w:rPr>
              <w:t>（6）大力推行循环经济，加快发展再生资源循环利用产业。推进和引进废旧聚酯瓶片回收、伴生矿产及尾矿、废旧轮胎、家电、包装废弃物、报废汽车拆解分割、废油品回收等综合回收再生项目。</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（7）</w:t>
            </w:r>
            <w:r>
              <w:rPr>
                <w:rFonts w:hint="eastAsia" w:ascii="Times New Roman" w:hAnsi="Times New Roman" w:eastAsia="仿宋_GB2312" w:cs="Times New Roman"/>
                <w:lang w:bidi="en-US"/>
              </w:rPr>
              <w:t>积极</w:t>
            </w:r>
            <w:r>
              <w:rPr>
                <w:rFonts w:ascii="Times New Roman" w:hAnsi="Times New Roman" w:eastAsia="仿宋_GB2312" w:cs="Times New Roman"/>
                <w:lang w:bidi="en-US"/>
              </w:rPr>
              <w:t>发展纺织服装产业和农</w:t>
            </w:r>
            <w:r>
              <w:rPr>
                <w:rFonts w:hint="eastAsia" w:ascii="Times New Roman" w:hAnsi="Times New Roman" w:eastAsia="仿宋_GB2312" w:cs="Times New Roman"/>
                <w:lang w:bidi="en-US"/>
              </w:rPr>
              <w:t>畜</w:t>
            </w:r>
            <w:r>
              <w:rPr>
                <w:rFonts w:ascii="Times New Roman" w:hAnsi="Times New Roman" w:eastAsia="仿宋_GB2312" w:cs="Times New Roman"/>
                <w:lang w:bidi="en-US"/>
              </w:rPr>
              <w:t>产品加工业。</w:t>
            </w:r>
            <w:r>
              <w:rPr>
                <w:rFonts w:hint="eastAsia" w:ascii="Times New Roman" w:hAnsi="Times New Roman" w:eastAsia="仿宋_GB2312" w:cs="Times New Roman"/>
                <w:lang w:bidi="en-US"/>
              </w:rPr>
              <w:t>积极培育龙头骨干企业，发展壮大新疆特色农产品的精深加工产业</w:t>
            </w:r>
            <w:r>
              <w:rPr>
                <w:rFonts w:ascii="Times New Roman" w:hAnsi="Times New Roman" w:eastAsia="仿宋_GB2312" w:cs="Times New Roman"/>
                <w:lang w:bidi="en-US"/>
              </w:rPr>
              <w:t>。</w:t>
            </w:r>
          </w:p>
          <w:p>
            <w:pPr>
              <w:adjustRightInd w:val="0"/>
              <w:snapToGrid w:val="0"/>
              <w:spacing w:line="320" w:lineRule="exact"/>
              <w:rPr>
                <w:rFonts w:ascii="Times New Roman" w:hAnsi="Times New Roman" w:eastAsia="仿宋_GB2312" w:cs="Times New Roman"/>
                <w:lang w:bidi="en-US"/>
              </w:rPr>
            </w:pPr>
            <w:r>
              <w:rPr>
                <w:rFonts w:hint="eastAsia" w:ascii="Times New Roman" w:hAnsi="Times New Roman" w:eastAsia="仿宋_GB2312" w:cs="Times New Roman"/>
                <w:lang w:bidi="en-US"/>
              </w:rPr>
              <w:t>（8）突出发展特色优势农业、优化农业结构，大力发展旅游农业。</w:t>
            </w:r>
          </w:p>
          <w:p>
            <w:pPr>
              <w:adjustRightInd w:val="0"/>
              <w:snapToGrid w:val="0"/>
              <w:spacing w:line="320" w:lineRule="exact"/>
              <w:rPr>
                <w:rFonts w:ascii="Times New Roman" w:hAnsi="Times New Roman" w:eastAsia="仿宋_GB2312" w:cs="Times New Roman"/>
                <w:lang w:bidi="en-US"/>
              </w:rPr>
            </w:pPr>
            <w:r>
              <w:rPr>
                <w:rFonts w:hint="eastAsia" w:ascii="Times New Roman" w:hAnsi="Times New Roman" w:eastAsia="仿宋_GB2312" w:cs="Times New Roman"/>
                <w:lang w:bidi="en-US"/>
              </w:rPr>
              <w:t>（9）</w:t>
            </w:r>
            <w:r>
              <w:rPr>
                <w:rFonts w:ascii="Times New Roman" w:hAnsi="Times New Roman" w:eastAsia="仿宋_GB2312" w:cs="Times New Roman"/>
                <w:lang w:bidi="en-US"/>
              </w:rPr>
              <w:t>加快推进现代商贸物流产业发展。加</w:t>
            </w:r>
            <w:r>
              <w:rPr>
                <w:rFonts w:hint="eastAsia" w:ascii="Times New Roman" w:hAnsi="Times New Roman" w:eastAsia="仿宋_GB2312" w:cs="Times New Roman"/>
                <w:lang w:bidi="en-US"/>
              </w:rPr>
              <w:t>块推进</w:t>
            </w:r>
            <w:r>
              <w:rPr>
                <w:rFonts w:ascii="Times New Roman" w:hAnsi="Times New Roman" w:eastAsia="仿宋_GB2312" w:cs="Times New Roman"/>
                <w:lang w:bidi="en-US"/>
              </w:rPr>
              <w:t>新疆亚欧煤炭能源公铁多式联运物流中心建设，大力推进煤炭、煤化工产品等大宗商品物流发展。</w:t>
            </w:r>
            <w:r>
              <w:rPr>
                <w:rFonts w:hint="eastAsia" w:ascii="Times New Roman" w:hAnsi="Times New Roman" w:eastAsia="仿宋_GB2312" w:cs="Times New Roman"/>
                <w:lang w:bidi="en-US"/>
              </w:rPr>
              <w:t>推进</w:t>
            </w:r>
            <w:r>
              <w:rPr>
                <w:rFonts w:ascii="Times New Roman" w:hAnsi="Times New Roman" w:eastAsia="仿宋_GB2312" w:cs="Times New Roman"/>
                <w:lang w:bidi="en-US"/>
              </w:rPr>
              <w:t>丝路驿站物流园</w:t>
            </w:r>
            <w:r>
              <w:rPr>
                <w:rFonts w:hint="eastAsia" w:ascii="Times New Roman" w:hAnsi="Times New Roman" w:eastAsia="仿宋_GB2312" w:cs="Times New Roman"/>
                <w:lang w:bidi="en-US"/>
              </w:rPr>
              <w:t>、振坤物流园、望布煤炭物流园区、鱼儿沟大宗工业品物流基地项目</w:t>
            </w:r>
            <w:r>
              <w:rPr>
                <w:rFonts w:ascii="Times New Roman" w:hAnsi="Times New Roman" w:eastAsia="仿宋_GB2312" w:cs="Times New Roman"/>
                <w:lang w:bidi="en-US"/>
              </w:rPr>
              <w:t>的建设，</w:t>
            </w:r>
            <w:r>
              <w:rPr>
                <w:rFonts w:hint="eastAsia" w:ascii="Times New Roman" w:hAnsi="Times New Roman" w:eastAsia="仿宋_GB2312" w:cs="Times New Roman"/>
                <w:lang w:bidi="en-US"/>
              </w:rPr>
              <w:t>打造成“联通南北疆、辐射全国、远触中亚”的重要物流枢纽和现代物流基地。</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10）托克逊能源重化工工业园区，依托已形成的煤-电-盐循环经济产业基础，重点发展煤电煤化工、煤基新材料及高端铝基新材料产业，建设全疆较有影响力的煤基和铝基新材料基地，积极发展再生资源循环经济产业、纺织服装、绿色建材。</w:t>
            </w:r>
          </w:p>
          <w:p>
            <w:pPr>
              <w:adjustRightInd w:val="0"/>
              <w:snapToGrid w:val="0"/>
              <w:spacing w:line="320" w:lineRule="exact"/>
              <w:rPr>
                <w:rFonts w:ascii="Times New Roman" w:hAnsi="Times New Roman" w:eastAsia="仿宋_GB2312" w:cs="Times New Roman"/>
                <w:b/>
                <w:bCs/>
                <w:lang w:bidi="en-US"/>
              </w:rPr>
            </w:pPr>
            <w:r>
              <w:rPr>
                <w:rFonts w:ascii="Times New Roman" w:hAnsi="Times New Roman" w:eastAsia="仿宋_GB2312" w:cs="Times New Roman"/>
                <w:b/>
                <w:bCs/>
                <w:lang w:bidi="en-US"/>
              </w:rPr>
              <w:t>3．生态环境保护战略定位</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（1）托克逊县北部的博格达山，以及其西北部的山脉，均属于天山山脉，承担水源涵养和水土保持的重要生态功能。</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（2）托克逊县中部为平原绿洲，承担着农产品提供的功能；南部区域为荒漠区域，为防风固沙功能区。</w:t>
            </w:r>
          </w:p>
        </w:tc>
        <w:tc>
          <w:tcPr>
            <w:tcW w:w="4395" w:type="dxa"/>
            <w:tcBorders>
              <w:tl2br w:val="nil"/>
              <w:tr2bl w:val="nil"/>
            </w:tcBorders>
            <w:vAlign w:val="center"/>
          </w:tcPr>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1.生态空间环境问题</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（1）水资源分配利用不当，导致两河流域下游局部地区土地荒漠化加重，局部排水不畅，造成土地盐渍化加重。</w:t>
            </w: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（2）矿产资源丰富，但矿产资源开发与生态环境保护</w:t>
            </w:r>
            <w:r>
              <w:rPr>
                <w:rFonts w:hint="eastAsia" w:ascii="Times New Roman" w:hAnsi="Times New Roman" w:eastAsia="仿宋_GB2312" w:cs="Times New Roman"/>
                <w:lang w:bidi="en-US"/>
              </w:rPr>
              <w:t>存在</w:t>
            </w:r>
            <w:r>
              <w:rPr>
                <w:rFonts w:ascii="Times New Roman" w:hAnsi="Times New Roman" w:eastAsia="仿宋_GB2312" w:cs="Times New Roman"/>
                <w:lang w:bidi="en-US"/>
              </w:rPr>
              <w:t>矛盾。矿产资源所处位置多位于生态环境较为脆弱的荒漠区域，因此对矿产资源开发需提出更高的环境保护要求。</w:t>
            </w:r>
          </w:p>
          <w:p>
            <w:pPr>
              <w:adjustRightInd w:val="0"/>
              <w:snapToGrid w:val="0"/>
              <w:spacing w:line="320" w:lineRule="exact"/>
              <w:rPr>
                <w:rFonts w:ascii="Times New Roman" w:hAnsi="Times New Roman" w:eastAsia="仿宋_GB2312" w:cs="Times New Roman"/>
                <w:lang w:bidi="en-US"/>
              </w:rPr>
            </w:pPr>
          </w:p>
          <w:p>
            <w:pPr>
              <w:adjustRightInd w:val="0"/>
              <w:snapToGrid w:val="0"/>
              <w:spacing w:line="320" w:lineRule="exact"/>
              <w:rPr>
                <w:rFonts w:ascii="Times New Roman" w:hAnsi="Times New Roman" w:eastAsia="仿宋_GB2312" w:cs="Times New Roman"/>
                <w:lang w:bidi="en-US"/>
              </w:rPr>
            </w:pPr>
            <w:r>
              <w:rPr>
                <w:rFonts w:ascii="Times New Roman" w:hAnsi="Times New Roman" w:eastAsia="仿宋_GB2312" w:cs="Times New Roman"/>
                <w:lang w:bidi="en-US"/>
              </w:rPr>
              <w:t>2.资源开发利用问题</w:t>
            </w:r>
          </w:p>
          <w:p>
            <w:pPr>
              <w:pStyle w:val="45"/>
              <w:spacing w:line="320" w:lineRule="exact"/>
              <w:ind w:firstLine="0" w:firstLineChars="0"/>
              <w:rPr>
                <w:rFonts w:ascii="Times New Roman" w:hAnsi="Times New Roman" w:eastAsia="仿宋_GB2312" w:cs="Times New Roman"/>
                <w:lang w:bidi="en-US"/>
              </w:rPr>
            </w:pPr>
            <w:r>
              <w:rPr>
                <w:rFonts w:ascii="Times New Roman" w:hAnsi="Times New Roman" w:eastAsia="仿宋_GB2312" w:cs="Times New Roman"/>
                <w:lang w:bidi="en-US"/>
              </w:rPr>
              <w:t>（1）地下水超采严重。长期过量开采地下水，导致地下水水位下降，</w:t>
            </w:r>
            <w:r>
              <w:rPr>
                <w:rFonts w:hint="eastAsia" w:ascii="Times New Roman" w:hAnsi="Times New Roman" w:eastAsia="仿宋_GB2312" w:cs="Times New Roman"/>
                <w:lang w:bidi="en-US"/>
              </w:rPr>
              <w:t>2</w:t>
            </w:r>
            <w:r>
              <w:rPr>
                <w:rFonts w:ascii="Times New Roman" w:hAnsi="Times New Roman" w:eastAsia="仿宋_GB2312" w:cs="Times New Roman"/>
                <w:lang w:bidi="en-US"/>
              </w:rPr>
              <w:t>015</w:t>
            </w:r>
            <w:r>
              <w:rPr>
                <w:rFonts w:hint="eastAsia" w:ascii="Times New Roman" w:hAnsi="Times New Roman" w:eastAsia="仿宋_GB2312" w:cs="Times New Roman"/>
                <w:lang w:bidi="en-US"/>
              </w:rPr>
              <w:t>年，</w:t>
            </w:r>
            <w:r>
              <w:rPr>
                <w:rFonts w:ascii="Times New Roman" w:hAnsi="Times New Roman" w:eastAsia="仿宋_GB2312" w:cs="Times New Roman"/>
                <w:lang w:bidi="en-US"/>
              </w:rPr>
              <w:t>平均</w:t>
            </w:r>
            <w:r>
              <w:rPr>
                <w:rFonts w:hint="eastAsia" w:ascii="Times New Roman" w:hAnsi="Times New Roman" w:eastAsia="仿宋_GB2312" w:cs="Times New Roman"/>
                <w:lang w:bidi="en-US"/>
              </w:rPr>
              <w:t>年</w:t>
            </w:r>
            <w:r>
              <w:rPr>
                <w:rFonts w:ascii="Times New Roman" w:hAnsi="Times New Roman" w:eastAsia="仿宋_GB2312" w:cs="Times New Roman"/>
                <w:lang w:bidi="en-US"/>
              </w:rPr>
              <w:t>降幅</w:t>
            </w:r>
            <w:r>
              <w:rPr>
                <w:rFonts w:hint="eastAsia" w:ascii="Times New Roman" w:hAnsi="Times New Roman" w:eastAsia="仿宋_GB2312" w:cs="Times New Roman"/>
                <w:lang w:bidi="en-US"/>
              </w:rPr>
              <w:t>为0</w:t>
            </w:r>
            <w:r>
              <w:rPr>
                <w:rFonts w:ascii="Times New Roman" w:hAnsi="Times New Roman" w:eastAsia="仿宋_GB2312" w:cs="Times New Roman"/>
                <w:lang w:bidi="en-US"/>
              </w:rPr>
              <w:t>.34m。</w:t>
            </w:r>
          </w:p>
          <w:p>
            <w:pPr>
              <w:pStyle w:val="45"/>
              <w:spacing w:line="320" w:lineRule="exact"/>
              <w:ind w:firstLine="0" w:firstLineChars="0"/>
              <w:rPr>
                <w:rFonts w:ascii="Times New Roman" w:hAnsi="Times New Roman" w:eastAsia="仿宋_GB2312" w:cs="Times New Roman"/>
                <w:lang w:bidi="en-US"/>
              </w:rPr>
            </w:pPr>
            <w:r>
              <w:rPr>
                <w:rFonts w:ascii="Times New Roman" w:hAnsi="Times New Roman" w:eastAsia="仿宋_GB2312" w:cs="Times New Roman"/>
                <w:lang w:bidi="en-US"/>
              </w:rPr>
              <w:t xml:space="preserve">（2）坎儿井急剧衰减。2003 </w:t>
            </w:r>
            <w:r>
              <w:rPr>
                <w:rFonts w:hint="eastAsia" w:ascii="Times New Roman" w:hAnsi="Times New Roman" w:eastAsia="仿宋_GB2312" w:cs="Times New Roman"/>
                <w:lang w:bidi="en-US"/>
              </w:rPr>
              <w:t>托克逊县县有水坎儿井的数量为</w:t>
            </w:r>
            <w:r>
              <w:rPr>
                <w:rFonts w:ascii="Times New Roman" w:hAnsi="Times New Roman" w:eastAsia="仿宋_GB2312" w:cs="Times New Roman"/>
                <w:lang w:bidi="en-US"/>
              </w:rPr>
              <w:t>49条</w:t>
            </w:r>
            <w:r>
              <w:rPr>
                <w:rFonts w:hint="eastAsia" w:ascii="Times New Roman" w:hAnsi="Times New Roman" w:eastAsia="仿宋_GB2312" w:cs="Times New Roman"/>
                <w:lang w:bidi="en-US"/>
              </w:rPr>
              <w:t>，2</w:t>
            </w:r>
            <w:r>
              <w:rPr>
                <w:rFonts w:ascii="Times New Roman" w:hAnsi="Times New Roman" w:eastAsia="仿宋_GB2312" w:cs="Times New Roman"/>
                <w:lang w:bidi="en-US"/>
              </w:rPr>
              <w:t>014</w:t>
            </w:r>
            <w:r>
              <w:rPr>
                <w:rFonts w:hint="eastAsia" w:ascii="Times New Roman" w:hAnsi="Times New Roman" w:eastAsia="仿宋_GB2312" w:cs="Times New Roman"/>
                <w:lang w:bidi="en-US"/>
              </w:rPr>
              <w:t>年衰减为</w:t>
            </w:r>
            <w:r>
              <w:rPr>
                <w:rFonts w:ascii="Times New Roman" w:hAnsi="Times New Roman" w:eastAsia="仿宋_GB2312" w:cs="Times New Roman"/>
                <w:lang w:bidi="en-US"/>
              </w:rPr>
              <w:t>27</w:t>
            </w:r>
            <w:r>
              <w:rPr>
                <w:rFonts w:hint="eastAsia" w:ascii="Times New Roman" w:hAnsi="Times New Roman" w:eastAsia="仿宋_GB2312" w:cs="Times New Roman"/>
                <w:lang w:bidi="en-US"/>
              </w:rPr>
              <w:t>条</w:t>
            </w:r>
            <w:r>
              <w:rPr>
                <w:rFonts w:ascii="Times New Roman" w:hAnsi="Times New Roman" w:eastAsia="仿宋_GB2312" w:cs="Times New Roman"/>
                <w:lang w:bidi="en-US"/>
              </w:rPr>
              <w:t>。</w:t>
            </w:r>
          </w:p>
          <w:p>
            <w:pPr>
              <w:pStyle w:val="45"/>
              <w:spacing w:line="320" w:lineRule="exact"/>
              <w:ind w:firstLine="0" w:firstLineChars="0"/>
              <w:rPr>
                <w:rFonts w:ascii="Times New Roman" w:hAnsi="Times New Roman" w:eastAsia="仿宋_GB2312" w:cs="Times New Roman"/>
                <w:lang w:bidi="en-US"/>
              </w:rPr>
            </w:pPr>
            <w:r>
              <w:rPr>
                <w:rFonts w:ascii="Times New Roman" w:hAnsi="Times New Roman" w:eastAsia="仿宋_GB2312" w:cs="Times New Roman"/>
                <w:lang w:bidi="en-US"/>
              </w:rPr>
              <w:t>（3）土地资源利用率低，利用结构不尽合理</w:t>
            </w:r>
            <w:r>
              <w:rPr>
                <w:rFonts w:hint="eastAsia" w:ascii="Times New Roman" w:hAnsi="Times New Roman" w:eastAsia="仿宋_GB2312" w:cs="Times New Roman"/>
                <w:lang w:bidi="en-US"/>
              </w:rPr>
              <w:t>。</w:t>
            </w:r>
          </w:p>
          <w:p>
            <w:pPr>
              <w:adjustRightInd w:val="0"/>
              <w:snapToGrid w:val="0"/>
              <w:rPr>
                <w:rFonts w:ascii="Times New Roman" w:hAnsi="Times New Roman" w:eastAsia="仿宋_GB2312" w:cs="Times New Roman"/>
                <w:lang w:bidi="en-US"/>
              </w:rPr>
            </w:pPr>
          </w:p>
          <w:p>
            <w:pPr>
              <w:adjustRightInd w:val="0"/>
              <w:snapToGrid w:val="0"/>
              <w:rPr>
                <w:rFonts w:ascii="Times New Roman" w:hAnsi="Times New Roman" w:eastAsia="仿宋_GB2312" w:cs="Times New Roman"/>
                <w:lang w:bidi="en-US"/>
              </w:rPr>
            </w:pPr>
          </w:p>
        </w:tc>
      </w:tr>
    </w:tbl>
    <w:p>
      <w:pPr>
        <w:adjustRightInd w:val="0"/>
        <w:snapToGrid w:val="0"/>
        <w:ind w:firstLine="560"/>
        <w:jc w:val="center"/>
        <w:rPr>
          <w:rFonts w:ascii="仿宋_GB2312" w:hAnsi="Times New Roman" w:eastAsia="仿宋_GB2312" w:cs="Times New Roman"/>
          <w:b/>
          <w:iCs/>
          <w:sz w:val="28"/>
          <w:szCs w:val="21"/>
        </w:rPr>
      </w:pPr>
    </w:p>
    <w:p>
      <w:pPr>
        <w:adjustRightInd w:val="0"/>
        <w:snapToGrid w:val="0"/>
        <w:ind w:firstLine="560"/>
        <w:jc w:val="center"/>
        <w:rPr>
          <w:rFonts w:ascii="仿宋_GB2312" w:hAnsi="Times New Roman" w:eastAsia="仿宋_GB2312" w:cs="Times New Roman"/>
          <w:b/>
          <w:iCs/>
          <w:sz w:val="28"/>
          <w:szCs w:val="21"/>
        </w:rPr>
      </w:pPr>
      <w:r>
        <w:rPr>
          <w:rFonts w:hint="eastAsia" w:ascii="仿宋_GB2312" w:hAnsi="Times New Roman" w:eastAsia="仿宋_GB2312" w:cs="Times New Roman"/>
          <w:b/>
          <w:iCs/>
          <w:sz w:val="28"/>
          <w:szCs w:val="21"/>
        </w:rPr>
        <w:t>表</w:t>
      </w:r>
      <w:r>
        <w:rPr>
          <w:rFonts w:ascii="Times New Roman" w:hAnsi="Times New Roman" w:eastAsia="仿宋_GB2312" w:cs="Times New Roman"/>
          <w:b/>
          <w:iCs/>
          <w:sz w:val="28"/>
          <w:szCs w:val="21"/>
        </w:rPr>
        <w:t>2</w:t>
      </w:r>
      <w:r>
        <w:rPr>
          <w:rFonts w:hint="eastAsia" w:ascii="Times New Roman" w:hAnsi="Times New Roman" w:eastAsia="仿宋_GB2312" w:cs="Times New Roman"/>
          <w:b/>
          <w:iCs/>
          <w:sz w:val="28"/>
          <w:szCs w:val="21"/>
        </w:rPr>
        <w:t>.3-</w:t>
      </w:r>
      <w:r>
        <w:rPr>
          <w:rFonts w:ascii="Times New Roman" w:hAnsi="Times New Roman" w:eastAsia="仿宋_GB2312" w:cs="Times New Roman"/>
          <w:b/>
          <w:iCs/>
          <w:sz w:val="28"/>
          <w:szCs w:val="21"/>
        </w:rPr>
        <w:t>2</w:t>
      </w:r>
      <w:r>
        <w:rPr>
          <w:rFonts w:hint="eastAsia" w:ascii="Times New Roman" w:hAnsi="Times New Roman" w:eastAsia="仿宋_GB2312" w:cs="Times New Roman"/>
          <w:b/>
          <w:iCs/>
          <w:sz w:val="28"/>
          <w:szCs w:val="21"/>
        </w:rPr>
        <w:t xml:space="preserve"> </w:t>
      </w:r>
      <w:r>
        <w:rPr>
          <w:rFonts w:hint="eastAsia" w:ascii="仿宋_GB2312" w:hAnsi="Times New Roman" w:eastAsia="仿宋_GB2312" w:cs="Times New Roman"/>
          <w:b/>
          <w:iCs/>
          <w:sz w:val="28"/>
          <w:szCs w:val="21"/>
        </w:rPr>
        <w:t xml:space="preserve"> 吐鲁番市托克逊县生态环境准入清单</w:t>
      </w:r>
    </w:p>
    <w:tbl>
      <w:tblPr>
        <w:tblStyle w:val="37"/>
        <w:tblW w:w="210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0"/>
        <w:gridCol w:w="1974"/>
        <w:gridCol w:w="1198"/>
        <w:gridCol w:w="1134"/>
        <w:gridCol w:w="8930"/>
        <w:gridCol w:w="5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blHeader/>
          <w:jc w:val="center"/>
        </w:trPr>
        <w:tc>
          <w:tcPr>
            <w:tcW w:w="2210"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b/>
                <w:bCs/>
                <w:lang w:bidi="en-US"/>
              </w:rPr>
              <w:t>环境管控单元编码</w:t>
            </w:r>
          </w:p>
        </w:tc>
        <w:tc>
          <w:tcPr>
            <w:tcW w:w="1974" w:type="dxa"/>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b/>
                <w:bCs/>
                <w:lang w:bidi="en-US"/>
              </w:rPr>
              <w:t>环境管控单元名称</w:t>
            </w:r>
          </w:p>
        </w:tc>
        <w:tc>
          <w:tcPr>
            <w:tcW w:w="1198"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仿宋" w:eastAsia="仿宋_GB2312" w:cs="仿宋"/>
                <w:b/>
                <w:bCs/>
                <w:lang w:bidi="en-US"/>
              </w:rPr>
              <w:t>环境管控单元类别</w:t>
            </w:r>
          </w:p>
        </w:tc>
        <w:tc>
          <w:tcPr>
            <w:tcW w:w="10064" w:type="dxa"/>
            <w:gridSpan w:val="2"/>
            <w:shd w:val="clear" w:color="auto" w:fill="auto"/>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b/>
                <w:bCs/>
                <w:lang w:bidi="en-US"/>
              </w:rPr>
              <w:t>管控要求</w:t>
            </w:r>
          </w:p>
        </w:tc>
        <w:tc>
          <w:tcPr>
            <w:tcW w:w="5647" w:type="dxa"/>
            <w:vAlign w:val="center"/>
          </w:tcPr>
          <w:p>
            <w:pPr>
              <w:adjustRightInd w:val="0"/>
              <w:snapToGrid w:val="0"/>
              <w:jc w:val="center"/>
              <w:rPr>
                <w:rFonts w:ascii="仿宋_GB2312" w:hAnsi="仿宋" w:eastAsia="仿宋_GB2312" w:cs="仿宋"/>
                <w:b/>
                <w:bCs/>
                <w:lang w:bidi="en-US"/>
              </w:rPr>
            </w:pPr>
            <w:r>
              <w:rPr>
                <w:rFonts w:hint="eastAsia" w:ascii="仿宋_GB2312" w:hAnsi="仿宋" w:eastAsia="仿宋_GB2312" w:cs="仿宋"/>
                <w:b/>
                <w:bCs/>
                <w:lang w:bidi="en-US"/>
              </w:rPr>
              <w:t>编制理由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ZH65042210001</w:t>
            </w:r>
          </w:p>
        </w:tc>
        <w:tc>
          <w:tcPr>
            <w:tcW w:w="197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托克逊县红山水库水源地优先保护单元</w:t>
            </w:r>
          </w:p>
        </w:tc>
        <w:tc>
          <w:tcPr>
            <w:tcW w:w="1198"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13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执行饮用水水源一级保护区的相关法律法规的要求。包括但不限于：饮用水水源一级保护区内禁止新建、改建、扩建与供水设施和保护水源无关的建设项目；已建成的与供水设施和保护水源无关的建设项目，由县级以上人民政府责令拆除或者关闭。禁止在饮用水水源一级保护区内从事网箱养殖、旅游、游泳、垂钓或者其他可能污染饮用水水体的活动。</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完成水源地规范化建设。</w:t>
            </w:r>
          </w:p>
        </w:tc>
        <w:tc>
          <w:tcPr>
            <w:tcW w:w="5647"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生态保护红线区，为红山水库地表水饮用水水源一级保护区</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生态保护红线区、水环境优先保护区、大气环境优先保护区</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《中华人民共和国环境保护法》、《中华人民共和国水污染防治法》、《饮用水源保护区污染防治管理规定》、《新疆维吾尔自治区环境保护条例》、《关于划定并严守生态保护红线的若干意见》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ZH65042210002</w:t>
            </w:r>
          </w:p>
        </w:tc>
        <w:tc>
          <w:tcPr>
            <w:tcW w:w="197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托克逊县天山水源涵养与生物多样性维护生态保护红线区</w:t>
            </w:r>
          </w:p>
        </w:tc>
        <w:tc>
          <w:tcPr>
            <w:tcW w:w="1198"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13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推进天然林保护和围栏封育，维护与重建森林、草原等生态系统，严格保护具有水源涵养功能的植被。</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禁止对野生动植物进行滥捕、乱采和乱猎。保护自然生态系统与重要物种栖息地，</w:t>
            </w:r>
            <w:r>
              <w:rPr>
                <w:rFonts w:ascii="仿宋_GB2312" w:hAnsi="Times New Roman" w:eastAsia="仿宋_GB2312" w:cs="Times New Roman"/>
                <w:lang w:bidi="en-US"/>
              </w:rPr>
              <w:t>加强生态建设和管理，减少人为干扰，对其进行封禁，要维持好天然草地的生态平衡，保护好现有野生动植物生存环境。</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4.开展多种形式的民间生物多样性就地保护；继续实施退牧还草工程，通过禁牧封育、轮封轮牧等措施，限制超载放牧等活动，加强草原生态系统保护。</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5</w:t>
            </w:r>
            <w:r>
              <w:rPr>
                <w:rFonts w:ascii="仿宋_GB2312" w:hAnsi="Times New Roman" w:eastAsia="仿宋_GB2312" w:cs="Times New Roman"/>
                <w:lang w:bidi="en-US"/>
              </w:rPr>
              <w:t>.</w:t>
            </w:r>
            <w:r>
              <w:rPr>
                <w:rFonts w:hint="eastAsia" w:ascii="仿宋_GB2312" w:hAnsi="Times New Roman" w:eastAsia="仿宋_GB2312" w:cs="Times New Roman"/>
                <w:lang w:bidi="en-US"/>
              </w:rPr>
              <w:t>减少人类活动、人类扰动对冰川的影响。推进冰川区生态监测。</w:t>
            </w:r>
          </w:p>
        </w:tc>
        <w:tc>
          <w:tcPr>
            <w:tcW w:w="5647"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生态保护红线区内，涉及冰川及永久积雪</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生态保护红线区、水环境优先保护区、大气环境优先保护区</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《中华人民共和国环境保护法》、《新疆维吾尔自治区环境保护条例》、《关于划定并严守生态保护红线的若干意见》</w:t>
            </w:r>
            <w:r>
              <w:rPr>
                <w:rFonts w:hint="eastAsia" w:ascii="仿宋_GB2312" w:hAnsi="仿宋" w:eastAsia="仿宋_GB2312" w:cs="仿宋"/>
                <w:bCs/>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ZH65042210003</w:t>
            </w:r>
          </w:p>
        </w:tc>
        <w:tc>
          <w:tcPr>
            <w:tcW w:w="197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托克逊县阿拉沟源头水优先保护单元</w:t>
            </w:r>
          </w:p>
        </w:tc>
        <w:tc>
          <w:tcPr>
            <w:tcW w:w="1198"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13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仿宋" w:eastAsia="仿宋_GB2312" w:cs="仿宋"/>
                <w:bCs/>
                <w:lang w:bidi="en-US"/>
              </w:rPr>
              <w:t>禁止在源头水区域内进行污染环境的任何开发建设活动，现行法律、法规明确豁免的开发建设活动除外；禁止在源头水周围建设重化工、涉重金属等工业污染项目；除改善水质为目的治理工程、重要生境保护与修复、水土流失治理工程、专项河湖整治工程等之外，禁止进行大规模对水环境造成影响的国土资源开发和经济活动。</w:t>
            </w:r>
          </w:p>
        </w:tc>
        <w:tc>
          <w:tcPr>
            <w:tcW w:w="5647"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生态保护红线区内，为阿拉沟源头水</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生态保护红线区、水环境优先保护区、大气环境优先保护区</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《中华人民共和国环境保护法》、《中华人民共和国水污染防治法》、《新疆维吾尔自治区环境保护条例》、《关于划定并严守生态保护红线的若干意见》</w:t>
            </w:r>
            <w:r>
              <w:rPr>
                <w:rFonts w:hint="eastAsia" w:ascii="仿宋_GB2312" w:hAnsi="仿宋" w:eastAsia="仿宋_GB2312" w:cs="仿宋"/>
                <w:bCs/>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ZH65042210004</w:t>
            </w:r>
          </w:p>
        </w:tc>
        <w:tc>
          <w:tcPr>
            <w:tcW w:w="197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托克逊县新疆南山风景名胜区、新疆天山大峡谷国家森林公园优先保护单元</w:t>
            </w:r>
          </w:p>
        </w:tc>
        <w:tc>
          <w:tcPr>
            <w:tcW w:w="1198"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13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涉及森林公园的区域执行森林公园的相关法律法规的要求。禁止毁林开垦和毁林采石、采砂、采土以及其他毁林行为；</w:t>
            </w:r>
            <w:r>
              <w:rPr>
                <w:rFonts w:ascii="仿宋_GB2312" w:hAnsi="Times New Roman" w:eastAsia="仿宋_GB2312" w:cs="Times New Roman"/>
                <w:lang w:bidi="en-US"/>
              </w:rPr>
              <w:t>采伐森林公园的林木，必须遵守有关林业法规、经营方案和技术规程的规定。</w:t>
            </w:r>
            <w:r>
              <w:rPr>
                <w:rFonts w:hint="eastAsia" w:ascii="仿宋_GB2312" w:hAnsi="Times New Roman" w:eastAsia="仿宋_GB2312" w:cs="Times New Roman"/>
                <w:lang w:bidi="en-US"/>
              </w:rPr>
              <w:t>禁止在幼林地和特种用途林内砍柴、放牧。在珍贵景物、重要景点和核心景区，除必要的保护和附属设施外，不得建设宾馆、招待所、疗养院和其他工程设施。国家级森林公园内的建设项目应当符合总体规划的要求，其选址、规模、风格和色彩等应当与周边景观与环境相协调，相应的废水、废物处理和防火设施应当同时设计、同时施工、同时使用。</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涉及风景名胜区的区域执行风景名胜区的相关法律法规的要求。包括在风景名胜区内禁止进行下列活动：开山、采石、开矿、开荒、修坟立碑等破坏景观、植被和地形地貌的活动；修建储存爆炸性、易燃性、放射性、毒害性、腐蚀性物品的设施；在景物或者设施上刻划、涂污；乱扔垃圾。</w:t>
            </w:r>
            <w:r>
              <w:rPr>
                <w:rFonts w:hint="eastAsia" w:ascii="仿宋_GB2312" w:hAnsi="仿宋" w:eastAsia="仿宋_GB2312" w:cs="仿宋"/>
                <w:bCs/>
                <w:lang w:bidi="en-US"/>
              </w:rPr>
              <w:t>禁止违反风景名胜区规划，在风景名胜区内设立各类开发区和在核心景区内建设宾馆、招待所、培训中心、疗养院以及与风景名胜资源保护无关的其他建筑物。在风景名胜区内进行下列活动，应当经风景名胜区管理机构审核后，依照有关法律、法规的规定报有关主管部门批准：设置、张贴商业广告；举办大型游乐等活动；改变水资源、水环境自然状态的活动；其他影响生态和景观的活动。</w:t>
            </w:r>
          </w:p>
        </w:tc>
        <w:tc>
          <w:tcPr>
            <w:tcW w:w="5647"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生态保护红线区，涉及</w:t>
            </w:r>
            <w:r>
              <w:rPr>
                <w:rFonts w:hint="eastAsia" w:ascii="仿宋_GB2312" w:hAnsi="Times New Roman" w:eastAsia="仿宋_GB2312" w:cs="Times New Roman"/>
                <w:lang w:bidi="en-US"/>
              </w:rPr>
              <w:t>新疆南山风景名胜区（托克逊县境内部分）、新疆天山大峡谷国家森林公园（托克逊县境内部分）</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生态保护红线区、水环境优先保护区、大气环境优先保护区</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中华人民共和国森林法》、《森林公园管理办法》、《风景名胜区条例》、《新疆维吾尔自治区风景名胜区管理条例》、《新疆维吾尔自治区环境保护条例》、《关于划定并严守生态保护红线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ZH65042210005</w:t>
            </w:r>
          </w:p>
        </w:tc>
        <w:tc>
          <w:tcPr>
            <w:tcW w:w="197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托克逊县新疆罗布泊野骆驼国家级自然保护区优先保护单元</w:t>
            </w:r>
          </w:p>
        </w:tc>
        <w:tc>
          <w:tcPr>
            <w:tcW w:w="1198"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13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1.执行生态保护红线管控要求，禁止或限制不符合主体功能定位的各类开发活动，确保生态保护红线内“生态功能不降低，面积不减少，性质不改变”。</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执行自然保护区的相关法律法规的要求。禁止在自然保护区内进行砍伐、放牧、狩猎、捕捞、采药、开垦、烧荒、开矿、采石、挖沙等活动；但是，法律、行政法规另有规定的除外。在自然保护区的实验区内，不得建设污染环境、破坏资源或者景观的生产设施；建设其他项目，其污染物排放不得超过国家和地方规定的污染物排放标准。在自然保护区的实验区内开展参观、旅游活动的，由自然保护区管理机构编制方案，方案应当符合自然保护区管理目标。严禁开设与自然保护区保护方向不一致的参观、旅游项目。</w:t>
            </w:r>
          </w:p>
        </w:tc>
        <w:tc>
          <w:tcPr>
            <w:tcW w:w="5647"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bCs/>
                <w:lang w:bidi="en-US"/>
              </w:rPr>
              <w:t>生态保护红线区内，为新疆罗布泊野骆驼国家级自然保护区(国家级)实验区</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生态保护红线区、大气环境优先保护区</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《中华人民共和国环境保护法》、《中华人民共和国自然保护区条例》、《新疆维吾尔自治区环境保护条例》、《关于划定并严守生态保护红线的若干意见》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ZH65042210006</w:t>
            </w:r>
          </w:p>
        </w:tc>
        <w:tc>
          <w:tcPr>
            <w:tcW w:w="197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托克逊县一般生态空间</w:t>
            </w:r>
          </w:p>
        </w:tc>
        <w:tc>
          <w:tcPr>
            <w:tcW w:w="1198"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优先保护单元</w:t>
            </w:r>
          </w:p>
        </w:tc>
        <w:tc>
          <w:tcPr>
            <w:tcW w:w="1134" w:type="dxa"/>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w:t>
            </w:r>
            <w:r>
              <w:rPr>
                <w:rFonts w:hint="eastAsia" w:ascii="仿宋_GB2312" w:hAnsi="Times New Roman" w:eastAsia="仿宋_GB2312" w:cs="Times New Roman"/>
                <w:lang w:bidi="en-US"/>
              </w:rPr>
              <w:t>.开展防风固沙、沙源治理为主的生态修复工作。加强沙源治理和天然林保护，禁止毁林开垦、吞食林地和非法占用林地；加强防护林建设，开展绿洲外围的荒漠区生态治理和绿洲内部退化林修复，推进沙化草原治理工作。</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严格保护具有水源涵养功能的植被。任何单位和个人不得在水源涵养区、饮用水水源保护区内和河流、湖泊、水库周围建设重化工、涉重金属等工业污染项目。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全面实施退耕还林、退牧还草工程。在水土流失严重并可能对当地或下游造成严重危害的区域实施水土保持工程，进行重点治理。严格资源开发和建设项目的生态监管，控制新的人为水土流失。</w:t>
            </w:r>
            <w:r>
              <w:rPr>
                <w:rFonts w:ascii="仿宋_GB2312" w:hAnsi="Times New Roman" w:eastAsia="仿宋_GB2312" w:cs="Times New Roman"/>
                <w:lang w:bidi="en-US"/>
              </w:rPr>
              <w:t>生产建设项目选址、选线应当避让水土流失重点预防区和重点治理区；无法避让的，应当提高防治标准，优化施工工艺，减少地表扰动和植被损坏范围，有效控制可能造成的水土流失</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调整传统的畜牧业生产方式，加快规模化圈养牧业的发展，控制放养对草地生态系统的损害。积极推进草畜平衡科学管理办法，限制养殖规模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.加强南部荒漠区域的治理工作。</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.加强水资源管控，严格限制地下水开采，提高农业用水效率。</w:t>
            </w:r>
          </w:p>
        </w:tc>
        <w:tc>
          <w:tcPr>
            <w:tcW w:w="5647" w:type="dxa"/>
            <w:vAlign w:val="center"/>
          </w:tcPr>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单元特点：</w:t>
            </w:r>
            <w:r>
              <w:rPr>
                <w:rFonts w:hint="eastAsia" w:ascii="仿宋_GB2312" w:hAnsi="仿宋" w:eastAsia="仿宋_GB2312" w:cs="仿宋"/>
                <w:lang w:bidi="en-US"/>
              </w:rPr>
              <w:t>一般</w:t>
            </w:r>
            <w:r>
              <w:rPr>
                <w:rFonts w:hint="eastAsia" w:ascii="仿宋_GB2312" w:hAnsi="仿宋" w:eastAsia="仿宋_GB2312" w:cs="仿宋"/>
                <w:bCs/>
                <w:lang w:bidi="en-US"/>
              </w:rPr>
              <w:t>生态空间，根据评估该单元涉及水源涵养重要区、土地沙化敏感区、水土流失敏感区</w:t>
            </w:r>
          </w:p>
          <w:p>
            <w:pPr>
              <w:adjustRightInd w:val="0"/>
              <w:snapToGrid w:val="0"/>
              <w:rPr>
                <w:rFonts w:ascii="仿宋_GB2312" w:hAnsi="仿宋" w:eastAsia="仿宋_GB2312" w:cs="仿宋"/>
                <w:bCs/>
                <w:lang w:bidi="en-US"/>
              </w:rPr>
            </w:pPr>
            <w:r>
              <w:rPr>
                <w:rFonts w:hint="eastAsia" w:ascii="仿宋_GB2312" w:hAnsi="仿宋" w:eastAsia="仿宋_GB2312" w:cs="仿宋"/>
                <w:b/>
                <w:bCs/>
                <w:lang w:bidi="en-US"/>
              </w:rPr>
              <w:t>要素属性：</w:t>
            </w:r>
            <w:r>
              <w:rPr>
                <w:rFonts w:hint="eastAsia" w:ascii="仿宋_GB2312" w:hAnsi="仿宋" w:eastAsia="仿宋_GB2312" w:cs="仿宋"/>
                <w:bCs/>
                <w:lang w:bidi="en-US"/>
              </w:rPr>
              <w:t>一般生态空间</w:t>
            </w:r>
          </w:p>
          <w:p>
            <w:pPr>
              <w:adjustRightInd w:val="0"/>
              <w:snapToGrid w:val="0"/>
              <w:rPr>
                <w:rFonts w:ascii="仿宋_GB2312" w:hAnsi="仿宋" w:eastAsia="仿宋_GB2312" w:cs="仿宋"/>
                <w:b/>
                <w:bCs/>
                <w:lang w:bidi="en-US"/>
              </w:rPr>
            </w:pPr>
            <w:r>
              <w:rPr>
                <w:rFonts w:hint="eastAsia" w:ascii="仿宋_GB2312" w:hAnsi="仿宋" w:eastAsia="仿宋_GB2312" w:cs="仿宋"/>
                <w:b/>
                <w:bCs/>
                <w:lang w:bidi="en-US"/>
              </w:rPr>
              <w:t>相关要求：</w:t>
            </w:r>
            <w:r>
              <w:rPr>
                <w:rFonts w:hint="eastAsia" w:ascii="仿宋_GB2312" w:hAnsi="仿宋" w:eastAsia="仿宋_GB2312" w:cs="仿宋"/>
                <w:lang w:bidi="en-US"/>
              </w:rPr>
              <w:t>《全国主体功能区划》、《关于贯彻实施国家主体功能区环境政策的若干意见》、《新疆维吾尔自治区主体功能区规划》、《新疆维吾尔自治区环境保护条例》</w:t>
            </w:r>
            <w:r>
              <w:rPr>
                <w:rFonts w:hint="eastAsia" w:ascii="仿宋_GB2312" w:hAnsi="仿宋" w:eastAsia="仿宋_GB2312" w:cs="仿宋"/>
                <w:bCs/>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ZH65042220001</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托克逊县中核金正循环经济产业集聚区重点管控单元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仿宋_GB2312" w:hAnsi="Times New Roman" w:eastAsia="仿宋_GB2312" w:cs="Times New Roman"/>
                <w:lang w:bidi="en-US"/>
              </w:rPr>
              <w:t>新建、改建、扩建企业要符合工业园区规划及规划环评要求</w:t>
            </w:r>
            <w:r>
              <w:rPr>
                <w:rFonts w:hint="eastAsia" w:ascii="仿宋_GB2312" w:hAnsi="Times New Roman" w:eastAsia="仿宋_GB2312" w:cs="Times New Roman"/>
              </w:rPr>
              <w:t>。引进产业需符合</w:t>
            </w:r>
            <w:r>
              <w:rPr>
                <w:rFonts w:ascii="仿宋_GB2312" w:hAnsi="Times New Roman" w:eastAsia="仿宋_GB2312" w:cs="Times New Roman"/>
                <w:lang w:bidi="en-US"/>
              </w:rPr>
              <w:t>构建原煤—发电—提质煤—煤气—制氢—油煤共炼—重油加工—燃料油—建材等煤基多联产产业链</w:t>
            </w:r>
            <w:r>
              <w:rPr>
                <w:rFonts w:hint="eastAsia" w:ascii="仿宋_GB2312" w:hAnsi="Times New Roman" w:eastAsia="仿宋_GB2312" w:cs="Times New Roman"/>
                <w:lang w:bidi="en-US"/>
              </w:rPr>
              <w:t>的需求。</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bCs/>
                <w:lang w:bidi="en-US"/>
              </w:rPr>
              <w:t>2.</w:t>
            </w:r>
            <w:r>
              <w:rPr>
                <w:rFonts w:hint="eastAsia" w:ascii="仿宋_GB2312" w:hAnsi="Times New Roman" w:eastAsia="仿宋_GB2312" w:cs="Times New Roman"/>
                <w:bCs/>
                <w:lang w:bidi="en-US"/>
              </w:rPr>
              <w:t>北侧为绿洲的脆弱生态环境，规划提出在其园区北侧建设</w:t>
            </w:r>
            <w:r>
              <w:rPr>
                <w:rFonts w:ascii="仿宋_GB2312" w:hAnsi="Times New Roman" w:eastAsia="仿宋_GB2312" w:cs="Times New Roman"/>
                <w:bCs/>
                <w:lang w:bidi="en-US"/>
              </w:rPr>
              <w:t>200米宽绿化防护林带，作为园区与绿洲区域生态缓冲空间</w:t>
            </w:r>
            <w:r>
              <w:rPr>
                <w:rFonts w:hint="eastAsia" w:ascii="仿宋_GB2312" w:hAnsi="Times New Roman" w:eastAsia="仿宋_GB2312" w:cs="Times New Roman"/>
                <w:bCs/>
                <w:lang w:bidi="en-US"/>
              </w:rPr>
              <w:t>。</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w:t>
            </w:r>
            <w:r>
              <w:rPr>
                <w:rFonts w:hint="eastAsia" w:ascii="仿宋_GB2312" w:hAnsi="Times New Roman" w:eastAsia="仿宋_GB2312" w:cs="Times New Roman"/>
                <w:bCs/>
                <w:lang w:bidi="en-US"/>
              </w:rPr>
              <w:t>托克逊中核金正循环经济产业集聚区</w:t>
            </w:r>
            <w:r>
              <w:rPr>
                <w:rFonts w:hint="eastAsia" w:ascii="仿宋_GB2312" w:hAnsi="Times New Roman" w:eastAsia="仿宋_GB2312" w:cs="Times New Roman"/>
                <w:lang w:bidi="en-US"/>
              </w:rPr>
              <w:t>。重点发展煤炭分质清洁高效转化综合利用，延伸发展低阶煤提质联合制氢、油</w:t>
            </w:r>
            <w:r>
              <w:rPr>
                <w:rFonts w:ascii="仿宋_GB2312" w:hAnsi="Times New Roman" w:eastAsia="仿宋_GB2312" w:cs="Times New Roman"/>
                <w:lang w:bidi="en-US"/>
              </w:rPr>
              <w:t>-煤共炼、重油加工、洁净煤发电等产业；按照循环经济发展理念，构建原煤—发电—提质煤—煤气—制氢—油煤共炼—重油加工—燃料油—建材等煤基多联产产业链</w:t>
            </w:r>
          </w:p>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bCs/>
                <w:lang w:bidi="en-US"/>
              </w:rPr>
              <w:t>《吐鲁番市大气环境质量限期达标规划》、《吐鲁番市打赢蓝天保卫战三年行动计划实施方案（2018-2020）》、《吐鲁番市生态环境保护“十四五”规划》、</w:t>
            </w:r>
            <w:r>
              <w:rPr>
                <w:rFonts w:hint="eastAsia" w:ascii="仿宋_GB2312" w:hAnsi="Times New Roman" w:eastAsia="仿宋_GB2312" w:cs="Times New Roman"/>
                <w:lang w:bidi="en-US"/>
              </w:rPr>
              <w:t>《新疆维吾尔自治区水污染防治工作方案》、《吐鲁番市水污染防治总体实施方案》、《托克逊县水污染防治方案》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1.对园区的SO</w:t>
            </w:r>
            <w:r>
              <w:rPr>
                <w:rFonts w:hint="eastAsia" w:ascii="仿宋_GB2312" w:hAnsi="Times New Roman" w:eastAsia="仿宋_GB2312" w:cs="Times New Roman"/>
                <w:vertAlign w:val="subscript"/>
                <w:lang w:bidi="en-US"/>
              </w:rPr>
              <w:t>2</w:t>
            </w:r>
            <w:r>
              <w:rPr>
                <w:rFonts w:hint="eastAsia" w:ascii="仿宋_GB2312" w:hAnsi="Times New Roman" w:eastAsia="仿宋_GB2312" w:cs="Times New Roman"/>
                <w:lang w:bidi="en-US"/>
              </w:rPr>
              <w:t>、N</w:t>
            </w:r>
            <w:r>
              <w:rPr>
                <w:rFonts w:ascii="仿宋_GB2312" w:hAnsi="Times New Roman" w:eastAsia="仿宋_GB2312" w:cs="Times New Roman"/>
                <w:lang w:bidi="en-US"/>
              </w:rPr>
              <w:t>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、烟粉尘和V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s进行总量控制。逐步开展碳核查工作。</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整治提升石油化工和煤化工等重点行业，加强废水中有机物、重金属、盐分和其他有毒有害污染物的管控，焦化企业焦炉完成干熄焦技术改造。</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继续推进燃煤锅炉烟气清洁排放改造，推进工业炉窑全面达标排放，严格执行行业排放标准、加大污染治理力度。新建燃煤发电机组实现超低排放</w:t>
            </w:r>
            <w:r>
              <w:rPr>
                <w:rFonts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.大力推动重点行业开展VOCs综合整治，</w:t>
            </w:r>
            <w:r>
              <w:rPr>
                <w:rFonts w:ascii="仿宋_GB2312" w:hAnsi="Times New Roman" w:eastAsia="仿宋_GB2312" w:cs="Times New Roman"/>
                <w:lang w:bidi="en-US"/>
              </w:rPr>
              <w:t>加快推进化工行业VOCs综合治理，加大煤化工（含现代煤化工、炼焦、合成氨等）、橡胶制品、涂料、油墨、胶粘剂、染料、化学助剂（塑料助剂和橡胶助剂）等化工行业VOCs治理力度</w:t>
            </w:r>
            <w:r>
              <w:rPr>
                <w:rFonts w:hint="eastAsia" w:ascii="仿宋_GB2312" w:hAnsi="Times New Roman" w:eastAsia="仿宋_GB2312" w:cs="Times New Roman"/>
                <w:lang w:bidi="en-US"/>
              </w:rPr>
              <w:t>。针对炼油、石化、化工等行业，对易发生泄漏的设备与管线组件，制定泄漏检测与修复</w:t>
            </w:r>
            <w:r>
              <w:rPr>
                <w:rFonts w:ascii="仿宋_GB2312" w:hAnsi="Times New Roman" w:eastAsia="仿宋_GB2312" w:cs="Times New Roman"/>
                <w:lang w:bidi="en-US"/>
              </w:rPr>
              <w:t>(LDAR)计划，定期检测、及时修复，防止或减少跑、冒、滴、漏现象</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加强工艺过程除尘设施配置，全面控制工业烟粉尘排放。</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bCs/>
              </w:rPr>
              <w:t>6</w:t>
            </w:r>
            <w:r>
              <w:rPr>
                <w:rFonts w:hint="eastAsia" w:ascii="仿宋_GB2312" w:hAnsi="Times New Roman" w:eastAsia="仿宋_GB2312" w:cs="Times New Roman"/>
                <w:bCs/>
              </w:rPr>
              <w:t>.</w:t>
            </w:r>
            <w:r>
              <w:rPr>
                <w:rFonts w:hint="eastAsia" w:ascii="仿宋_GB2312" w:hAnsi="Times New Roman" w:eastAsia="仿宋_GB2312" w:cs="Times New Roman"/>
                <w:lang w:bidi="en-US"/>
              </w:rPr>
              <w:t>推进污水集中处理设施及再生水回用系统；完善污水管网建设，加强对各企业排放的污废水的监控，禁止在园内设置排污口</w:t>
            </w:r>
            <w:r>
              <w:rPr>
                <w:rFonts w:hint="eastAsia" w:ascii="仿宋_GB2312" w:hAnsi="Times New Roman" w:eastAsia="仿宋_GB2312" w:cs="Times New Roman"/>
                <w:bC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1.强化有毒有害原辅材料运输、储存、使用等过程的监管；做好厂区的分区防渗措施。</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2.定期排查废水污染治理设施建设运行情况、并做好防腐防渗措施；园区污水集中处理设施安装自动在线监控装置；加强园区下游的水质监测。</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1.严把耗煤新项目准入关，控制煤炭消费总量。</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2.严格实施用水管理。新建、改建、扩建项目用水要达到行业先进水平，节水设施应与主体工程同时设计、同时施工、同时投运。</w:t>
            </w:r>
          </w:p>
          <w:p>
            <w:pPr>
              <w:adjustRightInd w:val="0"/>
              <w:snapToGrid w:val="0"/>
              <w:rPr>
                <w:rFonts w:ascii="仿宋_GB2312" w:hAnsi="Times New Roman" w:eastAsia="仿宋_GB2312" w:cs="Times New Roman"/>
                <w:bCs/>
              </w:rPr>
            </w:pPr>
            <w:r>
              <w:rPr>
                <w:rFonts w:hint="eastAsia" w:ascii="仿宋_GB2312" w:hAnsi="Times New Roman" w:eastAsia="仿宋_GB2312" w:cs="Times New Roman"/>
                <w:lang w:bidi="en-US"/>
              </w:rPr>
              <w:t>3.提高工业用水效率，提高工业用水重复利用率和中水回用率，满足国家政策和环评要求。</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ZH65042220002</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rPr>
              <w:t>托克逊县伊拉湖循环经济产业园区重点管控单</w:t>
            </w:r>
            <w:r>
              <w:rPr>
                <w:rFonts w:hint="eastAsia" w:ascii="Times New Roman" w:hAnsi="Times New Roman" w:eastAsia="仿宋_GB2312" w:cs="Times New Roman"/>
              </w:rPr>
              <w:t>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1.</w:t>
            </w:r>
            <w:r>
              <w:rPr>
                <w:rFonts w:ascii="仿宋_GB2312" w:hAnsi="Times New Roman" w:eastAsia="仿宋_GB2312" w:cs="Times New Roman"/>
                <w:lang w:bidi="en-US"/>
              </w:rPr>
              <w:t>新建、改建、扩建企业要符合工业园区规划及规划环评要求</w:t>
            </w:r>
            <w:r>
              <w:rPr>
                <w:rFonts w:hint="eastAsia" w:ascii="仿宋_GB2312" w:hAnsi="Times New Roman" w:eastAsia="仿宋_GB2312" w:cs="Times New Roman"/>
              </w:rPr>
              <w:t>。引进产业符合</w:t>
            </w:r>
            <w:r>
              <w:rPr>
                <w:rFonts w:hint="eastAsia" w:ascii="仿宋_GB2312" w:hAnsi="Times New Roman" w:eastAsia="仿宋_GB2312" w:cs="Times New Roman"/>
                <w:lang w:bidi="en-US"/>
              </w:rPr>
              <w:t>煤炭分质清洁高效综合利用及其相关的延伸产业。</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w:t>
            </w:r>
            <w:r>
              <w:rPr>
                <w:rFonts w:hint="eastAsia" w:ascii="仿宋_GB2312" w:hAnsi="Times New Roman" w:eastAsia="仿宋_GB2312" w:cs="Times New Roman"/>
                <w:bCs/>
                <w:lang w:bidi="en-US"/>
              </w:rPr>
              <w:t>托克逊伊拉湖循环经济产业园区</w:t>
            </w:r>
            <w:r>
              <w:rPr>
                <w:rFonts w:hint="eastAsia" w:ascii="仿宋_GB2312" w:hAnsi="Times New Roman" w:eastAsia="仿宋_GB2312" w:cs="Times New Roman"/>
                <w:lang w:bidi="en-US"/>
              </w:rPr>
              <w:t>。重点发展煤炭分质清洁高效综合利用及其相关的延伸产业</w:t>
            </w:r>
          </w:p>
          <w:p>
            <w:pPr>
              <w:adjustRightInd w:val="0"/>
              <w:snapToGrid w:val="0"/>
              <w:rPr>
                <w:rFonts w:ascii="仿宋_GB2312" w:hAnsi="Times New Roman" w:eastAsia="仿宋_GB2312" w:cs="Times New Roman"/>
                <w:lang w:bidi="en-US"/>
              </w:rPr>
            </w:pPr>
            <w:r>
              <w:rPr>
                <w:rFonts w:ascii="Times New Roman"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bCs/>
                <w:lang w:bidi="en-US"/>
              </w:rPr>
              <w:t>《吐鲁番市大气环境质量限期达标规划》、《吐鲁番市打赢蓝天保卫战三年行动计划实施方案（2018-2020）》、《</w:t>
            </w:r>
            <w:r>
              <w:rPr>
                <w:rFonts w:hint="eastAsia" w:ascii="仿宋_GB2312" w:hAnsi="仿宋" w:eastAsia="仿宋_GB2312" w:cs="仿宋"/>
                <w:lang w:bidi="en-US"/>
              </w:rPr>
              <w:t>吐鲁番市生态环境保护“十四五”规划</w:t>
            </w:r>
            <w:r>
              <w:rPr>
                <w:rFonts w:hint="eastAsia" w:ascii="仿宋_GB2312" w:hAnsi="Times New Roman" w:eastAsia="仿宋_GB2312" w:cs="Times New Roman"/>
                <w:bCs/>
                <w:lang w:bidi="en-US"/>
              </w:rPr>
              <w:t>》、</w:t>
            </w:r>
            <w:r>
              <w:rPr>
                <w:rFonts w:hint="eastAsia" w:ascii="仿宋_GB2312" w:hAnsi="Times New Roman" w:eastAsia="仿宋_GB2312" w:cs="Times New Roman"/>
                <w:lang w:bidi="en-US"/>
              </w:rPr>
              <w:t>《新疆维吾尔自治区水污染防治工作方案》、《吐鲁番市水污染防治总体实施方案》、《托克逊县水污染防治方案》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1.对园区的SO</w:t>
            </w:r>
            <w:r>
              <w:rPr>
                <w:rFonts w:hint="eastAsia" w:ascii="仿宋_GB2312" w:hAnsi="Times New Roman" w:eastAsia="仿宋_GB2312" w:cs="Times New Roman"/>
                <w:vertAlign w:val="subscript"/>
                <w:lang w:bidi="en-US"/>
              </w:rPr>
              <w:t>2</w:t>
            </w:r>
            <w:r>
              <w:rPr>
                <w:rFonts w:hint="eastAsia" w:ascii="仿宋_GB2312" w:hAnsi="Times New Roman" w:eastAsia="仿宋_GB2312" w:cs="Times New Roman"/>
                <w:lang w:bidi="en-US"/>
              </w:rPr>
              <w:t>、N</w:t>
            </w:r>
            <w:r>
              <w:rPr>
                <w:rFonts w:ascii="仿宋_GB2312" w:hAnsi="Times New Roman" w:eastAsia="仿宋_GB2312" w:cs="Times New Roman"/>
                <w:lang w:bidi="en-US"/>
              </w:rPr>
              <w:t>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、烟粉尘和V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s进行总量控制。逐步开展碳核查工作。</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整治提升现有的煤化工重点行业，加强废水中有机物、重金属、盐分和其他有毒有害污染物的管控，焦化企业焦炉完成干熄焦技术改造。</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继续推进燃煤锅炉烟气清洁排放改造，推进工业炉窑全面达标排放，严格执行行业排放标准、加大污染治理力度。新建燃煤发电机组实现超低排放</w:t>
            </w:r>
            <w:r>
              <w:rPr>
                <w:rFonts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.大力推动重点行业开展VOCs综合整治，</w:t>
            </w:r>
            <w:r>
              <w:rPr>
                <w:rFonts w:ascii="仿宋_GB2312" w:hAnsi="Times New Roman" w:eastAsia="仿宋_GB2312" w:cs="Times New Roman"/>
                <w:lang w:bidi="en-US"/>
              </w:rPr>
              <w:t>加快推进化工行业VOCs综合治理，加大煤化工（含现代煤化工、炼焦、合成氨等）、橡胶制品、涂料、油墨、胶粘剂、染料、化学助剂（塑料助剂和橡胶助剂）等化工行业VOCs治理力度</w:t>
            </w:r>
            <w:r>
              <w:rPr>
                <w:rFonts w:hint="eastAsia" w:ascii="仿宋_GB2312" w:hAnsi="Times New Roman" w:eastAsia="仿宋_GB2312" w:cs="Times New Roman"/>
                <w:lang w:bidi="en-US"/>
              </w:rPr>
              <w:t>。针对炼油、石化、化工等行业，对易发生泄漏的设备与管线组件，制定泄漏检测与修复</w:t>
            </w:r>
            <w:r>
              <w:rPr>
                <w:rFonts w:ascii="仿宋_GB2312" w:hAnsi="Times New Roman" w:eastAsia="仿宋_GB2312" w:cs="Times New Roman"/>
                <w:lang w:bidi="en-US"/>
              </w:rPr>
              <w:t>(LDAR)计划，定期检测、及时修复，防止或减少跑、冒、滴、漏现象</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加强工艺过程除尘设施配置，全面控制工业烟粉尘排放。</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bCs/>
              </w:rPr>
              <w:t>6</w:t>
            </w:r>
            <w:r>
              <w:rPr>
                <w:rFonts w:hint="eastAsia" w:ascii="仿宋_GB2312" w:hAnsi="Times New Roman" w:eastAsia="仿宋_GB2312" w:cs="Times New Roman"/>
                <w:bCs/>
              </w:rPr>
              <w:t>.</w:t>
            </w:r>
            <w:r>
              <w:rPr>
                <w:rFonts w:hint="eastAsia" w:ascii="仿宋_GB2312" w:hAnsi="Times New Roman" w:eastAsia="仿宋_GB2312" w:cs="Times New Roman"/>
                <w:lang w:bidi="en-US"/>
              </w:rPr>
              <w:t>推进污水集中处理设施及再生水回用系统；完善污水管网建设，加强对各企业排放的污废水的监控，禁止在园内设置排污口</w:t>
            </w:r>
            <w:r>
              <w:rPr>
                <w:rFonts w:hint="eastAsia" w:ascii="仿宋_GB2312" w:hAnsi="Times New Roman" w:eastAsia="仿宋_GB2312" w:cs="Times New Roman"/>
                <w:bC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1.强化有毒有害原辅材料运输、储存、使用等过程的监管；做好厂区的分区防渗措施。</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2.定期排查废水污染治理设施建设运行情况、并做好防腐防渗措施；园区污水集中处理设施安装自动在线监控装置；加强园区下游的水质监测。</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 严把耗煤新项目准入关，控制煤炭消费总量。</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2.严格实施用水管理。新建、改建、扩建项目用水要达到行业先进水平，节水设施应与主体工程同时设计、同时施工、同时投运。</w:t>
            </w:r>
          </w:p>
          <w:p>
            <w:pPr>
              <w:adjustRightInd w:val="0"/>
              <w:snapToGrid w:val="0"/>
              <w:rPr>
                <w:rFonts w:ascii="仿宋_GB2312" w:hAnsi="Times New Roman" w:eastAsia="仿宋_GB2312" w:cs="Times New Roman"/>
                <w:bCs/>
              </w:rPr>
            </w:pPr>
            <w:r>
              <w:rPr>
                <w:rFonts w:hint="eastAsia" w:ascii="仿宋_GB2312" w:hAnsi="Times New Roman" w:eastAsia="仿宋_GB2312" w:cs="Times New Roman"/>
                <w:lang w:bidi="en-US"/>
              </w:rPr>
              <w:t>3.提高工业用水效率，实施高效节水工程。</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ZH65042220003</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rPr>
              <w:t>托克逊县</w:t>
            </w:r>
            <w:r>
              <w:rPr>
                <w:rFonts w:hint="eastAsia" w:ascii="Times New Roman" w:hAnsi="Times New Roman" w:eastAsia="仿宋_GB2312" w:cs="Times New Roman"/>
              </w:rPr>
              <w:t>能源重化工工业园及</w:t>
            </w:r>
            <w:r>
              <w:rPr>
                <w:rFonts w:ascii="Times New Roman" w:hAnsi="Times New Roman" w:eastAsia="仿宋_GB2312" w:cs="Times New Roman"/>
              </w:rPr>
              <w:t>建材产业园-再生资源产业园重点管控单元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1.新建、改建、扩建企业要符合工业园区规划及规划环评要求。</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仿宋" w:eastAsia="仿宋_GB2312" w:cs="仿宋"/>
                <w:bCs/>
                <w:lang w:bidi="en-US"/>
              </w:rPr>
              <w:t>园区北</w:t>
            </w:r>
            <w:r>
              <w:rPr>
                <w:rFonts w:hint="eastAsia" w:ascii="仿宋_GB2312" w:hAnsi="Times New Roman" w:eastAsia="仿宋_GB2312" w:cs="Times New Roman"/>
                <w:bCs/>
                <w:lang w:bidi="en-US"/>
              </w:rPr>
              <w:t>侧与居民最近区域禁止布置</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hint="eastAsia" w:ascii="仿宋_GB2312" w:hAnsi="Times New Roman" w:eastAsia="仿宋_GB2312" w:cs="Times New Roman"/>
                <w:bCs/>
                <w:lang w:bidi="en-US"/>
              </w:rPr>
              <w:t>三类工业和</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bCs/>
                <w:lang w:bidi="en-US"/>
              </w:rPr>
              <w:t>涉气的二类工业，鼓励</w:t>
            </w:r>
            <w:r>
              <w:rPr>
                <w:rFonts w:ascii="仿宋_GB2312" w:hAnsi="Times New Roman" w:eastAsia="仿宋_GB2312" w:cs="Times New Roman"/>
                <w:bCs/>
                <w:lang w:bidi="en-US"/>
              </w:rPr>
              <w:t>无污染，工艺简单的企业入驻</w:t>
            </w:r>
            <w:r>
              <w:rPr>
                <w:rFonts w:hint="eastAsia" w:ascii="仿宋_GB2312" w:hAnsi="Times New Roman" w:eastAsia="仿宋_GB2312" w:cs="Times New Roman"/>
                <w:bCs/>
                <w:lang w:bidi="en-US"/>
              </w:rPr>
              <w:t>。</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bCs/>
                <w:lang w:bidi="en-US"/>
              </w:rPr>
              <w:t>禁止高水耗、高物耗、高能耗的项目。</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bCs/>
                <w:lang w:bidi="en-US"/>
              </w:rPr>
              <w:t>4.</w:t>
            </w:r>
            <w:r>
              <w:rPr>
                <w:rFonts w:hint="eastAsia" w:ascii="仿宋_GB2312" w:hAnsi="Times New Roman" w:eastAsia="仿宋_GB2312" w:cs="Times New Roman"/>
                <w:bCs/>
                <w:lang w:bidi="en-US"/>
              </w:rPr>
              <w:t>服装产业</w:t>
            </w:r>
            <w:r>
              <w:rPr>
                <w:rFonts w:ascii="仿宋_GB2312" w:hAnsi="Times New Roman" w:eastAsia="仿宋_GB2312" w:cs="Times New Roman"/>
                <w:bCs/>
                <w:lang w:bidi="en-US"/>
              </w:rPr>
              <w:t>禁止引入含湿法印花、染色、水洗工艺的</w:t>
            </w:r>
            <w:r>
              <w:rPr>
                <w:rFonts w:hint="eastAsia" w:ascii="仿宋_GB2312" w:hAnsi="Times New Roman" w:eastAsia="仿宋_GB2312" w:cs="Times New Roman"/>
                <w:bCs/>
                <w:lang w:bidi="en-US"/>
              </w:rPr>
              <w:t>；</w:t>
            </w:r>
            <w:r>
              <w:rPr>
                <w:rFonts w:ascii="仿宋_GB2312" w:hAnsi="Times New Roman" w:eastAsia="仿宋_GB2312" w:cs="Times New Roman"/>
                <w:bCs/>
                <w:lang w:bidi="en-US"/>
              </w:rPr>
              <w:t>禁止棉浆泊生产项目入园</w:t>
            </w:r>
            <w:r>
              <w:rPr>
                <w:rFonts w:hint="eastAsia" w:ascii="仿宋_GB2312" w:hAnsi="Times New Roman" w:eastAsia="仿宋_GB2312" w:cs="Times New Roman"/>
                <w:bCs/>
                <w:lang w:bidi="en-US"/>
              </w:rPr>
              <w:t>；</w:t>
            </w:r>
            <w:r>
              <w:rPr>
                <w:rFonts w:ascii="仿宋_GB2312" w:hAnsi="Times New Roman" w:eastAsia="仿宋_GB2312" w:cs="Times New Roman"/>
                <w:bCs/>
                <w:lang w:bidi="en-US"/>
              </w:rPr>
              <w:t>禁止引入</w:t>
            </w:r>
            <w:r>
              <w:rPr>
                <w:rFonts w:hint="eastAsia" w:ascii="仿宋_GB2312" w:hAnsi="Times New Roman" w:eastAsia="仿宋_GB2312" w:cs="Times New Roman"/>
                <w:bCs/>
                <w:lang w:bidi="en-US"/>
              </w:rPr>
              <w:t>含</w:t>
            </w:r>
            <w:r>
              <w:rPr>
                <w:rFonts w:ascii="仿宋_GB2312" w:hAnsi="Times New Roman" w:eastAsia="仿宋_GB2312" w:cs="Times New Roman"/>
                <w:bCs/>
                <w:lang w:bidi="en-US"/>
              </w:rPr>
              <w:t>洗毛、染整、脱胶工艺的</w:t>
            </w:r>
            <w:r>
              <w:rPr>
                <w:rFonts w:hint="eastAsia" w:ascii="仿宋_GB2312" w:hAnsi="Times New Roman" w:eastAsia="仿宋_GB2312" w:cs="Times New Roman"/>
                <w:bCs/>
                <w:lang w:bidi="en-US"/>
              </w:rPr>
              <w:t>项目。</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.新建电石生产装置必须采用密闭式电石炉，电石炉气必须综合利用。新建电石生产装置须与大型乙炔深加工企业配套建设。</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w:t>
            </w:r>
            <w:r>
              <w:rPr>
                <w:rFonts w:hint="eastAsia" w:ascii="仿宋_GB2312" w:hAnsi="Times New Roman" w:eastAsia="仿宋_GB2312" w:cs="Times New Roman"/>
                <w:bCs/>
                <w:lang w:bidi="en-US"/>
              </w:rPr>
              <w:t>托克逊能源重化工工业园</w:t>
            </w:r>
            <w:r>
              <w:rPr>
                <w:rFonts w:hint="eastAsia" w:ascii="仿宋_GB2312" w:hAnsi="Times New Roman" w:eastAsia="仿宋_GB2312" w:cs="Times New Roman"/>
                <w:lang w:bidi="en-US"/>
              </w:rPr>
              <w:t>，为土壤风险重点管控区、工业污染重点管控区、大气环境高排放区，同时涉及地下水限采区</w:t>
            </w:r>
          </w:p>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r>
              <w:rPr>
                <w:rFonts w:hint="eastAsia" w:ascii="Times New Roman" w:hAnsi="Times New Roman" w:eastAsia="仿宋_GB2312" w:cs="Times New Roman"/>
                <w:lang w:bidi="en-US"/>
              </w:rPr>
              <w:t>、土壤重点管控区、地下水开采重点管控区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bCs/>
                <w:lang w:bidi="en-US"/>
              </w:rPr>
              <w:t>《吐鲁番市大气环境质量限期达标规划》、《吐鲁番市打赢蓝天保卫战三年行动计划实施方案（2018-2020）》、《</w:t>
            </w:r>
            <w:r>
              <w:rPr>
                <w:rFonts w:hint="eastAsia" w:ascii="仿宋_GB2312" w:hAnsi="仿宋" w:eastAsia="仿宋_GB2312" w:cs="仿宋"/>
                <w:lang w:bidi="en-US"/>
              </w:rPr>
              <w:t>吐鲁番市生态环境保护“十四五”规划</w:t>
            </w:r>
            <w:r>
              <w:rPr>
                <w:rFonts w:hint="eastAsia" w:ascii="仿宋_GB2312" w:hAnsi="Times New Roman" w:eastAsia="仿宋_GB2312" w:cs="Times New Roman"/>
                <w:bCs/>
                <w:lang w:bidi="en-US"/>
              </w:rPr>
              <w:t>》、</w:t>
            </w:r>
            <w:r>
              <w:rPr>
                <w:rFonts w:hint="eastAsia" w:ascii="仿宋_GB2312" w:hAnsi="Times New Roman" w:eastAsia="仿宋_GB2312" w:cs="Times New Roman"/>
                <w:lang w:bidi="en-US"/>
              </w:rPr>
              <w:t>《新疆维吾尔自治区环境保护“十三五”规划》《新疆维吾尔自治区水污染防治工作方案》、《吐鲁番市水污染防治总体实施方案》、《托克逊县水污染防治方案》、</w:t>
            </w:r>
            <w:r>
              <w:rPr>
                <w:rFonts w:hint="eastAsia" w:ascii="仿宋_GB2312" w:hAnsi="Times New Roman" w:eastAsia="仿宋_GB2312" w:cs="Times New Roman"/>
                <w:bCs/>
                <w:lang w:bidi="en-US"/>
              </w:rPr>
              <w:t>《新疆维吾尔自治区重点行业环境准入条件（修订）》、</w:t>
            </w:r>
            <w:r>
              <w:rPr>
                <w:rFonts w:hint="eastAsia" w:ascii="仿宋_GB2312" w:hAnsi="Times New Roman" w:eastAsia="仿宋_GB2312" w:cs="Times New Roman"/>
                <w:lang w:bidi="en-US"/>
              </w:rPr>
              <w:t>《吐鲁番市土壤污染防治工作方案》、</w:t>
            </w:r>
            <w:r>
              <w:rPr>
                <w:rFonts w:hint="eastAsia" w:ascii="仿宋_GB2312" w:hAnsi="Times New Roman" w:eastAsia="仿宋_GB2312" w:cs="Times New Roman"/>
                <w:bCs/>
                <w:lang w:bidi="en-US"/>
              </w:rPr>
              <w:t>《污染地块土壤环境管理办法》、《新疆托克逊能源重化工工业园总体规划（2</w:t>
            </w:r>
            <w:r>
              <w:rPr>
                <w:rFonts w:ascii="仿宋_GB2312" w:hAnsi="Times New Roman" w:eastAsia="仿宋_GB2312" w:cs="Times New Roman"/>
                <w:bCs/>
                <w:lang w:bidi="en-US"/>
              </w:rPr>
              <w:t>015-2030</w:t>
            </w:r>
            <w:r>
              <w:rPr>
                <w:rFonts w:hint="eastAsia" w:ascii="仿宋_GB2312" w:hAnsi="Times New Roman" w:eastAsia="仿宋_GB2312" w:cs="Times New Roman"/>
                <w:bCs/>
                <w:lang w:bidi="en-US"/>
              </w:rPr>
              <w:t>）》及规划环评、《托克逊工业园区建材产业园总体规划（</w:t>
            </w:r>
            <w:r>
              <w:rPr>
                <w:rFonts w:ascii="仿宋_GB2312" w:hAnsi="Times New Roman" w:eastAsia="仿宋_GB2312" w:cs="Times New Roman"/>
                <w:bCs/>
                <w:lang w:bidi="en-US"/>
              </w:rPr>
              <w:t>2017-2030）</w:t>
            </w:r>
            <w:r>
              <w:rPr>
                <w:rFonts w:hint="eastAsia" w:ascii="仿宋_GB2312" w:hAnsi="Times New Roman" w:eastAsia="仿宋_GB2312" w:cs="Times New Roman"/>
                <w:bCs/>
                <w:lang w:bidi="en-US"/>
              </w:rPr>
              <w:t>》及规划环评、《托克逊工业园区再生资源产业园总体规划（</w:t>
            </w:r>
            <w:r>
              <w:rPr>
                <w:rFonts w:ascii="仿宋_GB2312" w:hAnsi="Times New Roman" w:eastAsia="仿宋_GB2312" w:cs="Times New Roman"/>
                <w:bCs/>
                <w:lang w:bidi="en-US"/>
              </w:rPr>
              <w:t>2017-2030）</w:t>
            </w:r>
            <w:r>
              <w:rPr>
                <w:rFonts w:hint="eastAsia" w:ascii="仿宋_GB2312" w:hAnsi="Times New Roman" w:eastAsia="仿宋_GB2312" w:cs="Times New Roman"/>
                <w:bCs/>
                <w:lang w:bidi="en-US"/>
              </w:rPr>
              <w:t>》及规划环评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1.对园区的SO</w:t>
            </w:r>
            <w:r>
              <w:rPr>
                <w:rFonts w:hint="eastAsia" w:ascii="仿宋_GB2312" w:hAnsi="Times New Roman" w:eastAsia="仿宋_GB2312" w:cs="Times New Roman"/>
                <w:vertAlign w:val="subscript"/>
                <w:lang w:bidi="en-US"/>
              </w:rPr>
              <w:t>2</w:t>
            </w:r>
            <w:r>
              <w:rPr>
                <w:rFonts w:hint="eastAsia" w:ascii="仿宋_GB2312" w:hAnsi="Times New Roman" w:eastAsia="仿宋_GB2312" w:cs="Times New Roman"/>
                <w:lang w:bidi="en-US"/>
              </w:rPr>
              <w:t>、N</w:t>
            </w:r>
            <w:r>
              <w:rPr>
                <w:rFonts w:ascii="仿宋_GB2312" w:hAnsi="Times New Roman" w:eastAsia="仿宋_GB2312" w:cs="Times New Roman"/>
                <w:lang w:bidi="en-US"/>
              </w:rPr>
              <w:t>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、烟粉尘和V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s进行总量控制。逐步开展碳核查工作。</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2.推进工业炉窑全面达标排放，严格执行行业排放标准、加大污染治理力度。</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3.加快推进化工行业VOCs综合治理，加大煤化工（含现代煤化工、炼焦、合成氨等）、橡胶制品、涂料、油墨、胶粘剂、染料、化学助剂（塑料助剂和橡胶助剂）等化工行业VOCs治理力度。</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4</w:t>
            </w:r>
            <w:r>
              <w:rPr>
                <w:rFonts w:ascii="仿宋_GB2312" w:hAnsi="Times New Roman" w:eastAsia="仿宋_GB2312" w:cs="Times New Roman"/>
                <w:lang w:bidi="en-US"/>
              </w:rPr>
              <w:t>.</w:t>
            </w:r>
            <w:r>
              <w:rPr>
                <w:rFonts w:hint="eastAsia" w:ascii="仿宋_GB2312" w:hAnsi="Times New Roman" w:eastAsia="仿宋_GB2312" w:cs="Times New Roman"/>
                <w:lang w:bidi="en-US"/>
              </w:rPr>
              <w:t>加强无组织废气排放的管理，采用先进的、密闭性好的生产设备、化工物料存贮容器和输送管线，最大限度减少无组织废气排放。使用煤炭项目建议采用密闭输煤栈桥输送和用圆筒仓储煤以减少扬尘污染，对碎煤车间、储煤仓等扬尘点采用袋式除尘器进行除尘处理，减少粉尘排放量，回收的粉尘返回生产系统。各原料及产品仓采用封闭式。</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5</w:t>
            </w:r>
            <w:r>
              <w:rPr>
                <w:rFonts w:ascii="仿宋_GB2312" w:hAnsi="Times New Roman" w:eastAsia="仿宋_GB2312" w:cs="Times New Roman"/>
                <w:lang w:bidi="en-US"/>
              </w:rPr>
              <w:t>.</w:t>
            </w:r>
            <w:r>
              <w:rPr>
                <w:rFonts w:ascii="Times New Roman" w:hAnsi="Times New Roman" w:eastAsia="仿宋_GB2312" w:cs="Times New Roman"/>
                <w:lang w:bidi="en-US"/>
              </w:rPr>
              <w:t>加强对园区内企业的废水、废气中重金属的污染防控措施，严格执行重金属总量控制政策。</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7.推进污水集中处理设施及再生水回用系统；完善污水管网建设，加强对各企业排放的污废水的监控，禁止在园内设置排污口。</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8.对污染地块和列入疑似污染地块名单的地块，严格按照《污染地块土壤环境管理办法》等相关法律法规管理。</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有毒有害原辅材料运输、储存、使用等过程的监管；做好厂区分区防渗措施。涉及危险工艺的生产企业，必须装备自动化控制系统，安装液位、温度、压力超限报警设施、气体泄漏检测报警装置和、紧急切断装置等。</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2.定期排查废水污染治理设施建设运行情况、并做好防腐防渗措施；园区污水集中处理设施安装自动在线监控装置；加强园区下游的水质监测。</w:t>
            </w:r>
          </w:p>
          <w:p>
            <w:pPr>
              <w:adjustRightInd w:val="0"/>
              <w:snapToGrid w:val="0"/>
              <w:rPr>
                <w:rFonts w:ascii="Times New Roman" w:hAnsi="Times New Roman" w:eastAsia="仿宋_GB2312" w:cs="Times New Roman"/>
                <w:lang w:bidi="en-US"/>
              </w:rPr>
            </w:pPr>
            <w:r>
              <w:rPr>
                <w:rFonts w:hint="eastAsia" w:ascii="Times New Roman" w:hAnsi="Times New Roman" w:eastAsia="仿宋_GB2312" w:cs="Times New Roman"/>
                <w:lang w:bidi="en-US"/>
              </w:rPr>
              <w:t>3</w:t>
            </w:r>
            <w:r>
              <w:rPr>
                <w:rFonts w:ascii="Times New Roman" w:hAnsi="Times New Roman" w:eastAsia="仿宋_GB2312" w:cs="Times New Roman"/>
                <w:lang w:bidi="en-US"/>
              </w:rPr>
              <w:t>.</w:t>
            </w:r>
            <w:r>
              <w:rPr>
                <w:rFonts w:hint="eastAsia" w:ascii="Times New Roman" w:hAnsi="Times New Roman" w:eastAsia="仿宋_GB2312" w:cs="Times New Roman"/>
                <w:lang w:bidi="en-US"/>
              </w:rPr>
              <w:t>加强风险事故防范意识，制定各类风险事故应急预案，并在化工区开展经常性的演练。园区管委会应组建自己的消防队。</w:t>
            </w:r>
          </w:p>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lang w:bidi="en-US"/>
              </w:rPr>
              <w:t>4.严格污染地块开发利用和流转审批。按照国家有关环境标淮和技术规范，编制风险管控方案</w:t>
            </w:r>
            <w:r>
              <w:rPr>
                <w:rFonts w:hint="eastAsia" w:ascii="Times New Roman"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1.严把耗煤新项目准入关，控制煤炭消费总量。</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2.严格实施用水管理。新建、改建、扩建项目用水要达到行业先进水平，节水设施应与主体工程同时设计、同时施工、同时投运。</w:t>
            </w:r>
          </w:p>
          <w:p>
            <w:pPr>
              <w:adjustRightInd w:val="0"/>
              <w:snapToGrid w:val="0"/>
              <w:rPr>
                <w:rFonts w:ascii="仿宋_GB2312" w:hAnsi="Times New Roman" w:eastAsia="仿宋_GB2312" w:cs="Times New Roman"/>
                <w:bCs/>
              </w:rPr>
            </w:pPr>
            <w:r>
              <w:rPr>
                <w:rFonts w:hint="eastAsia" w:ascii="仿宋_GB2312" w:hAnsi="Times New Roman" w:eastAsia="仿宋_GB2312" w:cs="Times New Roman"/>
                <w:lang w:bidi="en-US"/>
              </w:rPr>
              <w:t>3.提高工业用水效率，提高工业用水重复利用率和中水回用率，满足国家政策和环评要求。</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ZH65042220004</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托克逊县圣雄同心工业园重点管控单元0</w:t>
            </w:r>
            <w:r>
              <w:rPr>
                <w:rFonts w:ascii="仿宋_GB2312" w:hAnsi="Times New Roman" w:eastAsia="仿宋_GB2312" w:cs="Times New Roman"/>
                <w:bCs/>
                <w:lang w:bidi="en-US"/>
              </w:rPr>
              <w:t>1</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1.新建、改建、扩建企业要符合工业园区各项规划及规划环评要求。建设项目需满足企业自身产业链需求。</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bCs/>
                <w:lang w:bidi="en-US"/>
              </w:rPr>
              <w:t>禁止不符合相关要求的高污染（排放）、高能（水）耗、高环境风险的工业项目。</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该管控单元为托克逊工业园（圣雄同心工业园），工业污染重点管控区、大气环境高排放区。企业工业园区，产业类型主要为兰炭、电石、热电联产、聚氯乙烯、离子膜烧碱、石灰、甲醇、丁辛醇、</w:t>
            </w:r>
            <w:r>
              <w:rPr>
                <w:rFonts w:ascii="仿宋_GB2312" w:hAnsi="Times New Roman" w:eastAsia="仿宋_GB2312" w:cs="Times New Roman"/>
                <w:lang w:bidi="en-US"/>
              </w:rPr>
              <w:t>MTO</w:t>
            </w:r>
            <w:r>
              <w:rPr>
                <w:rFonts w:hint="eastAsia" w:ascii="仿宋_GB2312" w:hAnsi="Times New Roman" w:eastAsia="仿宋_GB2312" w:cs="Times New Roman"/>
                <w:lang w:bidi="en-US"/>
              </w:rPr>
              <w:t>、醋酸</w:t>
            </w:r>
            <w:r>
              <w:rPr>
                <w:rFonts w:ascii="仿宋_GB2312" w:hAnsi="Times New Roman" w:eastAsia="仿宋_GB2312" w:cs="Times New Roman"/>
                <w:lang w:bidi="en-US"/>
              </w:rPr>
              <w:t>和水泥产业</w:t>
            </w:r>
          </w:p>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bCs/>
                <w:lang w:bidi="en-US"/>
              </w:rPr>
              <w:t>《吐鲁番市大气环境质量限期达标规划》、《吐鲁番市打赢蓝天保卫战三年行动计划实施方案（2018-2020）》、《</w:t>
            </w:r>
            <w:r>
              <w:rPr>
                <w:rFonts w:hint="eastAsia" w:ascii="仿宋_GB2312" w:hAnsi="仿宋" w:eastAsia="仿宋_GB2312" w:cs="仿宋"/>
                <w:lang w:bidi="en-US"/>
              </w:rPr>
              <w:t>吐鲁番市生态环境保护“十四五”规划</w:t>
            </w:r>
            <w:r>
              <w:rPr>
                <w:rFonts w:hint="eastAsia" w:ascii="仿宋_GB2312" w:hAnsi="Times New Roman" w:eastAsia="仿宋_GB2312" w:cs="Times New Roman"/>
                <w:bCs/>
                <w:lang w:bidi="en-US"/>
              </w:rPr>
              <w:t>》、</w:t>
            </w:r>
            <w:r>
              <w:rPr>
                <w:rFonts w:hint="eastAsia" w:ascii="仿宋_GB2312" w:hAnsi="Times New Roman" w:eastAsia="仿宋_GB2312" w:cs="Times New Roman"/>
                <w:lang w:bidi="en-US"/>
              </w:rPr>
              <w:t>《吐鲁番市水污染防治总体实施方案》、《托克逊县水污染防治方案》、</w:t>
            </w:r>
            <w:r>
              <w:rPr>
                <w:rFonts w:hint="eastAsia" w:ascii="仿宋_GB2312" w:hAnsi="Times New Roman" w:eastAsia="仿宋_GB2312" w:cs="Times New Roman"/>
                <w:bCs/>
                <w:lang w:bidi="en-US"/>
              </w:rPr>
              <w:t>《新疆圣雄能源开发有限公司同心工业园规划》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1.对园区的SO</w:t>
            </w:r>
            <w:r>
              <w:rPr>
                <w:rFonts w:hint="eastAsia" w:ascii="仿宋_GB2312" w:hAnsi="Times New Roman" w:eastAsia="仿宋_GB2312" w:cs="Times New Roman"/>
                <w:vertAlign w:val="subscript"/>
                <w:lang w:bidi="en-US"/>
              </w:rPr>
              <w:t>2</w:t>
            </w:r>
            <w:r>
              <w:rPr>
                <w:rFonts w:hint="eastAsia" w:ascii="仿宋_GB2312" w:hAnsi="Times New Roman" w:eastAsia="仿宋_GB2312" w:cs="Times New Roman"/>
                <w:lang w:bidi="en-US"/>
              </w:rPr>
              <w:t>、N</w:t>
            </w:r>
            <w:r>
              <w:rPr>
                <w:rFonts w:ascii="仿宋_GB2312" w:hAnsi="Times New Roman" w:eastAsia="仿宋_GB2312" w:cs="Times New Roman"/>
                <w:lang w:bidi="en-US"/>
              </w:rPr>
              <w:t>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、烟粉尘和V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推进热电联产项目提标改造，确保烟气超低排放</w:t>
            </w:r>
            <w:r>
              <w:rPr>
                <w:rFonts w:ascii="仿宋_GB2312" w:hAnsi="Times New Roman" w:eastAsia="仿宋_GB2312" w:cs="Times New Roman"/>
                <w:lang w:bidi="en-US"/>
              </w:rPr>
              <w:t>。</w:t>
            </w:r>
            <w:r>
              <w:rPr>
                <w:rFonts w:hint="eastAsia" w:ascii="仿宋_GB2312" w:hAnsi="Times New Roman" w:eastAsia="仿宋_GB2312" w:cs="Times New Roman"/>
                <w:lang w:bidi="en-US"/>
              </w:rPr>
              <w:t>对石灰窑烟气（电石炭料加热尾气）处理实施脱硝改造、水泥熟料生产项目烟气治理实施提标改造。</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3.加快推进化工行业VOCs综合治理。</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4</w:t>
            </w:r>
            <w:r>
              <w:rPr>
                <w:rFonts w:ascii="仿宋_GB2312" w:hAnsi="Times New Roman" w:eastAsia="仿宋_GB2312" w:cs="Times New Roman"/>
                <w:lang w:bidi="en-US"/>
              </w:rPr>
              <w:t>.</w:t>
            </w:r>
            <w:r>
              <w:rPr>
                <w:rFonts w:hint="eastAsia" w:ascii="仿宋_GB2312" w:hAnsi="Times New Roman" w:eastAsia="仿宋_GB2312" w:cs="Times New Roman"/>
                <w:lang w:bidi="en-US"/>
              </w:rPr>
              <w:t>加强工艺过程除尘设施配置，全面控制工业烟粉尘排放。煤堆、料堆场建立密闭料仓与传送装置。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5</w:t>
            </w:r>
            <w:r>
              <w:rPr>
                <w:rFonts w:ascii="仿宋_GB2312" w:hAnsi="Times New Roman" w:eastAsia="仿宋_GB2312" w:cs="Times New Roman"/>
                <w:lang w:bidi="en-US"/>
              </w:rPr>
              <w:t>.</w:t>
            </w:r>
            <w:r>
              <w:rPr>
                <w:rFonts w:ascii="Times New Roman" w:hAnsi="Times New Roman" w:eastAsia="仿宋_GB2312" w:cs="Times New Roman"/>
                <w:lang w:bidi="en-US"/>
              </w:rPr>
              <w:t>加强对园区内企业的废水、废气中重金属的污染防控措施，严格执行重金属总量控制政策。</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.推进污水集中处理设施及再生水回用系统；完善污水管网建设，加强对企业排放的污废水的监控，禁止在园内设置排污口。</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1.强化有毒有害原辅材料运输、储存、使用等过程的监管；做好厂区、渣场等的分区防渗措施。</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2.定期排查废水污染治理设施建设运行情况、并做好防腐防渗措施；园区污水集中处理设施安装自动在线监控装置；加强园区下游的水质监测。</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1.严把耗煤新项目准入关，控制煤炭消费总量。</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2.严格实施用水管理。新建、改建、扩建项目用水要达到行业先进水平，节水设施应与主体工程同时设计、同时施工、同时投运。</w:t>
            </w:r>
          </w:p>
          <w:p>
            <w:pPr>
              <w:adjustRightInd w:val="0"/>
              <w:snapToGrid w:val="0"/>
              <w:rPr>
                <w:rFonts w:ascii="仿宋_GB2312" w:hAnsi="Times New Roman" w:eastAsia="仿宋_GB2312" w:cs="Times New Roman"/>
                <w:bCs/>
              </w:rPr>
            </w:pPr>
            <w:r>
              <w:rPr>
                <w:rFonts w:hint="eastAsia" w:ascii="仿宋_GB2312" w:hAnsi="Times New Roman" w:eastAsia="仿宋_GB2312" w:cs="Times New Roman"/>
                <w:lang w:bidi="en-US"/>
              </w:rPr>
              <w:t>3.采取高效节水措施，提高工业用水效率。</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ZH65042220005</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rPr>
              <w:t>托克逊县库米什工业园区重点管控单元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1.新建、改建、扩建企业要符合园区规划及规划环评要求，新建项目需满足园区产业发展。禁止</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hint="eastAsia" w:ascii="仿宋_GB2312" w:hAnsi="Times New Roman" w:eastAsia="仿宋_GB2312" w:cs="Times New Roman"/>
                <w:lang w:bidi="en-US"/>
              </w:rPr>
              <w:t>三类工业入园。</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铁路、高速公路、国道、省道等重要交通干线两侧</w:t>
            </w:r>
            <w:r>
              <w:rPr>
                <w:rFonts w:ascii="仿宋_GB2312" w:hAnsi="Times New Roman" w:eastAsia="仿宋_GB2312" w:cs="Times New Roman"/>
                <w:lang w:bidi="en-US"/>
              </w:rPr>
              <w:t>200米范围以内</w:t>
            </w:r>
            <w:r>
              <w:rPr>
                <w:rFonts w:hint="eastAsia" w:ascii="仿宋_GB2312" w:hAnsi="Times New Roman" w:eastAsia="仿宋_GB2312" w:cs="Times New Roman"/>
                <w:lang w:bidi="en-US"/>
              </w:rPr>
              <w:t>，Ⅲ类水体岸边</w:t>
            </w:r>
            <w:r>
              <w:rPr>
                <w:rFonts w:ascii="仿宋_GB2312" w:hAnsi="Times New Roman" w:eastAsia="仿宋_GB2312" w:cs="Times New Roman"/>
                <w:lang w:bidi="en-US"/>
              </w:rPr>
              <w:t>200米以内，禁止新建或改扩建金属矿采选工程</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3.鼓励大规模的石材加工企业进入园区，限制新建小规模石材加工企业。</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托克逊工业园（库米什工业园区），大气环境高排放区。重点发展多金属采选、石英石加工、石材荒料开采、板材、异型材、石雕、石刻等石材深加工产业；鼓励利用边角料、石粉生产水泥、矿微粉、建筑砌块等建材产品</w:t>
            </w:r>
          </w:p>
          <w:p>
            <w:pPr>
              <w:adjustRightInd w:val="0"/>
              <w:snapToGrid w:val="0"/>
              <w:rPr>
                <w:rFonts w:ascii="仿宋_GB2312" w:hAnsi="Times New Roman" w:eastAsia="仿宋_GB2312" w:cs="Times New Roman"/>
                <w:lang w:bidi="en-US"/>
              </w:rPr>
            </w:pPr>
            <w:r>
              <w:rPr>
                <w:rFonts w:ascii="Times New Roman"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lang w:bidi="en-US"/>
              </w:rPr>
              <w:t>《新疆维吾尔自治区重点行业环境准入条件（修订）》</w:t>
            </w:r>
            <w:r>
              <w:rPr>
                <w:rFonts w:hint="eastAsia" w:ascii="仿宋_GB2312" w:hAnsi="Times New Roman" w:eastAsia="仿宋_GB2312" w:cs="Times New Roman"/>
                <w:b/>
                <w:bCs/>
                <w:lang w:bidi="en-US"/>
              </w:rPr>
              <w:t>、</w:t>
            </w:r>
            <w:r>
              <w:rPr>
                <w:rFonts w:hint="eastAsia" w:ascii="仿宋_GB2312" w:hAnsi="Times New Roman" w:eastAsia="仿宋_GB2312" w:cs="Times New Roman"/>
                <w:bCs/>
                <w:lang w:bidi="en-US"/>
              </w:rPr>
              <w:t>《吐鲁番市大气环境质量限期达标规划》、《吐鲁番市打赢蓝天保卫战三年行动计划实施方案（2018-2020）》、《</w:t>
            </w:r>
            <w:r>
              <w:rPr>
                <w:rFonts w:hint="eastAsia" w:ascii="仿宋_GB2312" w:hAnsi="仿宋" w:eastAsia="仿宋_GB2312" w:cs="仿宋"/>
                <w:lang w:bidi="en-US"/>
              </w:rPr>
              <w:t>吐鲁番市生态环境保护“十四五”规划</w:t>
            </w:r>
            <w:r>
              <w:rPr>
                <w:rFonts w:hint="eastAsia" w:ascii="仿宋_GB2312" w:hAnsi="Times New Roman" w:eastAsia="仿宋_GB2312" w:cs="Times New Roman"/>
                <w:bCs/>
                <w:lang w:bidi="en-US"/>
              </w:rPr>
              <w:t>》、</w:t>
            </w:r>
            <w:r>
              <w:rPr>
                <w:rFonts w:hint="eastAsia" w:ascii="仿宋_GB2312" w:hAnsi="Times New Roman" w:eastAsia="仿宋_GB2312" w:cs="Times New Roman"/>
                <w:lang w:bidi="en-US"/>
              </w:rPr>
              <w:t>《吐鲁番市水污染防治总体实施方案》、《托克逊县水污染防治方案》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1.对园区的SO</w:t>
            </w:r>
            <w:r>
              <w:rPr>
                <w:rFonts w:hint="eastAsia" w:ascii="仿宋_GB2312" w:hAnsi="Times New Roman" w:eastAsia="仿宋_GB2312" w:cs="Times New Roman"/>
                <w:vertAlign w:val="subscript"/>
                <w:lang w:bidi="en-US"/>
              </w:rPr>
              <w:t>2</w:t>
            </w:r>
            <w:r>
              <w:rPr>
                <w:rFonts w:hint="eastAsia" w:ascii="仿宋_GB2312" w:hAnsi="Times New Roman" w:eastAsia="仿宋_GB2312" w:cs="Times New Roman"/>
                <w:lang w:bidi="en-US"/>
              </w:rPr>
              <w:t>、N</w:t>
            </w:r>
            <w:r>
              <w:rPr>
                <w:rFonts w:ascii="仿宋_GB2312" w:hAnsi="Times New Roman" w:eastAsia="仿宋_GB2312" w:cs="Times New Roman"/>
                <w:lang w:bidi="en-US"/>
              </w:rPr>
              <w:t>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、烟粉尘和V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hint="eastAsia" w:ascii="仿宋_GB2312" w:hAnsi="Times New Roman" w:eastAsia="仿宋_GB2312" w:cs="Times New Roman"/>
                <w:bCs/>
                <w:lang w:bidi="en-US"/>
              </w:rPr>
              <w:t>采选活动矿石转运、破碎、筛分等粉尘产生工序，应配备抑尘、除尘设备，</w:t>
            </w:r>
            <w:r>
              <w:rPr>
                <w:rFonts w:ascii="仿宋_GB2312" w:hAnsi="Times New Roman" w:eastAsia="仿宋_GB2312" w:cs="Times New Roman"/>
                <w:bCs/>
                <w:lang w:bidi="en-US"/>
              </w:rPr>
              <w:t>有效控制无组织粉尘排放。采选矿各环节废气排放有行业标准的执行行业标准，否则执行《大气污染物综合排放标准》（GB16297）。</w:t>
            </w:r>
            <w:r>
              <w:rPr>
                <w:rFonts w:hint="eastAsia" w:ascii="仿宋_GB2312" w:hAnsi="Times New Roman" w:eastAsia="仿宋_GB2312" w:cs="Times New Roman"/>
                <w:lang w:bidi="en-US"/>
              </w:rPr>
              <w:t>大型煤堆、料堆场建立密闭料仓与传送装置。推进建筑工地绿色施工，建设工程施工现场必须全封闭设置围挡墙，严禁敞开式作业。加强车辆密闭运输监督管理。</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Times New Roman" w:hAnsi="Times New Roman" w:eastAsia="仿宋_GB2312" w:cs="Times New Roman"/>
                <w:lang w:bidi="en-US"/>
              </w:rPr>
              <w:t xml:space="preserve"> 加强对园区内企业的废水、废气中重金属的污染防控措施，严格执行重金属总量控制政策</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.推进污水集中处理设施及再生水回用系统；完善污水管网建设，加强对各企业排放的污废水的监控，禁止在园内设置排污口。</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5</w:t>
            </w:r>
            <w:r>
              <w:rPr>
                <w:rFonts w:ascii="仿宋_GB2312" w:hAnsi="Times New Roman" w:eastAsia="仿宋_GB2312" w:cs="Times New Roman"/>
                <w:lang w:bidi="en-US"/>
              </w:rPr>
              <w:t>.</w:t>
            </w:r>
            <w:r>
              <w:rPr>
                <w:rFonts w:hint="eastAsia" w:ascii="仿宋_GB2312" w:hAnsi="Times New Roman" w:eastAsia="仿宋_GB2312" w:cs="Times New Roman"/>
                <w:lang w:bidi="en-US"/>
              </w:rPr>
              <w:t>加强对废石、尾矿砂等的综合利用。</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1.强化有毒有害原辅材料运输、储存、使用等过程的监管；做好厂区、渣场等的分区防渗措施。</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2.定期排查废水污染治理设施建设运行情况、并做好防腐防渗措施；园区污水集中处理设施安装自动在线监控装置；加强园区下游的水质监测。</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1.严把耗煤新项目准入关，控制煤炭消费总量。</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2.严格实施用水管理。新建、改建、扩建项目用水要达到行业先进水平，节水设施应与主体工程同时设计、同时施工、同时投运。</w:t>
            </w:r>
          </w:p>
          <w:p>
            <w:pPr>
              <w:adjustRightInd w:val="0"/>
              <w:snapToGrid w:val="0"/>
              <w:rPr>
                <w:rFonts w:ascii="仿宋_GB2312" w:hAnsi="Times New Roman" w:eastAsia="仿宋_GB2312" w:cs="Times New Roman"/>
                <w:bCs/>
              </w:rPr>
            </w:pPr>
            <w:r>
              <w:rPr>
                <w:rFonts w:hint="eastAsia" w:ascii="仿宋_GB2312" w:hAnsi="Times New Roman" w:eastAsia="仿宋_GB2312" w:cs="Times New Roman"/>
                <w:lang w:bidi="en-US"/>
              </w:rPr>
              <w:t>3.提高工业用水效率，提高工业用水重复利用率和中水回用率，满足国家政策和环评要求。</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ZH65042220006</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rPr>
              <w:t>托克逊县阿拉沟红岭循环经济产业集聚区重点管控单元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1.新建、改建、扩建企业要符合园区规划及规划环评要求，新建项目需满足园区产业发展。禁止</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hint="eastAsia" w:ascii="仿宋_GB2312" w:hAnsi="Times New Roman" w:eastAsia="仿宋_GB2312" w:cs="Times New Roman"/>
                <w:lang w:bidi="en-US"/>
              </w:rPr>
              <w:t>三类工业入园。</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铁路、高速公路、国道、省道等重要交通干线两侧</w:t>
            </w:r>
            <w:r>
              <w:rPr>
                <w:rFonts w:ascii="仿宋_GB2312" w:hAnsi="Times New Roman" w:eastAsia="仿宋_GB2312" w:cs="Times New Roman"/>
                <w:lang w:bidi="en-US"/>
              </w:rPr>
              <w:t>20</w:t>
            </w:r>
            <w:r>
              <w:rPr>
                <w:rFonts w:ascii="仿宋_GB2312" w:hAnsi="仿宋" w:eastAsia="仿宋_GB2312" w:cs="仿宋"/>
                <w:bCs/>
                <w:lang w:bidi="en-US"/>
              </w:rPr>
              <w:t>0米范围以内</w:t>
            </w:r>
            <w:r>
              <w:rPr>
                <w:rFonts w:hint="eastAsia" w:ascii="仿宋_GB2312" w:hAnsi="仿宋" w:eastAsia="仿宋_GB2312" w:cs="仿宋"/>
                <w:bCs/>
                <w:lang w:bidi="en-US"/>
              </w:rPr>
              <w:t>，Ⅲ类水体岸边</w:t>
            </w:r>
            <w:r>
              <w:rPr>
                <w:rFonts w:ascii="仿宋_GB2312" w:hAnsi="仿宋" w:eastAsia="仿宋_GB2312" w:cs="仿宋"/>
                <w:bCs/>
                <w:lang w:bidi="en-US"/>
              </w:rPr>
              <w:t>200米以内，禁止</w:t>
            </w:r>
            <w:r>
              <w:rPr>
                <w:rFonts w:hint="eastAsia" w:ascii="仿宋_GB2312" w:hAnsi="仿宋" w:eastAsia="仿宋_GB2312" w:cs="仿宋"/>
                <w:bCs/>
                <w:lang w:bidi="en-US"/>
              </w:rPr>
              <w:t>建设煤炭采选工业场地。新建和改扩建煤炭采选项目选址应符合《煤炭工业矿井设计规范》（</w:t>
            </w:r>
            <w:r>
              <w:rPr>
                <w:rFonts w:ascii="仿宋_GB2312" w:hAnsi="仿宋" w:eastAsia="仿宋_GB2312" w:cs="仿宋"/>
                <w:bCs/>
                <w:lang w:bidi="en-US"/>
              </w:rPr>
              <w:t>GB50215）、《煤炭洗选工程</w:t>
            </w:r>
            <w:r>
              <w:rPr>
                <w:rFonts w:ascii="仿宋_GB2312" w:hAnsi="Times New Roman" w:eastAsia="仿宋_GB2312" w:cs="Times New Roman"/>
                <w:lang w:bidi="en-US"/>
              </w:rPr>
              <w:t>设计规范》（GB50359）等。</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3.新建及改扩建项目必须达到国内清洁生产先进水平。</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托克逊工业园（红岭循环经济产业集聚园区），为工业污染重点管控区、大气环境高排放区。重点发展煤炭洗选加工业、氧化钙、碳酸钙（重质碳酸钙、轻质碳酸钙、胶体碳酸钙、晶体碳酸钙）、利用固废发展新型墙材，配套发展仓储物流产业</w:t>
            </w:r>
          </w:p>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lang w:bidi="en-US"/>
              </w:rPr>
              <w:t>《新疆维吾尔自治区重点行业环境准入条件（修订）》、</w:t>
            </w:r>
            <w:r>
              <w:rPr>
                <w:rFonts w:hint="eastAsia" w:ascii="仿宋_GB2312" w:hAnsi="Times New Roman" w:eastAsia="仿宋_GB2312" w:cs="Times New Roman"/>
                <w:bCs/>
                <w:lang w:bidi="en-US"/>
              </w:rPr>
              <w:t>《吐鲁番市大气环境质量限期达标规划》、《吐鲁番市打赢蓝天保卫战三年行动计划实施方案（2018-2020）》、《</w:t>
            </w:r>
            <w:r>
              <w:rPr>
                <w:rFonts w:hint="eastAsia" w:ascii="仿宋_GB2312" w:hAnsi="仿宋" w:eastAsia="仿宋_GB2312" w:cs="仿宋"/>
                <w:lang w:bidi="en-US"/>
              </w:rPr>
              <w:t>吐鲁番市生态环境保护“十四五”规划</w:t>
            </w:r>
            <w:r>
              <w:rPr>
                <w:rFonts w:hint="eastAsia" w:ascii="仿宋_GB2312" w:hAnsi="Times New Roman" w:eastAsia="仿宋_GB2312" w:cs="Times New Roman"/>
                <w:bCs/>
                <w:lang w:bidi="en-US"/>
              </w:rPr>
              <w:t>》、</w:t>
            </w:r>
            <w:r>
              <w:rPr>
                <w:rFonts w:hint="eastAsia" w:ascii="仿宋_GB2312" w:hAnsi="Times New Roman" w:eastAsia="仿宋_GB2312" w:cs="Times New Roman"/>
                <w:lang w:bidi="en-US"/>
              </w:rPr>
              <w:t>《吐鲁番市水污染防治总体实施方案》、《托克逊县水污染防治方案》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1.对园区的SO</w:t>
            </w:r>
            <w:r>
              <w:rPr>
                <w:rFonts w:hint="eastAsia" w:ascii="仿宋_GB2312" w:hAnsi="Times New Roman" w:eastAsia="仿宋_GB2312" w:cs="Times New Roman"/>
                <w:vertAlign w:val="subscript"/>
                <w:lang w:bidi="en-US"/>
              </w:rPr>
              <w:t>2</w:t>
            </w:r>
            <w:r>
              <w:rPr>
                <w:rFonts w:hint="eastAsia" w:ascii="仿宋_GB2312" w:hAnsi="Times New Roman" w:eastAsia="仿宋_GB2312" w:cs="Times New Roman"/>
                <w:lang w:bidi="en-US"/>
              </w:rPr>
              <w:t>、N</w:t>
            </w:r>
            <w:r>
              <w:rPr>
                <w:rFonts w:ascii="仿宋_GB2312" w:hAnsi="Times New Roman" w:eastAsia="仿宋_GB2312" w:cs="Times New Roman"/>
                <w:lang w:bidi="en-US"/>
              </w:rPr>
              <w:t>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、烟粉尘和V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2.煤炭贮存、转载、装卸等过程中产生的无组织污染物必须采取防尘措施。加强车辆密闭运输。</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3.选煤厂煤泥水闭路循环不外排。</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.推进污水集中处理设施及再生水回用系统；完善污水管网建设，加强对各企业排放的污废水的监控，禁止在园内设置排污口。</w:t>
            </w:r>
          </w:p>
          <w:p>
            <w:pPr>
              <w:adjustRightInd w:val="0"/>
              <w:snapToGrid w:val="0"/>
              <w:rPr>
                <w:rFonts w:ascii="仿宋_GB2312" w:hAnsi="Times New Roman" w:eastAsia="仿宋_GB2312" w:cs="Times New Roman"/>
                <w:bCs/>
              </w:rPr>
            </w:pPr>
            <w:r>
              <w:rPr>
                <w:rFonts w:hint="eastAsia" w:ascii="仿宋_GB2312" w:hAnsi="Times New Roman" w:eastAsia="仿宋_GB2312" w:cs="Times New Roman"/>
                <w:lang w:bidi="en-US"/>
              </w:rPr>
              <w:t>5</w:t>
            </w:r>
            <w:r>
              <w:rPr>
                <w:rFonts w:ascii="仿宋_GB2312" w:hAnsi="Times New Roman" w:eastAsia="仿宋_GB2312" w:cs="Times New Roman"/>
                <w:lang w:bidi="en-US"/>
              </w:rPr>
              <w:t>.</w:t>
            </w:r>
            <w:r>
              <w:rPr>
                <w:rFonts w:hint="eastAsia" w:ascii="仿宋_GB2312" w:hAnsi="Times New Roman" w:eastAsia="仿宋_GB2312" w:cs="Times New Roman"/>
                <w:lang w:bidi="en-US"/>
              </w:rPr>
              <w:t>加强对固体废物的综合利用，锅炉灰渣及煤矸石优先综合利用，煤矸石无害化处置率达到</w:t>
            </w:r>
            <w:r>
              <w:rPr>
                <w:rFonts w:ascii="仿宋_GB2312" w:hAnsi="Times New Roman" w:eastAsia="仿宋_GB2312" w:cs="Times New Roman"/>
                <w:lang w:bidi="en-US"/>
              </w:rPr>
              <w:t>100%。</w:t>
            </w:r>
            <w:r>
              <w:rPr>
                <w:rFonts w:hint="eastAsia" w:ascii="仿宋_GB2312" w:hAnsi="Times New Roman" w:eastAsia="仿宋_GB2312" w:cs="Times New Roman"/>
                <w:lang w:bidi="en-US"/>
              </w:rPr>
              <w:t>煤矸石为Ⅱ类一般工业固废的，其堆场采取防渗技术措施。</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1.选煤厂设事故浓缩池，偶发排水执行《煤炭工业污染物排放标准》</w:t>
            </w:r>
            <w:r>
              <w:rPr>
                <w:rFonts w:ascii="仿宋_GB2312" w:hAnsi="Times New Roman" w:eastAsia="仿宋_GB2312" w:cs="Times New Roman"/>
                <w:lang w:bidi="en-US"/>
              </w:rPr>
              <w:t>(GB20462)中的浓度限值标准</w:t>
            </w:r>
            <w:r>
              <w:rPr>
                <w:rFonts w:hint="eastAsia" w:ascii="仿宋_GB2312" w:hAnsi="Times New Roman" w:eastAsia="仿宋_GB2312" w:cs="Times New Roman"/>
                <w:lang w:bidi="en-US"/>
              </w:rPr>
              <w:t>；做好厂区的分区防渗措施。</w:t>
            </w:r>
          </w:p>
          <w:p>
            <w:pPr>
              <w:adjustRightInd w:val="0"/>
              <w:snapToGrid w:val="0"/>
              <w:rPr>
                <w:rFonts w:ascii="仿宋_GB2312" w:hAnsi="Times New Roman" w:eastAsia="仿宋_GB2312" w:cs="Times New Roman"/>
                <w:bCs/>
              </w:rPr>
            </w:pPr>
            <w:r>
              <w:rPr>
                <w:rFonts w:hint="eastAsia" w:ascii="仿宋_GB2312" w:hAnsi="Times New Roman" w:eastAsia="仿宋_GB2312" w:cs="Times New Roman"/>
                <w:lang w:bidi="en-US"/>
              </w:rPr>
              <w:t>2.定期排查废水污染治理设施建设运行情况、并做好防腐防渗措施；园区污水集中处理设施安装自动在线监控装置。</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1.严把耗煤新项目准入关，控制煤炭消费总量。</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2.严格实施用水管理。新建、改建、扩建项目用水要达到行业先进水平，节水设施应与主体工程同时设计、同时施工、同时投运。</w:t>
            </w:r>
          </w:p>
          <w:p>
            <w:pPr>
              <w:adjustRightInd w:val="0"/>
              <w:snapToGrid w:val="0"/>
              <w:rPr>
                <w:rFonts w:ascii="仿宋_GB2312" w:hAnsi="Times New Roman" w:eastAsia="仿宋_GB2312" w:cs="Times New Roman"/>
                <w:bCs/>
              </w:rPr>
            </w:pPr>
            <w:r>
              <w:rPr>
                <w:rFonts w:hint="eastAsia" w:ascii="仿宋_GB2312" w:hAnsi="Times New Roman" w:eastAsia="仿宋_GB2312" w:cs="Times New Roman"/>
                <w:lang w:bidi="en-US"/>
              </w:rPr>
              <w:t>3.提高工业用水效率，提高工业用水重复利用率和中水回用率，满足国家政策和环评要求。</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ZH65042220007</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rPr>
              <w:t>托克逊县黑山-克尔碱产业集聚区重点管控单元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1.新建、改建、扩建企业要符合工业园区各项规划及规划环评要求。建设项目需满足企业自身产业链需求。</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Cs/>
                <w:lang w:bidi="en-US"/>
              </w:rPr>
              <w:t>2禁止高水耗、高物耗、高能耗的项目</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铁路、高速公路、国道、省道等重要交通干线两侧</w:t>
            </w:r>
            <w:r>
              <w:rPr>
                <w:rFonts w:ascii="仿宋_GB2312" w:hAnsi="Times New Roman" w:eastAsia="仿宋_GB2312" w:cs="Times New Roman"/>
                <w:lang w:bidi="en-US"/>
              </w:rPr>
              <w:t>200米范围以内</w:t>
            </w:r>
            <w:r>
              <w:rPr>
                <w:rFonts w:hint="eastAsia" w:ascii="仿宋_GB2312" w:hAnsi="Times New Roman" w:eastAsia="仿宋_GB2312" w:cs="Times New Roman"/>
                <w:lang w:bidi="en-US"/>
              </w:rPr>
              <w:t>，Ⅲ类水体岸边</w:t>
            </w:r>
            <w:r>
              <w:rPr>
                <w:rFonts w:ascii="仿宋_GB2312" w:hAnsi="Times New Roman" w:eastAsia="仿宋_GB2312" w:cs="Times New Roman"/>
                <w:lang w:bidi="en-US"/>
              </w:rPr>
              <w:t>200米以内，禁止</w:t>
            </w:r>
            <w:r>
              <w:rPr>
                <w:rFonts w:hint="eastAsia" w:ascii="仿宋_GB2312" w:hAnsi="Times New Roman" w:eastAsia="仿宋_GB2312" w:cs="Times New Roman"/>
                <w:lang w:bidi="en-US"/>
              </w:rPr>
              <w:t>建设煤炭采选工业场地。新建和改扩建煤炭采选项目选址应符合《煤炭工业矿井设计规范》（</w:t>
            </w:r>
            <w:r>
              <w:rPr>
                <w:rFonts w:ascii="仿宋_GB2312" w:hAnsi="Times New Roman" w:eastAsia="仿宋_GB2312" w:cs="Times New Roman"/>
                <w:lang w:bidi="en-US"/>
              </w:rPr>
              <w:t>GB50215）、《煤炭洗选工程设计规范》（GB50359）等。</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该管控单元为托克逊工业园（黑山-克尔碱产业集聚区），大气环境高排放区</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重点发展优质煤生产、煤炭洗选加工和煤质活性炭；适度发展兰炭、煤制气、煤焦油等新型煤化工产业；配套利用半焦装置产生的干馏炉煤气煅烧石灰，实现资源循环利用</w:t>
            </w:r>
          </w:p>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lang w:bidi="en-US"/>
              </w:rPr>
              <w:t>《新疆维吾尔自治区重点行业环境准入条件（修订）》、</w:t>
            </w:r>
            <w:r>
              <w:rPr>
                <w:rFonts w:hint="eastAsia" w:ascii="仿宋_GB2312" w:hAnsi="Times New Roman" w:eastAsia="仿宋_GB2312" w:cs="Times New Roman"/>
                <w:bCs/>
                <w:lang w:bidi="en-US"/>
              </w:rPr>
              <w:t>《吐鲁番市大气环境质量限期达标规划》、《吐鲁番市打赢蓝天保卫战三年行动计划实施方案（2018-2020）》、《</w:t>
            </w:r>
            <w:r>
              <w:rPr>
                <w:rFonts w:hint="eastAsia" w:ascii="仿宋_GB2312" w:hAnsi="仿宋" w:eastAsia="仿宋_GB2312" w:cs="仿宋"/>
                <w:lang w:bidi="en-US"/>
              </w:rPr>
              <w:t>吐鲁番市生态环境保护“十四五”规划</w:t>
            </w:r>
            <w:r>
              <w:rPr>
                <w:rFonts w:hint="eastAsia" w:ascii="仿宋_GB2312" w:hAnsi="Times New Roman" w:eastAsia="仿宋_GB2312" w:cs="Times New Roman"/>
                <w:bCs/>
                <w:lang w:bidi="en-US"/>
              </w:rPr>
              <w:t>》、</w:t>
            </w:r>
            <w:r>
              <w:rPr>
                <w:rFonts w:hint="eastAsia" w:ascii="仿宋_GB2312" w:hAnsi="Times New Roman" w:eastAsia="仿宋_GB2312" w:cs="Times New Roman"/>
                <w:lang w:bidi="en-US"/>
              </w:rPr>
              <w:t>《吐鲁番市水污染防治总体实施方案》、《托克逊县水污染防治方案》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1.对园区的SO</w:t>
            </w:r>
            <w:r>
              <w:rPr>
                <w:rFonts w:hint="eastAsia" w:ascii="仿宋_GB2312" w:hAnsi="Times New Roman" w:eastAsia="仿宋_GB2312" w:cs="Times New Roman"/>
                <w:vertAlign w:val="subscript"/>
                <w:lang w:bidi="en-US"/>
              </w:rPr>
              <w:t>2</w:t>
            </w:r>
            <w:r>
              <w:rPr>
                <w:rFonts w:hint="eastAsia" w:ascii="仿宋_GB2312" w:hAnsi="Times New Roman" w:eastAsia="仿宋_GB2312" w:cs="Times New Roman"/>
                <w:lang w:bidi="en-US"/>
              </w:rPr>
              <w:t>、N</w:t>
            </w:r>
            <w:r>
              <w:rPr>
                <w:rFonts w:ascii="仿宋_GB2312" w:hAnsi="Times New Roman" w:eastAsia="仿宋_GB2312" w:cs="Times New Roman"/>
                <w:lang w:bidi="en-US"/>
              </w:rPr>
              <w:t>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、烟粉尘和V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加快推进化工行业VOCs综合治理，加大煤化工（含现代煤化工、炼焦、合成氨等）、橡胶制品、涂料、油墨、胶粘剂、染料、化学助剂（塑料助剂和橡胶助剂）等化工行业VOCs治理力度</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加强工艺过程除尘设施配置，全面控制工业烟粉尘排放。煤炭贮存、转载、装卸等过程中产生的无组织污染物必须采取防尘抑尘措施，新建及改扩建采煤项目原煤须采用筒仓或封闭式煤场，厂内输送采用封闭式皮带走廊。加强车辆密闭运输监督管理。</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.推进污水集中处理设施及再生水回用系统；完善污水管网建设，加强对企业排放的污废水的监控，禁止在园内设置排污口。</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.加强对固体废物的综合利用，锅炉灰渣及煤矸石优先综合利用，煤矸石无害化处置率达到</w:t>
            </w:r>
            <w:r>
              <w:rPr>
                <w:rFonts w:ascii="仿宋_GB2312" w:hAnsi="Times New Roman" w:eastAsia="仿宋_GB2312" w:cs="Times New Roman"/>
                <w:lang w:bidi="en-US"/>
              </w:rPr>
              <w:t>100%。</w:t>
            </w:r>
            <w:r>
              <w:rPr>
                <w:rFonts w:hint="eastAsia" w:ascii="仿宋_GB2312" w:hAnsi="Times New Roman" w:eastAsia="仿宋_GB2312" w:cs="Times New Roman"/>
                <w:lang w:bidi="en-US"/>
              </w:rPr>
              <w:t>煤矸石为Ⅱ类一般工业固废的，其堆场采取防渗技术措施。</w:t>
            </w:r>
            <w:r>
              <w:rPr>
                <w:rFonts w:hint="eastAsia" w:ascii="仿宋_GB2312" w:hAnsi="Times New Roman" w:eastAsia="仿宋_GB2312" w:cs="Times New Roman"/>
                <w:bCs/>
                <w:lang w:bidi="en-US"/>
              </w:rPr>
              <w:t xml:space="preserve"> </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1.强化有毒有害原辅材料运输、储存、使用等过程的监管；做好厂区、渣场等的分区防渗措施。</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2.定期排查废水污染治理设施建设运行情况、并做好防腐防渗措施；园区污水集中处理设施安装自动在线监控装置；加强园区下游的水质监测。</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1.严把耗煤新项目准入关，控制煤炭消费总量。</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2.严格实施用水管理。新建、改建、扩建项目用水要达到行业先进水平，节水设施应与主体工程同时设计、同时施工、同时投运。</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3.提高工业用水效率，提高工业用水重复利用率和中水回用率，满足国家政策和环评要求。</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ZH65042220008</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rPr>
              <w:t>托克逊县土壤风险重点管控单元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1.严格污染地块和疑似污染地块的开发利用和流转审批，用途拟变更为居住用地和商业、学校、医疗、养老机构等公共设施用地需按照《污染地块土壤环境管理办法》开展相关调查、评估、治理与修复等活动。</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该管控单元含有新疆圣雄焦化有限公司、新疆黑山煤炭化工有限公司疑似污染地块、托克逊县生活垃圾填埋场</w:t>
            </w:r>
          </w:p>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要素属性：</w:t>
            </w:r>
            <w:r>
              <w:rPr>
                <w:rFonts w:hint="eastAsia" w:ascii="Times New Roman" w:hAnsi="Times New Roman" w:eastAsia="仿宋_GB2312" w:cs="Times New Roman"/>
                <w:lang w:bidi="en-US"/>
              </w:rPr>
              <w:t>土壤污染风险重点管控区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仿宋" w:eastAsia="仿宋_GB2312" w:cs="仿宋"/>
                <w:lang w:bidi="en-US"/>
              </w:rPr>
              <w:t>《中华人民共和国土壤污染防治法》</w:t>
            </w:r>
            <w:r>
              <w:rPr>
                <w:rFonts w:hint="eastAsia" w:ascii="仿宋_GB2312" w:hAnsi="仿宋" w:eastAsia="仿宋_GB2312" w:cs="仿宋"/>
                <w:b/>
                <w:bCs/>
                <w:lang w:bidi="en-US"/>
              </w:rPr>
              <w:t>、</w:t>
            </w:r>
            <w:r>
              <w:rPr>
                <w:rFonts w:hint="eastAsia" w:ascii="仿宋_GB2312" w:hAnsi="Times New Roman" w:eastAsia="仿宋_GB2312" w:cs="Times New Roman"/>
                <w:lang w:bidi="en-US"/>
              </w:rPr>
              <w:t>《污染地块土壤环境管理办法》、《吐鲁番市土壤污染防治工作方案》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格按照《污染地块土壤环境管理办法》等相关法律法规管理；所在地县级环境保护主管部门应当书面通知土地使用权人，土地使用权人应当自接到书面通知之日起六个月内完成土壤环境初步调查，编制调查报告，及时上传污染地块信息系统，并将调查报告主要内容通过其网站等便于公众知晓的方式向社会公开</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2.危库、险库、病库以及其他需要重点监管的尾矿库的运营、管理单位应当按照规定，进行土壤污染状况监测和定期评估。</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3.拆除设施、设备或者建筑物、构筑物的，应当制定包括应急措施在内的土壤污染防治工作方案，报地方人民政府生态环境、工业和信息化主管部门备案并实施。</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1.严格污染地块开发利用和流转审批。按照国家有关环境标淮和技术规范，编制风险管控方案。</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ZH65042220009</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托克逊县城镇生活（阿乐惠镇）重点管控单元0</w:t>
            </w:r>
            <w:r>
              <w:rPr>
                <w:rFonts w:ascii="仿宋_GB2312" w:hAnsi="Times New Roman" w:eastAsia="仿宋_GB2312" w:cs="Times New Roman"/>
                <w:bCs/>
                <w:lang w:bidi="en-US"/>
              </w:rPr>
              <w:t>1</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1.禁止新、改、扩建</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hint="eastAsia" w:ascii="仿宋_GB2312" w:hAnsi="Times New Roman" w:eastAsia="仿宋_GB2312" w:cs="Times New Roman"/>
                <w:lang w:bidi="en-US"/>
              </w:rPr>
              <w:t>三类工业项目，现有三类工业项目应制定计划，限期外迁；禁止新建</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lang w:bidi="en-US"/>
              </w:rPr>
              <w:t>涉气二类工业项目（基础设施等民生工程除外），改、扩建的不得新增大气污染物排放因子和排放总量。</w:t>
            </w:r>
          </w:p>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lang w:bidi="en-US"/>
              </w:rPr>
              <w:t>2</w:t>
            </w:r>
            <w:r>
              <w:rPr>
                <w:rFonts w:ascii="仿宋_GB2312" w:hAnsi="Times New Roman" w:eastAsia="仿宋_GB2312" w:cs="Times New Roman"/>
                <w:lang w:bidi="en-US"/>
              </w:rPr>
              <w:t>.不得在居民集中区新建垃圾分拣中心等臭气异味影响较大的项目；不</w:t>
            </w:r>
            <w:r>
              <w:rPr>
                <w:rFonts w:ascii="Times New Roman" w:hAnsi="Times New Roman" w:eastAsia="仿宋_GB2312" w:cs="Times New Roman"/>
                <w:lang w:bidi="en-US"/>
              </w:rPr>
              <w:t>得在居民集中区新建涉及易燃易爆物质的大型仓储项目</w:t>
            </w:r>
            <w:r>
              <w:rPr>
                <w:rFonts w:hint="eastAsia" w:ascii="仿宋_GB2312" w:hAnsi="Times New Roman" w:eastAsia="仿宋_GB2312" w:cs="Times New Roman"/>
                <w:lang w:bidi="en-US"/>
              </w:rPr>
              <w:t>。</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该管控单元为阿乐惠镇大气环境受体敏感区</w:t>
            </w:r>
          </w:p>
          <w:p>
            <w:pPr>
              <w:adjustRightInd w:val="0"/>
              <w:snapToGrid w:val="0"/>
              <w:rPr>
                <w:rFonts w:ascii="仿宋_GB2312" w:hAnsi="Times New Roman" w:eastAsia="仿宋_GB2312" w:cs="Times New Roman"/>
                <w:lang w:bidi="en-US"/>
              </w:rPr>
            </w:pPr>
            <w:r>
              <w:rPr>
                <w:rFonts w:ascii="Times New Roman" w:hAnsi="Times New Roman" w:eastAsia="仿宋_GB2312" w:cs="Times New Roman"/>
                <w:b/>
                <w:bCs/>
                <w:lang w:bidi="en-US"/>
              </w:rPr>
              <w:t>要素属性：</w:t>
            </w:r>
            <w:r>
              <w:rPr>
                <w:rFonts w:ascii="Times New Roman" w:hAnsi="Times New Roman" w:eastAsia="仿宋_GB2312" w:cs="Times New Roman"/>
                <w:lang w:bidi="en-US"/>
              </w:rPr>
              <w:t>大气环境</w:t>
            </w:r>
            <w:r>
              <w:rPr>
                <w:rFonts w:hint="eastAsia" w:ascii="Times New Roman" w:hAnsi="Times New Roman" w:eastAsia="仿宋_GB2312" w:cs="Times New Roman"/>
                <w:lang w:bidi="en-US"/>
              </w:rPr>
              <w:t>受体敏感区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bCs/>
                <w:lang w:bidi="en-US"/>
              </w:rPr>
              <w:t>《吐鲁番市大气环境质量限期达标规划》、《吐鲁番市打赢蓝天保卫战三年行动计划实施方案（2018-2020）》、《</w:t>
            </w:r>
            <w:r>
              <w:rPr>
                <w:rFonts w:hint="eastAsia" w:ascii="仿宋_GB2312" w:hAnsi="仿宋" w:eastAsia="仿宋_GB2312" w:cs="仿宋"/>
                <w:lang w:bidi="en-US"/>
              </w:rPr>
              <w:t>吐鲁番市生态环境保护“十四五”规划</w:t>
            </w:r>
            <w:r>
              <w:rPr>
                <w:rFonts w:hint="eastAsia" w:ascii="仿宋_GB2312" w:hAnsi="Times New Roman" w:eastAsia="仿宋_GB2312" w:cs="Times New Roman"/>
                <w:bCs/>
                <w:lang w:bidi="en-US"/>
              </w:rPr>
              <w:t>》、</w:t>
            </w:r>
            <w:r>
              <w:rPr>
                <w:rFonts w:hint="eastAsia" w:ascii="仿宋_GB2312" w:hAnsi="Times New Roman" w:eastAsia="仿宋_GB2312" w:cs="Times New Roman"/>
                <w:lang w:bidi="en-US"/>
              </w:rPr>
              <w:t>《吐鲁番市水污染防治总体实施方案》、《托克逊县水污染防治方案》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hint="eastAsia"/>
              </w:rPr>
              <w:t xml:space="preserve"> </w:t>
            </w:r>
            <w:r>
              <w:rPr>
                <w:rFonts w:hint="eastAsia" w:ascii="仿宋_GB2312" w:hAnsi="Times New Roman" w:eastAsia="仿宋_GB2312" w:cs="Times New Roman"/>
                <w:lang w:bidi="en-US"/>
              </w:rPr>
              <w:t>加强噪声和臭气异味防治。涉臭气异味企业应采取封闭、加盖等收集处理措施，提高臭气废气收集率和处理率，明显减少工业臭气异味排放；完成餐饮油烟综合整治，大中型餐饮企业（包括单位食堂）必须安装高效油烟净化装置并进行定期清洗；严格施工扬尘监管。</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2.加强污水处理设施运行管理，全面加强配套管网建设，推进污泥处理处置。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通过经济手段引导供热、供气、供电管网覆盖区域居民减少散煤使用，大力推进“电化农村”建设。逐步将风能、太阳能、电力等清洁能源利用项目扩展到各乡镇。</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推进农业农村污染防治，防治畜禽养殖污染，科学规划布局畜禽养殖，配套建设粪便污水贮存、处理、利用设施，新改扩建规模化畜禽养殖场（小区）要实施雨污分流、粪便污水资源化利用；控制农业面源污染，控制农田化肥农药使用量，大力发展生态循环农业，加快推广测土配方施肥、安全用药、绿色防控、农业废弃物资源化利用等农业清洁生产技术与装备；优化种植业结构与布局；加快农村环境综合整治。</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推进农村生活污水治理。因地制宜，采取“以城带</w:t>
            </w:r>
            <w:r>
              <w:rPr>
                <w:rFonts w:ascii="仿宋_GB2312" w:hAnsi="Times New Roman" w:eastAsia="仿宋_GB2312" w:cs="Times New Roman"/>
                <w:lang w:bidi="en-US"/>
              </w:rPr>
              <w:t>村” 、“以乡（镇）带</w:t>
            </w:r>
            <w:r>
              <w:rPr>
                <w:rFonts w:hint="eastAsia" w:ascii="仿宋_GB2312" w:hAnsi="Times New Roman" w:eastAsia="仿宋_GB2312" w:cs="Times New Roman"/>
                <w:lang w:bidi="en-US"/>
              </w:rPr>
              <w:t>村</w:t>
            </w:r>
            <w:r>
              <w:rPr>
                <w:rFonts w:ascii="仿宋_GB2312" w:hAnsi="Times New Roman" w:eastAsia="仿宋_GB2312" w:cs="Times New Roman"/>
                <w:lang w:bidi="en-US"/>
              </w:rPr>
              <w:t>”</w:t>
            </w:r>
            <w:r>
              <w:rPr>
                <w:rFonts w:hint="eastAsia" w:ascii="仿宋_GB2312" w:hAnsi="Times New Roman" w:eastAsia="仿宋_GB2312" w:cs="Times New Roman"/>
                <w:lang w:bidi="en-US"/>
              </w:rPr>
              <w:t>、</w:t>
            </w:r>
            <w:r>
              <w:rPr>
                <w:rFonts w:ascii="仿宋_GB2312" w:hAnsi="Times New Roman" w:eastAsia="仿宋_GB2312" w:cs="Times New Roman"/>
                <w:lang w:bidi="en-US"/>
              </w:rPr>
              <w:t xml:space="preserve"> “联村” 、“单村” 、“联户” 、“单户”等多种方式，实</w:t>
            </w:r>
            <w:r>
              <w:rPr>
                <w:rFonts w:hint="eastAsia" w:ascii="仿宋_GB2312" w:hAnsi="Times New Roman" w:eastAsia="仿宋_GB2312" w:cs="Times New Roman"/>
                <w:lang w:bidi="en-US"/>
              </w:rPr>
              <w:t>施农村生活污水治理工程，合理布局，科学设计。</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1.紧邻居住、科教、医院等环境敏感点的工业用地，禁止新建环境风险潜势等级高于Ⅲ级的建设项目。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 严格管控易导致环境风险的有毒有害和易燃易爆物质的使用和贮运，涉及此类物质的项目必须编制风险应急预案</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强化企业环境风险防范设施设备建设和正常运行监管，建立常态化的企业隐患排查整治监管机制，涉危的风险企业应及时编制环境风险应急预案并定期更新，每年至少开展一次应急演练。强化应急物资储备和救援队伍建设。</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4.加强风险防控体系建设，防范环境风险。稳妥处置突发环境污染事件，制定和完善水污染事故处置应急预案，强化危险源、敏感点的监测、分析、预测、预警。</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tcPr>
          <w:p>
            <w:pPr>
              <w:adjustRightInd w:val="0"/>
              <w:snapToGrid w:val="0"/>
              <w:rPr>
                <w:rFonts w:ascii="仿宋_GB2312" w:hAnsi="Times New Roman" w:eastAsia="仿宋_GB2312" w:cs="Times New Roman"/>
                <w:lang w:bidi="en-US"/>
              </w:rPr>
            </w:pPr>
            <w:r>
              <w:rPr>
                <w:rFonts w:ascii="Times New Roman" w:hAnsi="Times New Roman" w:eastAsia="仿宋_GB2312" w:cs="Times New Roman"/>
                <w:lang w:bidi="en-US"/>
              </w:rPr>
              <w:t>全面开展节水型社会建设，推进节水产品推广普及，限制高耗水服务业用水</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bookmarkStart w:id="27" w:name="_Hlk71672399"/>
            <w:r>
              <w:rPr>
                <w:rFonts w:hint="eastAsia" w:ascii="仿宋_GB2312" w:hAnsi="Times New Roman" w:eastAsia="仿宋_GB2312" w:cs="Times New Roman"/>
                <w:bCs/>
                <w:lang w:bidi="en-US"/>
              </w:rPr>
              <w:t>ZH65042220010</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托克逊县城镇生活重点管控单元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1.禁止新、改、扩建</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hint="eastAsia" w:ascii="仿宋_GB2312" w:hAnsi="Times New Roman" w:eastAsia="仿宋_GB2312" w:cs="Times New Roman"/>
                <w:lang w:bidi="en-US"/>
              </w:rPr>
              <w:t>三类工业项目，现有三类工业项目应制定计划，限期外迁；禁止新建</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lang w:bidi="en-US"/>
              </w:rPr>
              <w:t>涉气二类工业项目（基础设施等民生工程除外），改、扩建的不得新增大气污染物排放因子和排放总量。</w:t>
            </w:r>
          </w:p>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lang w:bidi="en-US"/>
              </w:rPr>
              <w:t>2</w:t>
            </w:r>
            <w:r>
              <w:rPr>
                <w:rFonts w:ascii="仿宋_GB2312" w:hAnsi="仿宋" w:eastAsia="仿宋_GB2312" w:cs="仿宋"/>
                <w:bCs/>
                <w:lang w:bidi="en-US"/>
              </w:rPr>
              <w:t>.不得在居民集中区新建垃圾分拣中心等臭气异味影响较大的项目；不得在</w:t>
            </w:r>
            <w:r>
              <w:rPr>
                <w:rFonts w:ascii="Times New Roman" w:hAnsi="Times New Roman" w:eastAsia="仿宋_GB2312" w:cs="Times New Roman"/>
                <w:lang w:bidi="en-US"/>
              </w:rPr>
              <w:t>居民集中区新建涉及易燃易爆物质的大型仓储项目</w:t>
            </w:r>
            <w:r>
              <w:rPr>
                <w:rFonts w:hint="eastAsia" w:ascii="Times New Roman" w:hAnsi="Times New Roman" w:eastAsia="仿宋_GB2312" w:cs="Times New Roman"/>
                <w:lang w:bidi="en-US"/>
              </w:rPr>
              <w:t>。</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.新建、改建、扩建公路、铁路、输油输气管道等各类工程，需要穿越、跨越坎儿井的，应当对工程建设期间、运行过程中可能给坎儿井造成的危害进行论证，并制定坎儿井保护方案。</w:t>
            </w:r>
          </w:p>
        </w:tc>
        <w:tc>
          <w:tcPr>
            <w:tcW w:w="5647"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该管控单元为托克逊县城镇生活区，</w:t>
            </w:r>
            <w:r>
              <w:rPr>
                <w:rFonts w:ascii="Times New Roman" w:hAnsi="Times New Roman" w:eastAsia="仿宋_GB2312" w:cs="Times New Roman"/>
                <w:lang w:bidi="en-US"/>
              </w:rPr>
              <w:t>主要活动为城镇居住人口生产生活</w:t>
            </w:r>
            <w:r>
              <w:rPr>
                <w:rFonts w:hint="eastAsia" w:ascii="Times New Roman" w:hAnsi="Times New Roman" w:eastAsia="仿宋_GB2312" w:cs="Times New Roman"/>
                <w:lang w:bidi="en-US"/>
              </w:rPr>
              <w:t>，托克逊县城区位于该单元</w:t>
            </w:r>
          </w:p>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要素属性：</w:t>
            </w:r>
            <w:r>
              <w:rPr>
                <w:rFonts w:ascii="Times New Roman" w:hAnsi="Times New Roman" w:eastAsia="仿宋_GB2312" w:cs="Times New Roman"/>
                <w:lang w:bidi="en-US"/>
              </w:rPr>
              <w:t>大气环境</w:t>
            </w:r>
            <w:r>
              <w:rPr>
                <w:rFonts w:hint="eastAsia" w:ascii="Times New Roman" w:hAnsi="Times New Roman" w:eastAsia="仿宋_GB2312" w:cs="Times New Roman"/>
                <w:lang w:bidi="en-US"/>
              </w:rPr>
              <w:t>受体敏感</w:t>
            </w:r>
            <w:r>
              <w:rPr>
                <w:rFonts w:ascii="Times New Roman" w:hAnsi="Times New Roman" w:eastAsia="仿宋_GB2312" w:cs="Times New Roman"/>
                <w:lang w:bidi="en-US"/>
              </w:rPr>
              <w:t>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bCs/>
                <w:lang w:bidi="en-US"/>
              </w:rPr>
              <w:t>《吐鲁番市大气环境质量限期达标规划》、《吐鲁番市打赢蓝天保卫战三年行动计划实施方案（2018-2020）》、《</w:t>
            </w:r>
            <w:r>
              <w:rPr>
                <w:rFonts w:hint="eastAsia" w:ascii="仿宋_GB2312" w:hAnsi="仿宋" w:eastAsia="仿宋_GB2312" w:cs="仿宋"/>
                <w:lang w:bidi="en-US"/>
              </w:rPr>
              <w:t>吐鲁番市生态环境保护“十四五”规划</w:t>
            </w:r>
            <w:r>
              <w:rPr>
                <w:rFonts w:hint="eastAsia" w:ascii="仿宋_GB2312" w:hAnsi="Times New Roman" w:eastAsia="仿宋_GB2312" w:cs="Times New Roman"/>
                <w:bCs/>
                <w:lang w:bidi="en-US"/>
              </w:rPr>
              <w:t>》、</w:t>
            </w:r>
            <w:r>
              <w:rPr>
                <w:rFonts w:hint="eastAsia" w:ascii="仿宋_GB2312" w:hAnsi="Times New Roman" w:eastAsia="仿宋_GB2312" w:cs="Times New Roman"/>
                <w:lang w:bidi="en-US"/>
              </w:rPr>
              <w:t>《吐鲁番市水污染防治总体实施方案》、《托克逊县水污染防治方案》、《新疆维吾尔自治区坎儿井保护条例》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hint="eastAsia"/>
              </w:rPr>
              <w:t xml:space="preserve"> </w:t>
            </w:r>
            <w:r>
              <w:rPr>
                <w:rFonts w:hint="eastAsia" w:ascii="仿宋_GB2312" w:hAnsi="Times New Roman" w:eastAsia="仿宋_GB2312" w:cs="Times New Roman"/>
                <w:lang w:bidi="en-US"/>
              </w:rPr>
              <w:t>加强噪声和臭气异味防治。涉臭气异味企业应采取封闭、加盖等收集处理措施，提高臭气废气收集率和处理率，明显减少工业臭气异味排放；完成餐饮油烟综合整治，大中型餐饮企业（包括单位食堂）必须安装高效油烟净化装置并进行定期清洗；严格施工扬尘监管。</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2.县级以上城镇生活污水集中处理率达到</w:t>
            </w:r>
            <w:r>
              <w:rPr>
                <w:rFonts w:ascii="仿宋_GB2312" w:hAnsi="Times New Roman" w:eastAsia="仿宋_GB2312" w:cs="Times New Roman"/>
                <w:lang w:bidi="en-US"/>
              </w:rPr>
              <w:t>90%以上；县级以上城镇生活垃圾无害化处理率达到100%。加强污水处理设施运行管理，全面加强配套管网建设，推进污泥处理处置。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通过经济手段引导供热、供气、供电管网覆盖区域居民减少散煤使用，大力推进“电化农村”建设。逐步将风能、太阳能、电力等清洁能源利用项目扩展到各乡镇。</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推进农业农村污染防治，防治畜禽养殖污染，科学规划布局畜禽养殖，配套建设粪便污水贮存、处理、利用设施，新改扩建规模化畜禽养殖场（小区）要实施雨污分流、粪便污水资源化利用；控制农业面源污染，控制农田化肥农药使用量，大力发展生态循环农业，加快推广测土配方施肥、安全用药、绿色防控、农业废弃物资源化利用等农业清洁生产技术与装备；优化种植业结构与布局；加快农村环境综合整治。</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推进农村生活污水治理。因地制宜，采取“以城带</w:t>
            </w:r>
            <w:r>
              <w:rPr>
                <w:rFonts w:ascii="仿宋_GB2312" w:hAnsi="Times New Roman" w:eastAsia="仿宋_GB2312" w:cs="Times New Roman"/>
                <w:lang w:bidi="en-US"/>
              </w:rPr>
              <w:t>村” 、“以乡（镇）带</w:t>
            </w:r>
            <w:r>
              <w:rPr>
                <w:rFonts w:hint="eastAsia" w:ascii="仿宋_GB2312" w:hAnsi="Times New Roman" w:eastAsia="仿宋_GB2312" w:cs="Times New Roman"/>
                <w:lang w:bidi="en-US"/>
              </w:rPr>
              <w:t>村</w:t>
            </w:r>
            <w:r>
              <w:rPr>
                <w:rFonts w:ascii="仿宋_GB2312" w:hAnsi="Times New Roman" w:eastAsia="仿宋_GB2312" w:cs="Times New Roman"/>
                <w:lang w:bidi="en-US"/>
              </w:rPr>
              <w:t>”</w:t>
            </w:r>
            <w:r>
              <w:rPr>
                <w:rFonts w:hint="eastAsia" w:ascii="仿宋_GB2312" w:hAnsi="Times New Roman" w:eastAsia="仿宋_GB2312" w:cs="Times New Roman"/>
                <w:lang w:bidi="en-US"/>
              </w:rPr>
              <w:t>、</w:t>
            </w:r>
            <w:r>
              <w:rPr>
                <w:rFonts w:ascii="仿宋_GB2312" w:hAnsi="Times New Roman" w:eastAsia="仿宋_GB2312" w:cs="Times New Roman"/>
                <w:lang w:bidi="en-US"/>
              </w:rPr>
              <w:t xml:space="preserve"> “联村” 、“单村” 、“联户” 、“单户”等多种方式，实</w:t>
            </w:r>
            <w:r>
              <w:rPr>
                <w:rFonts w:hint="eastAsia" w:ascii="仿宋_GB2312" w:hAnsi="Times New Roman" w:eastAsia="仿宋_GB2312" w:cs="Times New Roman"/>
                <w:lang w:bidi="en-US"/>
              </w:rPr>
              <w:t>施农村生活污水治理工程，合理布局，科学设计。</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.严格按照《新疆维吾尔自治区坎儿井保护条例》对区域内坎儿井进行保护，禁止向坎儿井水源、明渠、蓄水池倾倒废污水、垃圾等废弃物。</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1.紧邻居住、科教、医院等环境敏感点的工业用地，禁止新建环境风险潜势等级高于Ⅲ级的建设项目。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2.严格管控易导致环境风险的有毒有害和易燃易爆物质的使用和贮运，涉及此类物质的项目必须编制风险应急预案</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强化企业环境风险防范设施设备建设和正常运行监管，建立常态化的企业隐患排查整治监管机制，涉危的风险企业应及时编制环境风险应急预案并定期更新，每年至少开展一次应急演练。强化应急物资储备和救援队伍建设。</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4.加强风险防控体系建设，防范环境风险。稳妥处置突发环境污染事件，制定和完善水污染事故处置应急预案，强化危险源、敏感点的监测、分析、预测、预警。</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lang w:bidi="en-US"/>
              </w:rPr>
              <w:t>全面开展节水型社会建设，推进节水产品推广普及，限制高耗水服务业用水</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bookmarkEnd w:id="2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ZH65042220011</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托克逊县城镇生活（库米什镇）重点管控单元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1.禁止新、改、扩建</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hint="eastAsia" w:ascii="仿宋_GB2312" w:hAnsi="Times New Roman" w:eastAsia="仿宋_GB2312" w:cs="Times New Roman"/>
                <w:lang w:bidi="en-US"/>
              </w:rPr>
              <w:t>三类工业项目，现有三类工业项目应制定计划，限期外迁；禁止新建</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lang w:bidi="en-US"/>
              </w:rPr>
              <w:t>涉气二类工业项目（基础设施等民生工程除外），改、扩建的不得新增大气污染物排放因子和排放总量。</w:t>
            </w:r>
          </w:p>
          <w:p>
            <w:pPr>
              <w:adjustRightInd w:val="0"/>
              <w:snapToGrid w:val="0"/>
              <w:rPr>
                <w:rFonts w:ascii="仿宋_GB2312" w:hAnsi="Times New Roman" w:eastAsia="仿宋_GB2312" w:cs="Times New Roman"/>
                <w:bCs/>
                <w:lang w:bidi="en-US"/>
              </w:rPr>
            </w:pPr>
            <w:r>
              <w:rPr>
                <w:rFonts w:hint="eastAsia" w:ascii="Times New Roman" w:hAnsi="Times New Roman" w:eastAsia="仿宋_GB2312" w:cs="Times New Roman"/>
                <w:lang w:bidi="en-US"/>
              </w:rPr>
              <w:t>2</w:t>
            </w:r>
            <w:r>
              <w:rPr>
                <w:rFonts w:ascii="仿宋_GB2312" w:hAnsi="Times New Roman" w:eastAsia="仿宋_GB2312" w:cs="Times New Roman"/>
                <w:lang w:bidi="en-US"/>
              </w:rPr>
              <w:t>.不得在居民集中区新建垃圾分拣中心等臭气异味影响较大的项目；不得在居民集中区新建涉及易燃易爆物质的大型仓储项目</w:t>
            </w:r>
            <w:r>
              <w:rPr>
                <w:rFonts w:hint="eastAsia" w:ascii="仿宋_GB2312" w:hAnsi="Times New Roman" w:eastAsia="仿宋_GB2312" w:cs="Times New Roman"/>
                <w:lang w:bidi="en-US"/>
              </w:rPr>
              <w:t>。</w:t>
            </w:r>
          </w:p>
        </w:tc>
        <w:tc>
          <w:tcPr>
            <w:tcW w:w="5647"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该管控单元涉及大气受体敏感区（库米什镇）</w:t>
            </w:r>
          </w:p>
          <w:p>
            <w:pPr>
              <w:adjustRightInd w:val="0"/>
              <w:snapToGrid w:val="0"/>
              <w:rPr>
                <w:rFonts w:ascii="Times New Roman" w:hAnsi="Times New Roman" w:eastAsia="仿宋_GB2312" w:cs="Times New Roman"/>
                <w:lang w:bidi="en-US"/>
              </w:rPr>
            </w:pPr>
            <w:r>
              <w:rPr>
                <w:rFonts w:ascii="Times New Roman" w:hAnsi="Times New Roman" w:eastAsia="仿宋_GB2312" w:cs="Times New Roman"/>
                <w:b/>
                <w:bCs/>
                <w:lang w:bidi="en-US"/>
              </w:rPr>
              <w:t>要素属性：</w:t>
            </w:r>
            <w:r>
              <w:rPr>
                <w:rFonts w:ascii="Times New Roman" w:hAnsi="Times New Roman" w:eastAsia="仿宋_GB2312" w:cs="Times New Roman"/>
                <w:lang w:bidi="en-US"/>
              </w:rPr>
              <w:t>大气环境</w:t>
            </w:r>
            <w:r>
              <w:rPr>
                <w:rFonts w:hint="eastAsia" w:ascii="Times New Roman" w:hAnsi="Times New Roman" w:eastAsia="仿宋_GB2312" w:cs="Times New Roman"/>
                <w:lang w:bidi="en-US"/>
              </w:rPr>
              <w:t>受体敏感</w:t>
            </w:r>
            <w:r>
              <w:rPr>
                <w:rFonts w:ascii="Times New Roman" w:hAnsi="Times New Roman" w:eastAsia="仿宋_GB2312" w:cs="Times New Roman"/>
                <w:lang w:bidi="en-US"/>
              </w:rPr>
              <w:t>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bCs/>
                <w:lang w:bidi="en-US"/>
              </w:rPr>
              <w:t>《吐鲁番市大气环境质量限期达标规划》、《吐鲁番市打赢蓝天保卫战三年行动计划实施方案（2018-2020）》、《</w:t>
            </w:r>
            <w:r>
              <w:rPr>
                <w:rFonts w:hint="eastAsia" w:ascii="仿宋_GB2312" w:hAnsi="仿宋" w:eastAsia="仿宋_GB2312" w:cs="仿宋"/>
                <w:lang w:bidi="en-US"/>
              </w:rPr>
              <w:t>吐鲁番市生态环境保护“十四五”规划</w:t>
            </w:r>
            <w:r>
              <w:rPr>
                <w:rFonts w:hint="eastAsia" w:ascii="仿宋_GB2312" w:hAnsi="Times New Roman" w:eastAsia="仿宋_GB2312" w:cs="Times New Roman"/>
                <w:bCs/>
                <w:lang w:bidi="en-US"/>
              </w:rPr>
              <w:t>》、</w:t>
            </w:r>
            <w:r>
              <w:rPr>
                <w:rFonts w:hint="eastAsia" w:ascii="仿宋_GB2312" w:hAnsi="Times New Roman" w:eastAsia="仿宋_GB2312" w:cs="Times New Roman"/>
                <w:lang w:bidi="en-US"/>
              </w:rPr>
              <w:t>《吐鲁番市水污染防治总体实施方案》、《托克逊县水污染防治方案》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hint="eastAsia"/>
              </w:rPr>
              <w:t xml:space="preserve"> </w:t>
            </w:r>
            <w:r>
              <w:rPr>
                <w:rFonts w:hint="eastAsia" w:ascii="仿宋_GB2312" w:hAnsi="Times New Roman" w:eastAsia="仿宋_GB2312" w:cs="Times New Roman"/>
                <w:lang w:bidi="en-US"/>
              </w:rPr>
              <w:t>加强噪声和臭气异味防治。涉臭气异味企业应采取封闭、加盖等收集处理措施，提高臭气废气收集率和处理率，明显减少工业臭气异味排放；完成餐饮油烟综合整治，大中型餐饮企业（包括单位食堂）必须安装高效油烟净化装置并进行定期清洗；严格施工扬尘监管。</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2.加强污水处理设施运行管理，全面加强配套管网建设，推进污泥处理处置。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通过经济手段引导供热、供气、供电管网覆盖区域居民减少散煤使用，大力推进“电化农村”建设。逐步将风能、太阳能、电力等清洁能源利用项目扩展到各乡镇。</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推进农业农村污染防治，防治畜禽养殖污染，科学规划布局畜禽养殖，配套建设粪便污水贮存、处理、利用设施，新改扩建规模化畜禽养殖场（小区）要实施雨污分流、粪便污水资源化利用；控制农业面源污染，控制农田化肥农药使用量，大力发展生态循环农业，加快推广测土配方施肥、安全用药、绿色防控、农业废弃物资源化利用等农业清洁生产技术与装备；优化种植业结构与布局；加快农村环境综合整治。</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推进农村生活污水治理。因地制宜，采取“以城带</w:t>
            </w:r>
            <w:r>
              <w:rPr>
                <w:rFonts w:ascii="仿宋_GB2312" w:hAnsi="Times New Roman" w:eastAsia="仿宋_GB2312" w:cs="Times New Roman"/>
                <w:lang w:bidi="en-US"/>
              </w:rPr>
              <w:t>村” 、“以乡（镇）带</w:t>
            </w:r>
            <w:r>
              <w:rPr>
                <w:rFonts w:hint="eastAsia" w:ascii="仿宋_GB2312" w:hAnsi="Times New Roman" w:eastAsia="仿宋_GB2312" w:cs="Times New Roman"/>
                <w:lang w:bidi="en-US"/>
              </w:rPr>
              <w:t>村</w:t>
            </w:r>
            <w:r>
              <w:rPr>
                <w:rFonts w:ascii="仿宋_GB2312" w:hAnsi="Times New Roman" w:eastAsia="仿宋_GB2312" w:cs="Times New Roman"/>
                <w:lang w:bidi="en-US"/>
              </w:rPr>
              <w:t>”</w:t>
            </w:r>
            <w:r>
              <w:rPr>
                <w:rFonts w:hint="eastAsia" w:ascii="仿宋_GB2312" w:hAnsi="Times New Roman" w:eastAsia="仿宋_GB2312" w:cs="Times New Roman"/>
                <w:lang w:bidi="en-US"/>
              </w:rPr>
              <w:t>、</w:t>
            </w:r>
            <w:r>
              <w:rPr>
                <w:rFonts w:ascii="仿宋_GB2312" w:hAnsi="Times New Roman" w:eastAsia="仿宋_GB2312" w:cs="Times New Roman"/>
                <w:lang w:bidi="en-US"/>
              </w:rPr>
              <w:t xml:space="preserve"> “联村” 、“单村” 、“联户” 、“单户”等多种方式，实</w:t>
            </w:r>
            <w:r>
              <w:rPr>
                <w:rFonts w:hint="eastAsia" w:ascii="仿宋_GB2312" w:hAnsi="Times New Roman" w:eastAsia="仿宋_GB2312" w:cs="Times New Roman"/>
                <w:lang w:bidi="en-US"/>
              </w:rPr>
              <w:t>施农村生活污水治理工程，合理布局，科学设计。</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1.紧邻居住、科教、医院等环境敏感点的工业用地，禁止新建环境风险潜势等级高于Ⅲ级的建设项目。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 严格管控易导致环境风险的有毒有害和易燃易爆物质的使用和贮运，涉及此类物质的项目必须编制风险应急预案</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强化企业环境风险防范设施设备建设和正常运行监管，建立常态化的企业隐患排查整治监管机制，涉危的风险企业应及时编制环境风险应急预案并定期更新，每年至少开展一次应急演练。强化应急物资储备和救援队伍建设。</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4.加强风险防控体系建设，防范环境风险。稳妥处置突发环境污染事件，制定和完善水污染事故处置应急预案，强化危险源、敏感点的监测、分析、预测、预警。</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lang w:bidi="en-US"/>
              </w:rPr>
              <w:t>全面开展节水型社会建设，推进节水产品推广普及，限制高耗水服务业用水</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ZH65042220012</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托克逊县圣雄同心工业园重点管控单元0</w:t>
            </w:r>
            <w:r>
              <w:rPr>
                <w:rFonts w:ascii="仿宋_GB2312" w:hAnsi="Times New Roman" w:eastAsia="仿宋_GB2312" w:cs="Times New Roman"/>
                <w:bCs/>
                <w:lang w:bidi="en-US"/>
              </w:rPr>
              <w:t>2</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1.新建、改建、扩建企业要符合工业园区各项规划及规划环评要求。建设项目需满足企业自身产业链需求。</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bCs/>
                <w:lang w:bidi="en-US"/>
              </w:rPr>
              <w:t>禁止不符合相关要求的高污染（排放）、高能（水）耗、高环境风险的工业项目。</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该管控单元为托克逊工业园（圣雄同心工业园），为工业污染重点管控区、大气环境高排放区</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企业工业园区，产业类型主要为兰炭、电石、热电联产、聚氯乙烯、离子膜烧碱、石灰、甲醇、丁辛醇、</w:t>
            </w:r>
            <w:r>
              <w:rPr>
                <w:rFonts w:ascii="仿宋_GB2312" w:hAnsi="Times New Roman" w:eastAsia="仿宋_GB2312" w:cs="Times New Roman"/>
                <w:lang w:bidi="en-US"/>
              </w:rPr>
              <w:t>MTO</w:t>
            </w:r>
            <w:r>
              <w:rPr>
                <w:rFonts w:hint="eastAsia" w:ascii="仿宋_GB2312" w:hAnsi="Times New Roman" w:eastAsia="仿宋_GB2312" w:cs="Times New Roman"/>
                <w:lang w:bidi="en-US"/>
              </w:rPr>
              <w:t>、醋酸</w:t>
            </w:r>
            <w:r>
              <w:rPr>
                <w:rFonts w:ascii="仿宋_GB2312" w:hAnsi="Times New Roman" w:eastAsia="仿宋_GB2312" w:cs="Times New Roman"/>
                <w:lang w:bidi="en-US"/>
              </w:rPr>
              <w:t>和水泥产业</w:t>
            </w:r>
          </w:p>
          <w:p>
            <w:pPr>
              <w:adjustRightInd w:val="0"/>
              <w:snapToGrid w:val="0"/>
              <w:rPr>
                <w:rFonts w:ascii="仿宋_GB2312" w:hAnsi="Times New Roman" w:eastAsia="仿宋_GB2312" w:cs="Times New Roman"/>
                <w:lang w:bidi="en-US"/>
              </w:rPr>
            </w:pPr>
            <w:r>
              <w:rPr>
                <w:rFonts w:ascii="Times New Roman"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bCs/>
                <w:lang w:bidi="en-US"/>
              </w:rPr>
              <w:t>《吐鲁番市大气环境质量限期达标规划》、《吐鲁番市打赢蓝天保卫战三年行动计划实施方案（2018-2020）》、《</w:t>
            </w:r>
            <w:r>
              <w:rPr>
                <w:rFonts w:hint="eastAsia" w:ascii="仿宋_GB2312" w:hAnsi="仿宋" w:eastAsia="仿宋_GB2312" w:cs="仿宋"/>
                <w:lang w:bidi="en-US"/>
              </w:rPr>
              <w:t>吐鲁番市生态环境保护“十四五”规划</w:t>
            </w:r>
            <w:r>
              <w:rPr>
                <w:rFonts w:hint="eastAsia" w:ascii="仿宋_GB2312" w:hAnsi="Times New Roman" w:eastAsia="仿宋_GB2312" w:cs="Times New Roman"/>
                <w:bCs/>
                <w:lang w:bidi="en-US"/>
              </w:rPr>
              <w:t>》、</w:t>
            </w:r>
            <w:r>
              <w:rPr>
                <w:rFonts w:hint="eastAsia" w:ascii="仿宋_GB2312" w:hAnsi="Times New Roman" w:eastAsia="仿宋_GB2312" w:cs="Times New Roman"/>
                <w:lang w:bidi="en-US"/>
              </w:rPr>
              <w:t>《吐鲁番市水污染防治总体实施方案》、《托克逊县水污染防治方案》、</w:t>
            </w:r>
            <w:r>
              <w:rPr>
                <w:rFonts w:hint="eastAsia" w:ascii="仿宋_GB2312" w:hAnsi="Times New Roman" w:eastAsia="仿宋_GB2312" w:cs="Times New Roman"/>
                <w:bCs/>
                <w:lang w:bidi="en-US"/>
              </w:rPr>
              <w:t>《新疆圣雄能源开发有限公司同心工业园规划》</w:t>
            </w:r>
            <w:r>
              <w:rPr>
                <w:rFonts w:hint="eastAsia" w:ascii="仿宋_GB2312" w:hAnsi="Times New Roman" w:eastAsia="仿宋_GB2312" w:cs="Times New Roman"/>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1.对园区的SO</w:t>
            </w:r>
            <w:r>
              <w:rPr>
                <w:rFonts w:hint="eastAsia" w:ascii="仿宋_GB2312" w:hAnsi="Times New Roman" w:eastAsia="仿宋_GB2312" w:cs="Times New Roman"/>
                <w:vertAlign w:val="subscript"/>
                <w:lang w:bidi="en-US"/>
              </w:rPr>
              <w:t>2</w:t>
            </w:r>
            <w:r>
              <w:rPr>
                <w:rFonts w:hint="eastAsia" w:ascii="仿宋_GB2312" w:hAnsi="Times New Roman" w:eastAsia="仿宋_GB2312" w:cs="Times New Roman"/>
                <w:lang w:bidi="en-US"/>
              </w:rPr>
              <w:t>、N</w:t>
            </w:r>
            <w:r>
              <w:rPr>
                <w:rFonts w:ascii="仿宋_GB2312" w:hAnsi="Times New Roman" w:eastAsia="仿宋_GB2312" w:cs="Times New Roman"/>
                <w:lang w:bidi="en-US"/>
              </w:rPr>
              <w:t>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、烟粉尘和V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推进热电联产项目提标改造，确保烟气超低排放</w:t>
            </w:r>
            <w:r>
              <w:rPr>
                <w:rFonts w:ascii="仿宋_GB2312" w:hAnsi="Times New Roman" w:eastAsia="仿宋_GB2312" w:cs="Times New Roman"/>
                <w:lang w:bidi="en-US"/>
              </w:rPr>
              <w:t>。</w:t>
            </w:r>
            <w:r>
              <w:rPr>
                <w:rFonts w:hint="eastAsia" w:ascii="仿宋_GB2312" w:hAnsi="Times New Roman" w:eastAsia="仿宋_GB2312" w:cs="Times New Roman"/>
                <w:lang w:bidi="en-US"/>
              </w:rPr>
              <w:t>对石灰窑烟气（电石炭料加热尾气）处理实施脱硝改造、水泥熟料生产项目烟气治理实施提标改造。</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3.加快推进化工行业VOCs综合治理。</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4</w:t>
            </w:r>
            <w:r>
              <w:rPr>
                <w:rFonts w:ascii="仿宋_GB2312" w:hAnsi="Times New Roman" w:eastAsia="仿宋_GB2312" w:cs="Times New Roman"/>
                <w:lang w:bidi="en-US"/>
              </w:rPr>
              <w:t>.</w:t>
            </w:r>
            <w:r>
              <w:rPr>
                <w:rFonts w:hint="eastAsia" w:ascii="仿宋_GB2312" w:hAnsi="Times New Roman" w:eastAsia="仿宋_GB2312" w:cs="Times New Roman"/>
                <w:lang w:bidi="en-US"/>
              </w:rPr>
              <w:t>加强工艺过程除尘设施配置，全面控制工业烟粉尘排放。煤堆、料堆场建立密闭料仓与传送装置。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5</w:t>
            </w:r>
            <w:r>
              <w:rPr>
                <w:rFonts w:ascii="仿宋_GB2312" w:hAnsi="Times New Roman" w:eastAsia="仿宋_GB2312" w:cs="Times New Roman"/>
                <w:lang w:bidi="en-US"/>
              </w:rPr>
              <w:t>.</w:t>
            </w:r>
            <w:r>
              <w:rPr>
                <w:rFonts w:ascii="Times New Roman" w:hAnsi="Times New Roman" w:eastAsia="仿宋_GB2312" w:cs="Times New Roman"/>
                <w:lang w:bidi="en-US"/>
              </w:rPr>
              <w:t>加强对园区内企业的废水、废气中重金属的污染防控措施，严格执行重金属总量控制政策。</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7.推进污水集中处理设施及再生水回用系统；完善污水管网建设，加强对企业排放的污废水的监控，禁止在园内设置排污口。</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1.强化有毒有害原辅材料运输、储存、使用等过程的监管；做好厂区、渣场等的分区防渗措施。</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2.定期排查废水污染治理设施建设运行情况、并做好防腐防渗措施；园区污水集中处理设施安装自动在线监控装置；加强园区下游的水质监测。</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1.严把耗煤新项目准入关，控制煤炭消费总量。</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2.严格实施用水管理。新建、改建、扩建项目用水要达到行业先进水平，节水设施应与主体工程同时设计、同时施工、同时投运。</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3.采取高效节水措施，提高工业用水效率。</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bookmarkStart w:id="28" w:name="_Hlk71672632"/>
            <w:bookmarkStart w:id="29" w:name="_Hlk71672842"/>
            <w:r>
              <w:rPr>
                <w:rFonts w:hint="eastAsia" w:ascii="仿宋_GB2312" w:hAnsi="Times New Roman" w:eastAsia="仿宋_GB2312" w:cs="Times New Roman"/>
                <w:bCs/>
                <w:lang w:bidi="en-US"/>
              </w:rPr>
              <w:t>ZH65042220013</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托克逊县</w:t>
            </w:r>
            <w:r>
              <w:rPr>
                <w:rFonts w:ascii="Times New Roman" w:hAnsi="Times New Roman" w:eastAsia="仿宋_GB2312" w:cs="Times New Roman"/>
              </w:rPr>
              <w:t>地下水开采重点管控单元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1.在地下水超采区，除必要的人饮工程外，禁止兴建地下水取水工程，禁止建设水源热泵工程项目；在地下水禁采区，停止办理各类地下水取水许可。</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对国有开发土地灌溉用水井，自取得取水许可之日起仅可更新一次，并严格控制井深；对已经更新仍不能满足供水需要的，实行自然退地。</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 xml:space="preserve"> 应在原有地下水取水许可的基础上进行水量置换，不得增加地下水取水许可总水量。更新、置换井原井必须封填。</w:t>
            </w:r>
          </w:p>
        </w:tc>
        <w:tc>
          <w:tcPr>
            <w:tcW w:w="5647"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lang w:bidi="en-US"/>
              </w:rPr>
              <w:t>单元特点：</w:t>
            </w:r>
            <w:r>
              <w:rPr>
                <w:rFonts w:ascii="Times New Roman" w:hAnsi="Times New Roman" w:eastAsia="仿宋_GB2312" w:cs="Times New Roman"/>
                <w:lang w:bidi="en-US"/>
              </w:rPr>
              <w:t>该管控单元为地下水开采重点管控单元，</w:t>
            </w:r>
            <w:r>
              <w:rPr>
                <w:rFonts w:hint="eastAsia" w:ascii="Times New Roman" w:hAnsi="Times New Roman" w:eastAsia="仿宋_GB2312" w:cs="Times New Roman"/>
                <w:lang w:bidi="en-US"/>
              </w:rPr>
              <w:t>为托克逊</w:t>
            </w:r>
            <w:r>
              <w:rPr>
                <w:rFonts w:ascii="Times New Roman" w:hAnsi="Times New Roman" w:eastAsia="仿宋_GB2312" w:cs="Times New Roman"/>
                <w:lang w:bidi="en-US"/>
              </w:rPr>
              <w:t>县</w:t>
            </w:r>
            <w:r>
              <w:rPr>
                <w:rFonts w:hint="eastAsia" w:ascii="Times New Roman" w:hAnsi="Times New Roman" w:eastAsia="仿宋_GB2312" w:cs="Times New Roman"/>
                <w:lang w:bidi="en-US"/>
              </w:rPr>
              <w:t>浅层地下水中型严重超采区，全部为限采区</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bCs/>
                <w:lang w:bidi="en-US"/>
              </w:rPr>
              <w:t>要素属性：</w:t>
            </w:r>
            <w:r>
              <w:rPr>
                <w:rFonts w:hint="eastAsia" w:ascii="仿宋_GB2312" w:hAnsi="Times New Roman" w:eastAsia="仿宋_GB2312" w:cs="Times New Roman"/>
                <w:lang w:bidi="en-US"/>
              </w:rPr>
              <w:t>地下水开采重点管控区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ascii="Times New Roman" w:hAnsi="Times New Roman" w:eastAsia="仿宋_GB2312" w:cs="Times New Roman"/>
                <w:lang w:bidi="en-US"/>
              </w:rPr>
              <w:t>《新疆维吾尔自治区地下水资源管理条例》、</w:t>
            </w:r>
            <w:r>
              <w:rPr>
                <w:rFonts w:hint="eastAsia" w:ascii="Times New Roman" w:hAnsi="Times New Roman" w:eastAsia="仿宋_GB2312" w:cs="Times New Roman"/>
                <w:lang w:bidi="en-US"/>
              </w:rPr>
              <w:t>《吐鲁番市地下水资源管理实施办法（试行）》、</w:t>
            </w:r>
            <w:r>
              <w:rPr>
                <w:rFonts w:hint="eastAsia" w:ascii="仿宋_GB2312" w:hAnsi="仿宋" w:eastAsia="仿宋_GB2312" w:cs="仿宋"/>
                <w:lang w:bidi="en-US"/>
              </w:rPr>
              <w:t>《吐鲁番市用水总量控制实施方案》</w:t>
            </w:r>
            <w:r>
              <w:rPr>
                <w:rFonts w:ascii="Times New Roman" w:hAnsi="Times New Roman" w:eastAsia="仿宋_GB2312" w:cs="Times New Roman"/>
                <w:lang w:bidi="en-US"/>
              </w:rPr>
              <w:t>、《吐鲁番市水污染防治总体实施方案》、《</w:t>
            </w:r>
            <w:r>
              <w:rPr>
                <w:rFonts w:hint="eastAsia" w:ascii="Times New Roman" w:hAnsi="Times New Roman" w:eastAsia="仿宋_GB2312" w:cs="Times New Roman"/>
                <w:lang w:bidi="en-US"/>
              </w:rPr>
              <w:t>托克逊县</w:t>
            </w:r>
            <w:r>
              <w:rPr>
                <w:rFonts w:ascii="Times New Roman" w:hAnsi="Times New Roman" w:eastAsia="仿宋_GB2312" w:cs="Times New Roman"/>
                <w:lang w:bidi="en-US"/>
              </w:rPr>
              <w:t>水污染防治工作方案》</w:t>
            </w:r>
            <w:r>
              <w:rPr>
                <w:rFonts w:hint="eastAsia" w:ascii="Times New Roman" w:hAnsi="Times New Roman" w:eastAsia="仿宋_GB2312" w:cs="Times New Roman"/>
                <w:lang w:bidi="en-US"/>
              </w:rPr>
              <w:t>、《托克逊县地下水超采治理方案》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lang w:bidi="en-US"/>
              </w:rPr>
              <w:t>1.禁止私设暗管或者利用渗井、渗坑和裂隙排放、倾倒含有毒污染物的废水、含病原体的污水和其他废弃物。禁止利用无防渗漏措施的沟渠、坑塘等输送或者存贮含有毒污染物的废水、含病原体的污水和其他废弃物。禁止将含有汞、镉、砷、铬、铅、氰化物、黄磷等可溶性剧毒废渣及难降解有机物或者含油废弃物直接埋入地下。人工回灌补给地下水，不得恶化地下水水质。</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1.落实吐鲁番市关于地下水用水总量控制方案，开源与节流并重，实行计划用水、节约用水；开采与补给平衡，防止水源的枯竭和地下水资源的污染。</w:t>
            </w:r>
          </w:p>
          <w:p>
            <w:pPr>
              <w:adjustRightInd w:val="0"/>
              <w:snapToGrid w:val="0"/>
              <w:rPr>
                <w:rFonts w:ascii="仿宋_GB2312" w:hAnsi="Times New Roman" w:eastAsia="仿宋_GB2312" w:cs="Times New Roman"/>
                <w:bCs/>
                <w:lang w:bidi="en-US"/>
              </w:rPr>
            </w:pPr>
            <w:r>
              <w:rPr>
                <w:rFonts w:hint="eastAsia" w:ascii="Times New Roman" w:hAnsi="Times New Roman" w:eastAsia="仿宋_GB2312" w:cs="Times New Roman"/>
                <w:lang w:bidi="en-US"/>
              </w:rPr>
              <w:t>2</w:t>
            </w:r>
            <w:r>
              <w:rPr>
                <w:rFonts w:ascii="Times New Roman" w:hAnsi="Times New Roman" w:eastAsia="仿宋_GB2312" w:cs="Times New Roman"/>
                <w:lang w:bidi="en-US"/>
              </w:rPr>
              <w:t>.稳妥处置突发地下水环境污染事件，制定和完善水污染事故处置应急预案，强化危险源、敏感点的监测、分析、预测、预警</w:t>
            </w:r>
            <w:r>
              <w:rPr>
                <w:rFonts w:hint="eastAsia" w:ascii="Times New Roman"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bookmarkEnd w:id="2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bookmarkStart w:id="30" w:name="_Hlk71672757"/>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1.至2025年，中型超采区变为小型超采区，且地下水位下降速率要控制在0.5米/年以内。至2030年，全部超采区地下水位基本稳定（下降速率为-0.1~0.1米/年）或呈上升趋势，全部达到采补平衡。</w:t>
            </w:r>
          </w:p>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lang w:bidi="en-US"/>
              </w:rPr>
              <w:t>2.除满足战备、旱灾、火灾、地震等应急需要外，年度地下水资源开采总量不得超出批准的地下水开采总量控制指标。地下水水位不得低于规划水位控制指标</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bookmarkEnd w:id="29"/>
      <w:bookmarkEnd w:id="3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bookmarkStart w:id="31" w:name="_Hlk71672934"/>
            <w:r>
              <w:rPr>
                <w:rFonts w:hint="eastAsia" w:ascii="仿宋_GB2312" w:hAnsi="Times New Roman" w:eastAsia="仿宋_GB2312" w:cs="Times New Roman"/>
                <w:bCs/>
                <w:lang w:bidi="en-US"/>
              </w:rPr>
              <w:t>ZH65042220014</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托克逊县</w:t>
            </w:r>
            <w:r>
              <w:rPr>
                <w:rFonts w:ascii="Times New Roman" w:hAnsi="Times New Roman" w:eastAsia="仿宋_GB2312" w:cs="Times New Roman"/>
              </w:rPr>
              <w:t>克布尔碱矿区重点管控单元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1.围绕大型煤电基地和现代煤化工项目用煤需要，在充分利用现有煤矿生产能力的前提下，严格依照规划新建煤矿项目，并严格执行煤炭产能置换的相关政策。</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煤炭资源开发项目原则上要按照国家和自治区有关政策要求配套建设相应的洗选厂。</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.合理权衡煤炭开采方式。禁止新建非机械化开采的煤矿；禁止建设</w:t>
            </w:r>
            <w:r>
              <w:rPr>
                <w:rFonts w:ascii="仿宋_GB2312" w:hAnsi="Times New Roman" w:eastAsia="仿宋_GB2312" w:cs="Times New Roman"/>
                <w:lang w:bidi="en-US"/>
              </w:rPr>
              <w:t>45 万吨/年以下能力的改扩建矿井；禁止核准新建120 万吨/年矿井及400 万吨/年露天以下规模的煤矿项目</w:t>
            </w:r>
            <w:r>
              <w:rPr>
                <w:rFonts w:hint="eastAsia" w:ascii="仿宋_GB2312" w:hAnsi="Times New Roman" w:eastAsia="仿宋_GB2312" w:cs="Times New Roman"/>
                <w:lang w:bidi="en-US"/>
              </w:rPr>
              <w:t>。禁止开采放射性核素超过《新疆煤炭资源开采天然放射性核素限量》。（DB65/T3471）要求的煤炭资源。新建和改扩建煤炭采选项目选址应符合《煤炭工业矿井设计规范》（GB50215）、《煤炭洗选工程设计规范》（GB50359）。</w:t>
            </w:r>
          </w:p>
        </w:tc>
        <w:tc>
          <w:tcPr>
            <w:tcW w:w="5647"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w:t>
            </w:r>
            <w:r>
              <w:rPr>
                <w:rFonts w:hint="eastAsia" w:ascii="仿宋_GB2312" w:hAnsi="Times New Roman" w:eastAsia="仿宋_GB2312" w:cs="Times New Roman"/>
                <w:bCs/>
                <w:lang w:bidi="en-US"/>
              </w:rPr>
              <w:t>克尔碱</w:t>
            </w:r>
            <w:r>
              <w:rPr>
                <w:rFonts w:hint="eastAsia" w:ascii="仿宋_GB2312" w:hAnsi="Times New Roman" w:eastAsia="仿宋_GB2312" w:cs="Times New Roman"/>
                <w:lang w:bidi="en-US"/>
              </w:rPr>
              <w:t>矿区，类型为煤矿</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ascii="Times New Roman" w:hAnsi="Times New Roman" w:eastAsia="仿宋_GB2312" w:cs="Times New Roman"/>
                <w:lang w:bidi="en-US"/>
              </w:rPr>
              <w:t>《吐鲁番市大气环境质量限期达标规划》、《吐鲁番市打赢蓝天保卫战三年行动计划实施方案》、</w:t>
            </w:r>
            <w:r>
              <w:rPr>
                <w:rFonts w:hint="eastAsia" w:ascii="仿宋_GB2312" w:hAnsi="仿宋" w:eastAsia="仿宋_GB2312" w:cs="仿宋"/>
                <w:lang w:bidi="en-US"/>
              </w:rPr>
              <w:t>《吐鲁番市生态环境保护“十四五”规划》、</w:t>
            </w:r>
            <w:r>
              <w:rPr>
                <w:rFonts w:ascii="Times New Roman" w:hAnsi="Times New Roman" w:eastAsia="仿宋_GB2312" w:cs="Times New Roman"/>
                <w:lang w:bidi="en-US"/>
              </w:rPr>
              <w:t>《吐鲁番市水污染防治总体实施方案》、《新疆维吾尔自治区矿产资源总体规划（2016-2020）》</w:t>
            </w:r>
            <w:r>
              <w:rPr>
                <w:rFonts w:hint="eastAsia" w:ascii="Times New Roman" w:hAnsi="Times New Roman" w:eastAsia="仿宋_GB2312" w:cs="Times New Roman"/>
                <w:lang w:bidi="en-US"/>
              </w:rPr>
              <w:t>、《</w:t>
            </w:r>
            <w:r>
              <w:rPr>
                <w:rFonts w:ascii="Times New Roman" w:hAnsi="Times New Roman" w:eastAsia="仿宋_GB2312" w:cs="Times New Roman"/>
                <w:lang w:bidi="en-US"/>
              </w:rPr>
              <w:t>新疆维吾尔自治区</w:t>
            </w:r>
            <w:r>
              <w:rPr>
                <w:rFonts w:hint="eastAsia" w:ascii="Times New Roman" w:hAnsi="Times New Roman" w:eastAsia="仿宋_GB2312" w:cs="Times New Roman"/>
                <w:lang w:bidi="en-US"/>
              </w:rPr>
              <w:t>吐鲁番市</w:t>
            </w:r>
            <w:r>
              <w:rPr>
                <w:rFonts w:ascii="Times New Roman" w:hAnsi="Times New Roman" w:eastAsia="仿宋_GB2312" w:cs="Times New Roman"/>
                <w:lang w:bidi="en-US"/>
              </w:rPr>
              <w:t>矿产资源总体规划（2016-2020）</w:t>
            </w:r>
            <w:r>
              <w:rPr>
                <w:rFonts w:hint="eastAsia" w:ascii="Times New Roman" w:hAnsi="Times New Roman" w:eastAsia="仿宋_GB2312" w:cs="Times New Roman"/>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1.建设绿色矿山。</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w:t>
            </w:r>
            <w:r>
              <w:rPr>
                <w:rFonts w:hint="eastAsia" w:ascii="仿宋_GB2312" w:hAnsi="Times New Roman" w:eastAsia="仿宋_GB2312" w:cs="Times New Roman"/>
                <w:lang w:bidi="en-US"/>
              </w:rPr>
              <w:t>煤炭贮存、转载、装卸等过程中产生的无组织污染物必须采取防尘抑尘措施，新建及改扩建采煤项目原煤须采用筒仓或封闭式煤场，厂内输送采用封闭式皮带走廊。锅炉灰渣及煤矸石优先综合利用。煤矸石无害化处置率达到100%；露天矿的剥离物集中排入排土场，处置率达100%。</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3.矿区</w:t>
            </w:r>
            <w:r>
              <w:rPr>
                <w:rFonts w:hint="eastAsia" w:ascii="仿宋_GB2312" w:hAnsi="Times New Roman" w:eastAsia="仿宋_GB2312" w:cs="Times New Roman"/>
                <w:lang w:bidi="en-US"/>
              </w:rPr>
              <w:t>其他易起尘的</w:t>
            </w:r>
            <w:r>
              <w:rPr>
                <w:rFonts w:ascii="仿宋_GB2312" w:hAnsi="Times New Roman" w:eastAsia="仿宋_GB2312" w:cs="Times New Roman"/>
                <w:lang w:bidi="en-US"/>
              </w:rPr>
              <w:t>堆场均应</w:t>
            </w:r>
            <w:r>
              <w:rPr>
                <w:rFonts w:hint="eastAsia" w:ascii="仿宋_GB2312" w:hAnsi="Times New Roman" w:eastAsia="仿宋_GB2312" w:cs="Times New Roman"/>
                <w:lang w:bidi="en-US"/>
              </w:rPr>
              <w:t>采取封闭、覆盖、设置防风抑尘网等措施</w:t>
            </w:r>
            <w:r>
              <w:rPr>
                <w:rFonts w:ascii="仿宋_GB2312" w:hAnsi="Times New Roman" w:eastAsia="仿宋_GB2312" w:cs="Times New Roman"/>
                <w:lang w:bidi="en-US"/>
              </w:rPr>
              <w:t>；矿区内道路应尽量进行硬化</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1.加强尾矿库监督监管。</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2.完善危险源防控机制，提升矿井综合抗灾能力，实施安全闭合管理，确保隐患治理到位。</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严把耗煤新项目准入关，控制煤炭消费总量。</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w:t>
            </w:r>
            <w:r>
              <w:rPr>
                <w:rFonts w:ascii="Times New Roman" w:hAnsi="Times New Roman" w:eastAsia="仿宋_GB2312" w:cs="Times New Roman"/>
                <w:lang w:bidi="en-US"/>
              </w:rPr>
              <w:t>进一步提高选矿废水综合利用率，促进煤矸石、矿井水等资源综合利用。</w:t>
            </w:r>
            <w:r>
              <w:rPr>
                <w:rFonts w:hint="eastAsia" w:ascii="仿宋_GB2312" w:hAnsi="Times New Roman" w:eastAsia="仿宋_GB2312" w:cs="Times New Roman"/>
                <w:lang w:bidi="en-US"/>
              </w:rPr>
              <w:t>新建矿山和现有生产矿山的地质环境得到全面治理和复垦，“三废”达标排放率达到95%，废水综合利用率达到70%以上，固体废物综合利用率达到50%以上；对全县的历史遗留地质环境问题，进行逐一恢复治理。</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bookmarkEnd w:id="3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ZH65042220015</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托克逊县</w:t>
            </w:r>
            <w:r>
              <w:rPr>
                <w:rFonts w:ascii="Times New Roman" w:hAnsi="Times New Roman" w:eastAsia="仿宋_GB2312" w:cs="Times New Roman"/>
              </w:rPr>
              <w:t>黑山矿区重点管控单元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1.围绕大型煤电基地和现代煤化工项目用煤需要，在充分利用现有煤矿生产能力的前提下，严格依照规划新建煤矿项目，并严格执行煤炭产能置换的相关政策。</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煤炭资源开发项目原则上要按照国家和自治区有关政策要求配套建设相应的洗选厂。</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.合理权衡煤炭开采方式。禁止新建非机械化开采的煤矿；禁止建设</w:t>
            </w:r>
            <w:r>
              <w:rPr>
                <w:rFonts w:ascii="仿宋_GB2312" w:hAnsi="Times New Roman" w:eastAsia="仿宋_GB2312" w:cs="Times New Roman"/>
                <w:lang w:bidi="en-US"/>
              </w:rPr>
              <w:t>45 万吨/年以下能力的改扩建矿井；禁止核准新建120 万吨/年矿井及400 万吨/年露天以下规模的煤矿项目</w:t>
            </w:r>
            <w:r>
              <w:rPr>
                <w:rFonts w:hint="eastAsia" w:ascii="仿宋_GB2312" w:hAnsi="Times New Roman" w:eastAsia="仿宋_GB2312" w:cs="Times New Roman"/>
                <w:lang w:bidi="en-US"/>
              </w:rPr>
              <w:t>。禁止开采放射性核素超过《新疆煤炭资源开采天然放射性核素限量》。（DB65/T3471）要求的煤炭资源。新建和改扩建煤炭采选项目选址应符合《煤炭工业矿井设计规范》（GB50215）、《煤炭洗选工程设计规范》（GB50359）。</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该管控单元主要为黑山矿区，类型为煤矿</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bCs/>
                <w:lang w:bidi="en-US"/>
              </w:rPr>
              <w:t>要素属性：</w:t>
            </w:r>
            <w:r>
              <w:rPr>
                <w:rFonts w:hint="eastAsia" w:ascii="仿宋_GB2312" w:hAnsi="Times New Roman" w:eastAsia="仿宋_GB2312" w:cs="Times New Roman"/>
                <w:bCs/>
                <w:lang w:bidi="en-US"/>
              </w:rPr>
              <w:t>大气环境高排放重点管控区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ascii="Times New Roman" w:hAnsi="Times New Roman" w:eastAsia="仿宋_GB2312" w:cs="Times New Roman"/>
                <w:lang w:bidi="en-US"/>
              </w:rPr>
              <w:t>吐鲁番市大气环境质量限期达标规划》、《吐鲁番市打赢蓝天保卫战三年行动计划实施方案》、</w:t>
            </w:r>
            <w:r>
              <w:rPr>
                <w:rFonts w:hint="eastAsia" w:ascii="仿宋_GB2312" w:hAnsi="仿宋" w:eastAsia="仿宋_GB2312" w:cs="仿宋"/>
                <w:lang w:bidi="en-US"/>
              </w:rPr>
              <w:t>《吐鲁番市生态环境保护“十四五”规划》、</w:t>
            </w:r>
            <w:r>
              <w:rPr>
                <w:rFonts w:ascii="Times New Roman" w:hAnsi="Times New Roman" w:eastAsia="仿宋_GB2312" w:cs="Times New Roman"/>
                <w:lang w:bidi="en-US"/>
              </w:rPr>
              <w:t>《吐鲁番市水污染防治总体实施方案》、《新疆维吾尔自治区矿产资源总体规划（2016-2020）》</w:t>
            </w:r>
            <w:r>
              <w:rPr>
                <w:rFonts w:hint="eastAsia" w:ascii="Times New Roman" w:hAnsi="Times New Roman" w:eastAsia="仿宋_GB2312" w:cs="Times New Roman"/>
                <w:lang w:bidi="en-US"/>
              </w:rPr>
              <w:t>、《</w:t>
            </w:r>
            <w:r>
              <w:rPr>
                <w:rFonts w:ascii="Times New Roman" w:hAnsi="Times New Roman" w:eastAsia="仿宋_GB2312" w:cs="Times New Roman"/>
                <w:lang w:bidi="en-US"/>
              </w:rPr>
              <w:t>新疆维吾尔自治区</w:t>
            </w:r>
            <w:r>
              <w:rPr>
                <w:rFonts w:hint="eastAsia" w:ascii="Times New Roman" w:hAnsi="Times New Roman" w:eastAsia="仿宋_GB2312" w:cs="Times New Roman"/>
                <w:lang w:bidi="en-US"/>
              </w:rPr>
              <w:t>吐鲁番市</w:t>
            </w:r>
            <w:r>
              <w:rPr>
                <w:rFonts w:ascii="Times New Roman" w:hAnsi="Times New Roman" w:eastAsia="仿宋_GB2312" w:cs="Times New Roman"/>
                <w:lang w:bidi="en-US"/>
              </w:rPr>
              <w:t>矿产资源总体规划（2016-2020）</w:t>
            </w:r>
            <w:r>
              <w:rPr>
                <w:rFonts w:hint="eastAsia" w:ascii="Times New Roman" w:hAnsi="Times New Roman" w:eastAsia="仿宋_GB2312" w:cs="Times New Roman"/>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1.建设绿色矿山。</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贮存、转载、装卸等过程中产生的无组织污染物必须采取防尘抑尘措施，新建及改扩建采煤项目原煤须采用筒仓或封闭式煤场，厂内输送采用封闭式皮带走廊。锅炉灰渣及煤矸石优先综合利用。煤矸石无害化处置率达到100%；露天矿的剥离物集中排入排土场，处置率达100%。</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3.矿区</w:t>
            </w:r>
            <w:r>
              <w:rPr>
                <w:rFonts w:hint="eastAsia" w:ascii="仿宋_GB2312" w:hAnsi="Times New Roman" w:eastAsia="仿宋_GB2312" w:cs="Times New Roman"/>
                <w:lang w:bidi="en-US"/>
              </w:rPr>
              <w:t>易起尘的</w:t>
            </w:r>
            <w:r>
              <w:rPr>
                <w:rFonts w:ascii="仿宋_GB2312" w:hAnsi="Times New Roman" w:eastAsia="仿宋_GB2312" w:cs="Times New Roman"/>
                <w:lang w:bidi="en-US"/>
              </w:rPr>
              <w:t>堆场均应</w:t>
            </w:r>
            <w:r>
              <w:rPr>
                <w:rFonts w:hint="eastAsia" w:ascii="仿宋_GB2312" w:hAnsi="Times New Roman" w:eastAsia="仿宋_GB2312" w:cs="Times New Roman"/>
                <w:lang w:bidi="en-US"/>
              </w:rPr>
              <w:t>采取封闭、覆盖、设置防风抑尘网等措施</w:t>
            </w:r>
            <w:r>
              <w:rPr>
                <w:rFonts w:ascii="仿宋_GB2312" w:hAnsi="Times New Roman" w:eastAsia="仿宋_GB2312" w:cs="Times New Roman"/>
                <w:lang w:bidi="en-US"/>
              </w:rPr>
              <w:t>；矿区内道路应尽量进行硬化</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1.加强尾矿库监督监管。</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2.完善危险源防控机制，提升矿井综合抗灾能力，实施安全闭合管理，确保隐患治理到位。</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1"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严把耗煤新项目准入关，控制煤炭消费总量。</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w:t>
            </w:r>
            <w:r>
              <w:rPr>
                <w:rFonts w:ascii="Times New Roman" w:hAnsi="Times New Roman" w:eastAsia="仿宋_GB2312" w:cs="Times New Roman"/>
                <w:lang w:bidi="en-US"/>
              </w:rPr>
              <w:t>进一步提高选矿废水综合利用率，促进煤矸石、矿井水等资源综合利用。</w:t>
            </w:r>
            <w:r>
              <w:rPr>
                <w:rFonts w:hint="eastAsia" w:ascii="仿宋_GB2312" w:hAnsi="Times New Roman" w:eastAsia="仿宋_GB2312" w:cs="Times New Roman"/>
                <w:lang w:bidi="en-US"/>
              </w:rPr>
              <w:t>新建矿山和现有生产矿山的地质环境得到全面治理和复垦，“三废”达标排放率达到95%，废水综合利用率达到70%以上，固体废物综合利用率达到50%以上；对全县的历史遗留地质环境问题，进行逐一恢复治理。</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ZH65042220016</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托克逊县</w:t>
            </w:r>
            <w:r>
              <w:rPr>
                <w:rFonts w:ascii="Times New Roman" w:hAnsi="Times New Roman" w:eastAsia="仿宋_GB2312" w:cs="Times New Roman"/>
              </w:rPr>
              <w:t>艾维尔沟矿区重点管控单元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1.围绕大型煤电基地和现代煤化工项目用煤需要，在充分利用现有煤矿生产能力的前提下，严格依照规划新建煤矿项目，并严格执行煤炭产能置换的相关政策。</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煤炭资源开发项目原则上要按照国家和自治区有关政策要求配套建设相应的洗选厂。</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.合理权衡煤炭开采方式。禁止新建非机械化开采的煤矿；禁止建设</w:t>
            </w:r>
            <w:r>
              <w:rPr>
                <w:rFonts w:ascii="仿宋_GB2312" w:hAnsi="Times New Roman" w:eastAsia="仿宋_GB2312" w:cs="Times New Roman"/>
                <w:lang w:bidi="en-US"/>
              </w:rPr>
              <w:t>45 万吨/年以下能力的改扩建矿井；禁止核准新建120 万吨/年矿井及400 万吨/年露天以下规模的煤矿项目</w:t>
            </w:r>
            <w:r>
              <w:rPr>
                <w:rFonts w:hint="eastAsia" w:ascii="仿宋_GB2312" w:hAnsi="Times New Roman" w:eastAsia="仿宋_GB2312" w:cs="Times New Roman"/>
                <w:lang w:bidi="en-US"/>
              </w:rPr>
              <w:t>。禁止开采放射性核素超过《新疆煤炭资源开采天然放射性核素限量》。（DB65/T3471）要求的煤炭资源。新建和改扩建煤炭采选项目选址应符合《煤炭工业矿井设计规范》（GB50215）、《煤炭洗选工程设计规范》（GB50359）。</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该管控单元为艾维尔沟矿区，类型为煤矿</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ascii="Times New Roman" w:hAnsi="Times New Roman" w:eastAsia="仿宋_GB2312" w:cs="Times New Roman"/>
                <w:lang w:bidi="en-US"/>
              </w:rPr>
              <w:t>吐鲁番市大气环境质量限期达标规划》、《吐鲁番市打赢蓝天保卫战三年行动计划实施方案》、</w:t>
            </w:r>
            <w:r>
              <w:rPr>
                <w:rFonts w:hint="eastAsia" w:ascii="仿宋_GB2312" w:hAnsi="仿宋" w:eastAsia="仿宋_GB2312" w:cs="仿宋"/>
                <w:lang w:bidi="en-US"/>
              </w:rPr>
              <w:t>《吐鲁番市生态环境保护“十四五”规划》、</w:t>
            </w:r>
            <w:r>
              <w:rPr>
                <w:rFonts w:ascii="Times New Roman" w:hAnsi="Times New Roman" w:eastAsia="仿宋_GB2312" w:cs="Times New Roman"/>
                <w:lang w:bidi="en-US"/>
              </w:rPr>
              <w:t>《吐鲁番市水污染防治总体实施方案》、《新疆维吾尔自治区矿产资源总体规划（2016-2020）》</w:t>
            </w:r>
            <w:r>
              <w:rPr>
                <w:rFonts w:hint="eastAsia" w:ascii="Times New Roman" w:hAnsi="Times New Roman" w:eastAsia="仿宋_GB2312" w:cs="Times New Roman"/>
                <w:lang w:bidi="en-US"/>
              </w:rPr>
              <w:t>、《</w:t>
            </w:r>
            <w:r>
              <w:rPr>
                <w:rFonts w:ascii="Times New Roman" w:hAnsi="Times New Roman" w:eastAsia="仿宋_GB2312" w:cs="Times New Roman"/>
                <w:lang w:bidi="en-US"/>
              </w:rPr>
              <w:t>新疆维吾尔自治区</w:t>
            </w:r>
            <w:r>
              <w:rPr>
                <w:rFonts w:hint="eastAsia" w:ascii="Times New Roman" w:hAnsi="Times New Roman" w:eastAsia="仿宋_GB2312" w:cs="Times New Roman"/>
                <w:lang w:bidi="en-US"/>
              </w:rPr>
              <w:t>吐鲁番市</w:t>
            </w:r>
            <w:r>
              <w:rPr>
                <w:rFonts w:ascii="Times New Roman" w:hAnsi="Times New Roman" w:eastAsia="仿宋_GB2312" w:cs="Times New Roman"/>
                <w:lang w:bidi="en-US"/>
              </w:rPr>
              <w:t>矿产资源总体规划（2016-2020）</w:t>
            </w:r>
            <w:r>
              <w:rPr>
                <w:rFonts w:hint="eastAsia" w:ascii="Times New Roman" w:hAnsi="Times New Roman" w:eastAsia="仿宋_GB2312" w:cs="Times New Roman"/>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1.建设绿色矿山。</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贮存、转载、装卸等过程中产生的无组织污染物必须采取防尘抑尘措施，新建及改扩建采煤项目原煤须采用筒仓或封闭式煤场，厂内输送采用封闭式皮带走廊。锅炉灰渣及煤矸石优先综合利用。煤矸石无害化处置率达到100%。</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3.矿区</w:t>
            </w:r>
            <w:r>
              <w:rPr>
                <w:rFonts w:hint="eastAsia" w:ascii="仿宋_GB2312" w:hAnsi="Times New Roman" w:eastAsia="仿宋_GB2312" w:cs="Times New Roman"/>
                <w:lang w:bidi="en-US"/>
              </w:rPr>
              <w:t>易起尘的</w:t>
            </w:r>
            <w:r>
              <w:rPr>
                <w:rFonts w:ascii="仿宋_GB2312" w:hAnsi="Times New Roman" w:eastAsia="仿宋_GB2312" w:cs="Times New Roman"/>
                <w:lang w:bidi="en-US"/>
              </w:rPr>
              <w:t>堆场均应</w:t>
            </w:r>
            <w:r>
              <w:rPr>
                <w:rFonts w:hint="eastAsia" w:ascii="仿宋_GB2312" w:hAnsi="Times New Roman" w:eastAsia="仿宋_GB2312" w:cs="Times New Roman"/>
                <w:lang w:bidi="en-US"/>
              </w:rPr>
              <w:t>采取封闭、覆盖、设置防风抑尘网等措施</w:t>
            </w:r>
            <w:r>
              <w:rPr>
                <w:rFonts w:ascii="仿宋_GB2312" w:hAnsi="Times New Roman" w:eastAsia="仿宋_GB2312" w:cs="Times New Roman"/>
                <w:lang w:bidi="en-US"/>
              </w:rPr>
              <w:t>；矿区内道路应尽量进行硬化</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1.加强尾矿库监督监管。</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2.完善危险源防控机制，提升矿井综合抗灾能力，实施安全闭合管理，确保隐患治理到位。</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3"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严把耗煤新项目准入关，控制煤炭消费总量。</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w:t>
            </w:r>
            <w:r>
              <w:rPr>
                <w:rFonts w:ascii="Times New Roman" w:hAnsi="Times New Roman" w:eastAsia="仿宋_GB2312" w:cs="Times New Roman"/>
                <w:lang w:bidi="en-US"/>
              </w:rPr>
              <w:t>进一步提高选矿废水综合利用率，促进煤矸石、矿井水等资源综合利用。</w:t>
            </w:r>
            <w:r>
              <w:rPr>
                <w:rFonts w:hint="eastAsia" w:ascii="仿宋_GB2312" w:hAnsi="Times New Roman" w:eastAsia="仿宋_GB2312" w:cs="Times New Roman"/>
                <w:lang w:bidi="en-US"/>
              </w:rPr>
              <w:t>新建矿山和现有生产矿山的地质环境得到全面治理和复垦，“三废”达标排放率达到95%，废水综合利用率达到70%以上，固体废物综合利用率达到50%以上；对全县的历史遗留地质环境问题，进行逐一恢复治理。</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ZH65042220017</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托克逊县艾丁湖矿区重点管控单元</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1.围绕大型煤电基地和现代煤化工项目用煤需要，在充分利用现有煤矿生产能力的前提下，严格依照规划新建煤矿项目，并严格执行煤炭产能置换的相关政策。</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煤炭资源开发项目原则上要按照国家和自治区有关政策要求配套建设相应的洗选厂。</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.合理权衡煤炭开采方式。禁止新建非机械化开采的煤矿；禁止建设</w:t>
            </w:r>
            <w:r>
              <w:rPr>
                <w:rFonts w:ascii="仿宋_GB2312" w:hAnsi="Times New Roman" w:eastAsia="仿宋_GB2312" w:cs="Times New Roman"/>
                <w:lang w:bidi="en-US"/>
              </w:rPr>
              <w:t>45 万吨/年以下能力的改扩建矿井；禁止核准新建120 万吨/年矿井及400 万吨/年露天以下规模的煤矿项目</w:t>
            </w:r>
            <w:r>
              <w:rPr>
                <w:rFonts w:hint="eastAsia" w:ascii="仿宋_GB2312" w:hAnsi="Times New Roman" w:eastAsia="仿宋_GB2312" w:cs="Times New Roman"/>
                <w:lang w:bidi="en-US"/>
              </w:rPr>
              <w:t>。禁止开采放射性核素超过《新疆煤炭资源开采天然放射性核素限量》。（DB65/T3471）要求的煤炭资源。新建和改扩建煤炭采选项目选址应符合《煤炭工业矿井设计规范》（GB50215）、《煤炭洗选工程设计规范》（GB50359）。</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该管控单元为艾丁湖重大矿区</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bCs/>
                <w:lang w:bidi="en-US"/>
              </w:rPr>
              <w:t>要素属性：</w:t>
            </w:r>
            <w:r>
              <w:rPr>
                <w:rFonts w:hint="eastAsia" w:ascii="仿宋_GB2312" w:hAnsi="Times New Roman" w:eastAsia="仿宋_GB2312" w:cs="Times New Roman"/>
                <w:lang w:bidi="en-US"/>
              </w:rPr>
              <w:t>大气环境高排放重点管控区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ascii="Times New Roman" w:hAnsi="Times New Roman" w:eastAsia="仿宋_GB2312" w:cs="Times New Roman"/>
                <w:lang w:bidi="en-US"/>
              </w:rPr>
              <w:t>吐鲁番市大气环境质量限期达标规划》、《吐鲁番市打赢蓝天保卫战三年行动计划实施方案》、</w:t>
            </w:r>
            <w:r>
              <w:rPr>
                <w:rFonts w:hint="eastAsia" w:ascii="仿宋_GB2312" w:hAnsi="仿宋" w:eastAsia="仿宋_GB2312" w:cs="仿宋"/>
                <w:lang w:bidi="en-US"/>
              </w:rPr>
              <w:t>《吐鲁番市生态环境保护“十四五”规划》、</w:t>
            </w:r>
            <w:r>
              <w:rPr>
                <w:rFonts w:ascii="Times New Roman" w:hAnsi="Times New Roman" w:eastAsia="仿宋_GB2312" w:cs="Times New Roman"/>
                <w:lang w:bidi="en-US"/>
              </w:rPr>
              <w:t>《吐鲁番市水污染防治总体实施方案》、《新疆维吾尔自治区矿产资源总体规划（2016-2020）》</w:t>
            </w:r>
            <w:r>
              <w:rPr>
                <w:rFonts w:hint="eastAsia" w:ascii="Times New Roman" w:hAnsi="Times New Roman" w:eastAsia="仿宋_GB2312" w:cs="Times New Roman"/>
                <w:lang w:bidi="en-US"/>
              </w:rPr>
              <w:t>、《</w:t>
            </w:r>
            <w:r>
              <w:rPr>
                <w:rFonts w:ascii="Times New Roman" w:hAnsi="Times New Roman" w:eastAsia="仿宋_GB2312" w:cs="Times New Roman"/>
                <w:lang w:bidi="en-US"/>
              </w:rPr>
              <w:t>新疆维吾尔自治区</w:t>
            </w:r>
            <w:r>
              <w:rPr>
                <w:rFonts w:hint="eastAsia" w:ascii="Times New Roman" w:hAnsi="Times New Roman" w:eastAsia="仿宋_GB2312" w:cs="Times New Roman"/>
                <w:lang w:bidi="en-US"/>
              </w:rPr>
              <w:t>吐鲁番市</w:t>
            </w:r>
            <w:r>
              <w:rPr>
                <w:rFonts w:ascii="Times New Roman" w:hAnsi="Times New Roman" w:eastAsia="仿宋_GB2312" w:cs="Times New Roman"/>
                <w:lang w:bidi="en-US"/>
              </w:rPr>
              <w:t>矿产资源总体规划（2016-2020）</w:t>
            </w:r>
            <w:r>
              <w:rPr>
                <w:rFonts w:hint="eastAsia" w:ascii="Times New Roman" w:hAnsi="Times New Roman" w:eastAsia="仿宋_GB2312" w:cs="Times New Roman"/>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1.建设绿色矿山。</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煤炭贮存、转载、装卸等过程中产生的无组织污染物必须采取防尘抑尘措施，新建及改扩建采煤项目原煤须采用筒仓或封闭式煤场，厂内输送采用封闭式皮带走廊。锅炉灰渣及煤矸石优先综合利用。煤矸石无害化处置率达到100%；露天矿的剥离物集中排入排土场，处置率达100%。</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3.矿区</w:t>
            </w:r>
            <w:r>
              <w:rPr>
                <w:rFonts w:hint="eastAsia" w:ascii="仿宋_GB2312" w:hAnsi="Times New Roman" w:eastAsia="仿宋_GB2312" w:cs="Times New Roman"/>
                <w:lang w:bidi="en-US"/>
              </w:rPr>
              <w:t>易起尘的</w:t>
            </w:r>
            <w:r>
              <w:rPr>
                <w:rFonts w:ascii="仿宋_GB2312" w:hAnsi="Times New Roman" w:eastAsia="仿宋_GB2312" w:cs="Times New Roman"/>
                <w:lang w:bidi="en-US"/>
              </w:rPr>
              <w:t>堆场均应</w:t>
            </w:r>
            <w:r>
              <w:rPr>
                <w:rFonts w:hint="eastAsia" w:ascii="仿宋_GB2312" w:hAnsi="Times New Roman" w:eastAsia="仿宋_GB2312" w:cs="Times New Roman"/>
                <w:lang w:bidi="en-US"/>
              </w:rPr>
              <w:t>采取封闭、覆盖、设置防风抑尘网等措施</w:t>
            </w:r>
            <w:r>
              <w:rPr>
                <w:rFonts w:ascii="仿宋_GB2312" w:hAnsi="Times New Roman" w:eastAsia="仿宋_GB2312" w:cs="Times New Roman"/>
                <w:lang w:bidi="en-US"/>
              </w:rPr>
              <w:t>；矿区内道路应尽量进行硬化</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1.加强尾矿库监督监管。</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2.完善危险源防控机制，提升矿井综合抗灾能力，实施安全闭合管理，确保隐患治理到位。</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严把耗煤新项目准入关，控制煤炭消费总量。</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w:t>
            </w:r>
            <w:r>
              <w:rPr>
                <w:rFonts w:ascii="Times New Roman" w:hAnsi="Times New Roman" w:eastAsia="仿宋_GB2312" w:cs="Times New Roman"/>
                <w:lang w:bidi="en-US"/>
              </w:rPr>
              <w:t>进一步提高选矿废水综合利用率，促进煤矸石、矿井水等资源综合利用。</w:t>
            </w:r>
            <w:r>
              <w:rPr>
                <w:rFonts w:hint="eastAsia" w:ascii="仿宋_GB2312" w:hAnsi="Times New Roman" w:eastAsia="仿宋_GB2312" w:cs="Times New Roman"/>
                <w:lang w:bidi="en-US"/>
              </w:rPr>
              <w:t>新建矿山和现有生产矿山的地质环境得到全面治理和复垦，“三废”达标排放率达到95%，废水综合利用率达到70%以上，固体废物综合利用率达到50%以上；对全县的历史遗留地质环境问题，进行逐一恢复治理。</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ZH65042220018</w:t>
            </w:r>
          </w:p>
        </w:tc>
        <w:tc>
          <w:tcPr>
            <w:tcW w:w="1974"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托克逊县城镇生活（阿乐惠镇）重点管控单元0</w:t>
            </w:r>
            <w:r>
              <w:rPr>
                <w:rFonts w:ascii="仿宋_GB2312" w:hAnsi="Times New Roman" w:eastAsia="仿宋_GB2312" w:cs="Times New Roman"/>
                <w:bCs/>
                <w:lang w:bidi="en-US"/>
              </w:rPr>
              <w:t>2</w:t>
            </w:r>
          </w:p>
        </w:tc>
        <w:tc>
          <w:tcPr>
            <w:tcW w:w="1198" w:type="dxa"/>
            <w:vMerge w:val="restart"/>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重点管控单元</w:t>
            </w: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空间布局约束</w:t>
            </w:r>
          </w:p>
        </w:tc>
        <w:tc>
          <w:tcPr>
            <w:tcW w:w="8930"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1.禁止新、改、扩建</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hint="eastAsia" w:ascii="仿宋_GB2312" w:hAnsi="Times New Roman" w:eastAsia="仿宋_GB2312" w:cs="Times New Roman"/>
                <w:lang w:bidi="en-US"/>
              </w:rPr>
              <w:t>三类工业项目，现有三类工业项目应制定计划，限期外迁；禁止新建</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lang w:bidi="en-US"/>
              </w:rPr>
              <w:t>涉气二类工业项目（基础设施等民生工程除外），改、扩建的不得新增大气污染物排放因子和排放总量。</w:t>
            </w:r>
          </w:p>
          <w:p>
            <w:pPr>
              <w:adjustRightInd w:val="0"/>
              <w:snapToGrid w:val="0"/>
              <w:rPr>
                <w:rFonts w:ascii="仿宋_GB2312" w:hAnsi="Times New Roman" w:eastAsia="仿宋_GB2312" w:cs="Times New Roman"/>
                <w:bCs/>
                <w:lang w:bidi="en-US"/>
              </w:rPr>
            </w:pPr>
            <w:r>
              <w:rPr>
                <w:rFonts w:hint="eastAsia" w:ascii="Times New Roman" w:hAnsi="Times New Roman" w:eastAsia="仿宋_GB2312" w:cs="Times New Roman"/>
                <w:lang w:bidi="en-US"/>
              </w:rPr>
              <w:t>2</w:t>
            </w:r>
            <w:r>
              <w:rPr>
                <w:rFonts w:ascii="Times New Roman" w:hAnsi="Times New Roman" w:eastAsia="仿宋_GB2312" w:cs="Times New Roman"/>
                <w:lang w:bidi="en-US"/>
              </w:rPr>
              <w:t>.不得在居民集中区新建垃圾分拣中心等臭气异味影响较大的项目；不得在居民集中区新建涉及易燃易爆物质的大型仓储项目</w:t>
            </w:r>
            <w:r>
              <w:rPr>
                <w:rFonts w:hint="eastAsia" w:ascii="仿宋_GB2312" w:hAnsi="Times New Roman" w:eastAsia="仿宋_GB2312" w:cs="Times New Roman"/>
                <w:lang w:bidi="en-US"/>
              </w:rPr>
              <w:t>。</w:t>
            </w:r>
          </w:p>
        </w:tc>
        <w:tc>
          <w:tcPr>
            <w:tcW w:w="5647" w:type="dxa"/>
            <w:vMerge w:val="restart"/>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b/>
                <w:lang w:bidi="en-US"/>
              </w:rPr>
              <w:t>单元特点：</w:t>
            </w:r>
            <w:r>
              <w:rPr>
                <w:rFonts w:hint="eastAsia" w:ascii="仿宋_GB2312" w:hAnsi="Times New Roman" w:eastAsia="仿宋_GB2312" w:cs="Times New Roman"/>
                <w:lang w:bidi="en-US"/>
              </w:rPr>
              <w:t>该管控单元为阿乐惠镇大气环境受体敏感区</w:t>
            </w:r>
          </w:p>
          <w:p>
            <w:pPr>
              <w:adjustRightInd w:val="0"/>
              <w:snapToGrid w:val="0"/>
              <w:rPr>
                <w:rFonts w:ascii="仿宋_GB2312" w:hAnsi="Times New Roman" w:eastAsia="仿宋_GB2312" w:cs="Times New Roman"/>
                <w:lang w:bidi="en-US"/>
              </w:rPr>
            </w:pPr>
            <w:r>
              <w:rPr>
                <w:rFonts w:hint="eastAsia" w:ascii="仿宋_GB2312" w:hAnsi="仿宋" w:eastAsia="仿宋_GB2312" w:cs="仿宋"/>
                <w:b/>
                <w:lang w:bidi="en-US"/>
              </w:rPr>
              <w:t>要素属性：</w:t>
            </w:r>
            <w:r>
              <w:rPr>
                <w:rFonts w:hint="eastAsia" w:ascii="仿宋_GB2312" w:hAnsi="仿宋" w:eastAsia="仿宋_GB2312" w:cs="仿宋"/>
                <w:lang w:bidi="en-US"/>
              </w:rPr>
              <w:t>大气环境受体敏感区</w:t>
            </w:r>
          </w:p>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
                <w:bCs/>
                <w:lang w:bidi="en-US"/>
              </w:rPr>
              <w:t>相关要求：</w:t>
            </w:r>
            <w:r>
              <w:rPr>
                <w:rFonts w:hint="eastAsia" w:ascii="仿宋_GB2312" w:hAnsi="Times New Roman" w:eastAsia="仿宋_GB2312" w:cs="Times New Roman"/>
                <w:bCs/>
                <w:lang w:bidi="en-US"/>
              </w:rPr>
              <w:t>《吐鲁番市大气环境质量限期达标规划》、《吐鲁番市打赢蓝天保卫战三年行动计划实施方案（2018-2020）》、《</w:t>
            </w:r>
            <w:r>
              <w:rPr>
                <w:rFonts w:hint="eastAsia" w:ascii="仿宋_GB2312" w:hAnsi="仿宋" w:eastAsia="仿宋_GB2312" w:cs="仿宋"/>
                <w:lang w:bidi="en-US"/>
              </w:rPr>
              <w:t>吐鲁番市生态环境保护“十四五”规划</w:t>
            </w:r>
            <w:r>
              <w:rPr>
                <w:rFonts w:hint="eastAsia" w:ascii="仿宋_GB2312" w:hAnsi="Times New Roman" w:eastAsia="仿宋_GB2312" w:cs="Times New Roman"/>
                <w:bCs/>
                <w:lang w:bidi="en-US"/>
              </w:rPr>
              <w:t>》、</w:t>
            </w:r>
            <w:r>
              <w:rPr>
                <w:rFonts w:hint="eastAsia" w:ascii="仿宋_GB2312" w:hAnsi="Times New Roman" w:eastAsia="仿宋_GB2312" w:cs="Times New Roman"/>
                <w:lang w:bidi="en-US"/>
              </w:rPr>
              <w:t>《吐鲁番市水污染防治总体实施方案》、《托克逊县水污染防治方案》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污染物排放管控</w:t>
            </w:r>
          </w:p>
        </w:tc>
        <w:tc>
          <w:tcPr>
            <w:tcW w:w="8930" w:type="dxa"/>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噪声和臭气异味防治。涉臭气异味企业应采取封闭、加盖等收集处理措施，提高臭气废气收集率和处理率，明显减少工业臭气异味排放；完成餐饮油烟综合整治，大中型餐饮企业（包括单位食堂）必须安装高效油烟净化装置并进行定期清洗；严格施工扬尘监管。</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2.加强污水处理设施运行管理，全面加强配套管网建设，推进污泥处理处置。</w:t>
            </w:r>
          </w:p>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3</w:t>
            </w:r>
            <w:r>
              <w:rPr>
                <w:rFonts w:ascii="仿宋_GB2312" w:hAnsi="Times New Roman" w:eastAsia="仿宋_GB2312" w:cs="Times New Roman"/>
                <w:lang w:bidi="en-US"/>
              </w:rPr>
              <w:t>.</w:t>
            </w:r>
            <w:r>
              <w:rPr>
                <w:rFonts w:hint="eastAsia" w:ascii="仿宋_GB2312" w:hAnsi="Times New Roman" w:eastAsia="仿宋_GB2312" w:cs="Times New Roman"/>
                <w:lang w:bidi="en-US"/>
              </w:rPr>
              <w:t>通过经济手段引导供热、供气、供电管网覆盖区域居民减少散煤使用，大力推进“电化农村”建设。逐步将风能、太阳能、电力等清洁能源利用项目扩展到各乡镇。</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推进农业农村污染防治，防治畜禽养殖污染，科学规划布局畜禽养殖，配套建设粪便污水贮存、处理、利用设施，新改扩建规模化畜禽养殖场（小区）要实施雨污分流、粪便污水资源化利用；控制农业面源污染，控制农田化肥农药使用量，大力发展生态循环农业，加快推广测土配方施肥、安全用药、绿色防控、农业废弃物资源化利用等农业清洁生产技术与装备；优化种植业结构与布局；加快农村环境综合整治。</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推进农村生活污水治理。因地制宜，采取“以城带</w:t>
            </w:r>
            <w:r>
              <w:rPr>
                <w:rFonts w:ascii="仿宋_GB2312" w:hAnsi="Times New Roman" w:eastAsia="仿宋_GB2312" w:cs="Times New Roman"/>
                <w:lang w:bidi="en-US"/>
              </w:rPr>
              <w:t>村” 、“以乡（镇）带</w:t>
            </w:r>
            <w:r>
              <w:rPr>
                <w:rFonts w:hint="eastAsia" w:ascii="仿宋_GB2312" w:hAnsi="Times New Roman" w:eastAsia="仿宋_GB2312" w:cs="Times New Roman"/>
                <w:lang w:bidi="en-US"/>
              </w:rPr>
              <w:t>村</w:t>
            </w:r>
            <w:r>
              <w:rPr>
                <w:rFonts w:ascii="仿宋_GB2312" w:hAnsi="Times New Roman" w:eastAsia="仿宋_GB2312" w:cs="Times New Roman"/>
                <w:lang w:bidi="en-US"/>
              </w:rPr>
              <w:t>”</w:t>
            </w:r>
            <w:r>
              <w:rPr>
                <w:rFonts w:hint="eastAsia" w:ascii="仿宋_GB2312" w:hAnsi="Times New Roman" w:eastAsia="仿宋_GB2312" w:cs="Times New Roman"/>
                <w:lang w:bidi="en-US"/>
              </w:rPr>
              <w:t>、</w:t>
            </w:r>
            <w:r>
              <w:rPr>
                <w:rFonts w:ascii="仿宋_GB2312" w:hAnsi="Times New Roman" w:eastAsia="仿宋_GB2312" w:cs="Times New Roman"/>
                <w:lang w:bidi="en-US"/>
              </w:rPr>
              <w:t xml:space="preserve"> “联村” 、“单村” 、“联户” 、“单户”等多种方式，实</w:t>
            </w:r>
            <w:r>
              <w:rPr>
                <w:rFonts w:hint="eastAsia" w:ascii="仿宋_GB2312" w:hAnsi="Times New Roman" w:eastAsia="仿宋_GB2312" w:cs="Times New Roman"/>
                <w:lang w:bidi="en-US"/>
              </w:rPr>
              <w:t>施农村生活污水治理工程，合理布局，科学设计。</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环境风险防控</w:t>
            </w:r>
          </w:p>
        </w:tc>
        <w:tc>
          <w:tcPr>
            <w:tcW w:w="8930" w:type="dxa"/>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1.紧邻居住、科教、医院等环境敏感点的工业用地，禁止新建环境风险潜势等级高于Ⅲ级的建设项目。</w:t>
            </w:r>
          </w:p>
          <w:p>
            <w:pPr>
              <w:adjustRightInd w:val="0"/>
              <w:snapToGrid w:val="0"/>
              <w:rPr>
                <w:rFonts w:ascii="仿宋_GB2312" w:hAnsi="Times New Roman" w:eastAsia="仿宋_GB2312" w:cs="Times New Roman"/>
                <w:highlight w:val="yellow"/>
                <w:lang w:bidi="en-US"/>
              </w:rPr>
            </w:pPr>
            <w:r>
              <w:rPr>
                <w:rFonts w:ascii="仿宋_GB2312" w:hAnsi="Times New Roman" w:eastAsia="仿宋_GB2312" w:cs="Times New Roman"/>
                <w:lang w:bidi="en-US"/>
              </w:rPr>
              <w:t>2. 严格管控易导致环境风险的有毒有害和易燃易爆物质的使用和贮运，涉及此类物质的项目必须编制风险应急预案</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强化企业环境风险防范设施设备建设和正常运行监管，建立常态化的企业隐患排查整治监管机制，涉危的风险企业应及时编制环境风险应急预案并定期更新，每年至少开展一次应急演练。强化应急物资储备和救援队伍建设。</w:t>
            </w:r>
          </w:p>
          <w:p>
            <w:pPr>
              <w:adjustRightInd w:val="0"/>
              <w:snapToGrid w:val="0"/>
              <w:rPr>
                <w:rFonts w:ascii="仿宋_GB2312" w:hAnsi="Times New Roman" w:eastAsia="仿宋_GB2312" w:cs="Times New Roman"/>
                <w:bCs/>
                <w:lang w:bidi="en-US"/>
              </w:rPr>
            </w:pPr>
            <w:r>
              <w:rPr>
                <w:rFonts w:ascii="仿宋_GB2312" w:hAnsi="Times New Roman" w:eastAsia="仿宋_GB2312" w:cs="Times New Roman"/>
                <w:lang w:bidi="en-US"/>
              </w:rPr>
              <w:t>4.加强风险防控体系建设，防范环境风险。稳妥处置突发环境污染事件，制定和完善水污染事故处置应急预案，强化危险源、敏感点的监测、分析、预测、预警。</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2210" w:type="dxa"/>
            <w:vMerge w:val="continue"/>
            <w:vAlign w:val="center"/>
          </w:tcPr>
          <w:p>
            <w:pPr>
              <w:adjustRightInd w:val="0"/>
              <w:snapToGrid w:val="0"/>
              <w:rPr>
                <w:rFonts w:ascii="仿宋_GB2312" w:hAnsi="Times New Roman" w:eastAsia="仿宋_GB2312" w:cs="Times New Roman"/>
                <w:bCs/>
                <w:lang w:bidi="en-US"/>
              </w:rPr>
            </w:pPr>
          </w:p>
        </w:tc>
        <w:tc>
          <w:tcPr>
            <w:tcW w:w="1974" w:type="dxa"/>
            <w:vMerge w:val="continue"/>
            <w:vAlign w:val="center"/>
          </w:tcPr>
          <w:p>
            <w:pPr>
              <w:adjustRightInd w:val="0"/>
              <w:snapToGrid w:val="0"/>
              <w:rPr>
                <w:rFonts w:ascii="仿宋_GB2312" w:hAnsi="Times New Roman" w:eastAsia="仿宋_GB2312" w:cs="Times New Roman"/>
                <w:bCs/>
                <w:lang w:bidi="en-US"/>
              </w:rPr>
            </w:pPr>
          </w:p>
        </w:tc>
        <w:tc>
          <w:tcPr>
            <w:tcW w:w="1198" w:type="dxa"/>
            <w:vMerge w:val="continue"/>
            <w:vAlign w:val="center"/>
          </w:tcPr>
          <w:p>
            <w:pPr>
              <w:adjustRightInd w:val="0"/>
              <w:snapToGrid w:val="0"/>
              <w:rPr>
                <w:rFonts w:ascii="仿宋_GB2312" w:hAnsi="Times New Roman" w:eastAsia="仿宋_GB2312" w:cs="Times New Roman"/>
                <w:bCs/>
                <w:lang w:bidi="en-US"/>
              </w:rPr>
            </w:pPr>
          </w:p>
        </w:tc>
        <w:tc>
          <w:tcPr>
            <w:tcW w:w="1134" w:type="dxa"/>
            <w:shd w:val="clear" w:color="auto" w:fill="auto"/>
            <w:vAlign w:val="center"/>
          </w:tcPr>
          <w:p>
            <w:pPr>
              <w:adjustRightInd w:val="0"/>
              <w:snapToGrid w:val="0"/>
              <w:rPr>
                <w:rFonts w:ascii="仿宋_GB2312" w:hAnsi="Times New Roman" w:eastAsia="仿宋_GB2312" w:cs="Times New Roman"/>
                <w:bCs/>
                <w:lang w:bidi="en-US"/>
              </w:rPr>
            </w:pPr>
            <w:r>
              <w:rPr>
                <w:rFonts w:hint="eastAsia" w:ascii="仿宋_GB2312" w:hAnsi="Times New Roman" w:eastAsia="仿宋_GB2312" w:cs="Times New Roman"/>
                <w:bCs/>
                <w:lang w:bidi="en-US"/>
              </w:rPr>
              <w:t>资源利用效率</w:t>
            </w:r>
          </w:p>
        </w:tc>
        <w:tc>
          <w:tcPr>
            <w:tcW w:w="8930" w:type="dxa"/>
            <w:shd w:val="clear" w:color="auto" w:fill="auto"/>
          </w:tcPr>
          <w:p>
            <w:pPr>
              <w:adjustRightInd w:val="0"/>
              <w:snapToGrid w:val="0"/>
              <w:rPr>
                <w:rFonts w:ascii="仿宋_GB2312" w:hAnsi="Times New Roman" w:eastAsia="仿宋_GB2312" w:cs="Times New Roman"/>
                <w:bCs/>
                <w:lang w:bidi="en-US"/>
              </w:rPr>
            </w:pPr>
            <w:r>
              <w:rPr>
                <w:rFonts w:ascii="Times New Roman" w:hAnsi="Times New Roman" w:eastAsia="仿宋_GB2312" w:cs="Times New Roman"/>
                <w:lang w:bidi="en-US"/>
              </w:rPr>
              <w:t>全面开展节水型社会建设，推进节水产品推广普及，限制高耗水服务业用水</w:t>
            </w:r>
            <w:r>
              <w:rPr>
                <w:rFonts w:hint="eastAsia" w:ascii="仿宋_GB2312" w:hAnsi="Times New Roman" w:eastAsia="仿宋_GB2312" w:cs="Times New Roman"/>
                <w:lang w:bidi="en-US"/>
              </w:rPr>
              <w:t>。</w:t>
            </w:r>
          </w:p>
        </w:tc>
        <w:tc>
          <w:tcPr>
            <w:tcW w:w="5647" w:type="dxa"/>
            <w:vMerge w:val="continue"/>
            <w:shd w:val="clear" w:color="auto" w:fill="auto"/>
            <w:vAlign w:val="center"/>
          </w:tcPr>
          <w:p>
            <w:pPr>
              <w:adjustRightInd w:val="0"/>
              <w:snapToGrid w:val="0"/>
              <w:rPr>
                <w:rFonts w:ascii="仿宋_GB2312" w:hAnsi="Times New Roman" w:eastAsia="仿宋_GB2312" w:cs="Times New Roman"/>
                <w:bCs/>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vMerge w:val="restart"/>
            <w:shd w:val="clear" w:color="auto" w:fill="auto"/>
            <w:vAlign w:val="center"/>
          </w:tcPr>
          <w:p>
            <w:pPr>
              <w:adjustRightInd w:val="0"/>
              <w:snapToGrid w:val="0"/>
              <w:jc w:val="center"/>
              <w:rPr>
                <w:rFonts w:ascii="仿宋_GB2312" w:hAnsi="Times New Roman" w:eastAsia="仿宋_GB2312" w:cs="Times New Roman"/>
                <w:lang w:bidi="en-US"/>
              </w:rPr>
            </w:pPr>
            <w:bookmarkStart w:id="32" w:name="_Hlk71673200"/>
            <w:r>
              <w:rPr>
                <w:rFonts w:hint="eastAsia" w:ascii="仿宋_GB2312" w:hAnsi="Times New Roman" w:eastAsia="仿宋_GB2312" w:cs="Times New Roman"/>
                <w:lang w:bidi="en-US"/>
              </w:rPr>
              <w:t>ZH65042230001</w:t>
            </w:r>
          </w:p>
        </w:tc>
        <w:tc>
          <w:tcPr>
            <w:tcW w:w="1974"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托克逊县大气环境布局敏感一般管控单元</w:t>
            </w:r>
          </w:p>
        </w:tc>
        <w:tc>
          <w:tcPr>
            <w:tcW w:w="1198"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一般管控单元</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30" w:type="dxa"/>
            <w:tcBorders>
              <w:top w:val="single" w:color="auto" w:sz="4" w:space="0"/>
              <w:left w:val="single" w:color="auto" w:sz="4" w:space="0"/>
              <w:bottom w:val="single" w:color="auto" w:sz="4" w:space="0"/>
              <w:right w:val="single" w:color="auto" w:sz="4" w:space="0"/>
            </w:tcBorders>
            <w:shd w:val="clear" w:color="auto" w:fill="auto"/>
          </w:tcPr>
          <w:p>
            <w:pPr>
              <w:pStyle w:val="45"/>
              <w:adjustRightInd w:val="0"/>
              <w:snapToGrid w:val="0"/>
              <w:ind w:firstLine="0" w:firstLineChars="0"/>
              <w:rPr>
                <w:rFonts w:ascii="仿宋_GB2312" w:hAnsi="Times New Roman" w:eastAsia="仿宋_GB2312" w:cs="Times New Roman"/>
                <w:lang w:bidi="en-US"/>
              </w:rPr>
            </w:pPr>
            <w:r>
              <w:rPr>
                <w:rFonts w:hint="eastAsia" w:ascii="仿宋_GB2312" w:hAnsi="Times New Roman" w:eastAsia="仿宋_GB2312" w:cs="Times New Roman"/>
                <w:lang w:bidi="en-US"/>
              </w:rPr>
              <w:t>1</w:t>
            </w:r>
            <w:r>
              <w:rPr>
                <w:rFonts w:ascii="仿宋_GB2312" w:hAnsi="Times New Roman" w:eastAsia="仿宋_GB2312" w:cs="Times New Roman"/>
                <w:lang w:bidi="en-US"/>
              </w:rPr>
              <w:t>.</w:t>
            </w:r>
            <w:r>
              <w:rPr>
                <w:rFonts w:hint="eastAsia" w:ascii="仿宋_GB2312" w:hAnsi="Times New Roman" w:eastAsia="仿宋_GB2312" w:cs="Times New Roman"/>
                <w:lang w:bidi="en-US"/>
              </w:rPr>
              <w:t>禁止布置工业园区或工业集聚区。</w:t>
            </w:r>
          </w:p>
          <w:p>
            <w:pPr>
              <w:pStyle w:val="45"/>
              <w:adjustRightInd w:val="0"/>
              <w:snapToGrid w:val="0"/>
              <w:ind w:firstLine="0" w:firstLineChars="0"/>
              <w:rPr>
                <w:rFonts w:ascii="仿宋_GB2312" w:hAnsi="Times New Roman" w:eastAsia="仿宋_GB2312" w:cs="Times New Roman"/>
                <w:lang w:bidi="en-US"/>
              </w:rPr>
            </w:pPr>
            <w:r>
              <w:rPr>
                <w:rFonts w:hint="eastAsia" w:ascii="仿宋_GB2312" w:hAnsi="Times New Roman" w:eastAsia="仿宋_GB2312" w:cs="Times New Roman"/>
                <w:lang w:bidi="en-US"/>
              </w:rPr>
              <w:t>2</w:t>
            </w:r>
            <w:r>
              <w:rPr>
                <w:rFonts w:ascii="仿宋_GB2312" w:hAnsi="Times New Roman" w:eastAsia="仿宋_GB2312" w:cs="Times New Roman"/>
                <w:lang w:bidi="en-US"/>
              </w:rPr>
              <w:t>.禁止新增</w:t>
            </w:r>
            <w:r>
              <w:rPr>
                <w:rFonts w:hint="eastAsia" w:ascii="仿宋_GB2312" w:hAnsi="Times New Roman" w:eastAsia="仿宋_GB2312" w:cs="Times New Roman"/>
                <w:lang w:bidi="en-US"/>
              </w:rPr>
              <w:t>传统</w:t>
            </w:r>
            <w:r>
              <w:rPr>
                <w:rFonts w:ascii="仿宋_GB2312" w:hAnsi="Times New Roman" w:eastAsia="仿宋_GB2312" w:cs="Times New Roman"/>
                <w:lang w:bidi="en-US"/>
              </w:rPr>
              <w:t>燃煤的工业项目；禁止准入</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ascii="仿宋_GB2312" w:hAnsi="Times New Roman" w:eastAsia="仿宋_GB2312" w:cs="Times New Roman"/>
                <w:lang w:bidi="en-US"/>
              </w:rPr>
              <w:t>三类工业项目；禁止准入包装印刷、工业涂装等高VOCs排放建设项目</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不得建设大规模涉及有毒有害气体的生产、使用、储运等的项目。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限制</w:t>
            </w:r>
            <w:r>
              <w:rPr>
                <w:rFonts w:hint="eastAsia" w:ascii="仿宋_GB2312" w:hAnsi="仿宋" w:eastAsia="仿宋_GB2312" w:cs="仿宋"/>
                <w:bCs/>
                <w:lang w:bidi="en-US"/>
              </w:rPr>
              <w:t>金属压延加工、含有电镀/喷漆等表面处理工艺的金属制品加工制造（喷漆工艺指使用油性漆量（含稀释剂）</w:t>
            </w:r>
            <w:r>
              <w:rPr>
                <w:rFonts w:ascii="仿宋_GB2312" w:hAnsi="仿宋" w:eastAsia="仿宋_GB2312" w:cs="仿宋"/>
                <w:bCs/>
                <w:lang w:bidi="en-US"/>
              </w:rPr>
              <w:t>10吨及以上</w:t>
            </w:r>
            <w:r>
              <w:rPr>
                <w:rFonts w:hint="eastAsia" w:ascii="仿宋_GB2312" w:hAnsi="仿宋" w:eastAsia="仿宋_GB2312" w:cs="仿宋"/>
                <w:bCs/>
                <w:lang w:bidi="en-US"/>
              </w:rPr>
              <w:t>）</w:t>
            </w:r>
            <w:r>
              <w:rPr>
                <w:rFonts w:hint="eastAsia"/>
              </w:rPr>
              <w:t>等</w:t>
            </w:r>
            <w:r>
              <w:rPr>
                <w:rFonts w:hint="eastAsia" w:ascii="仿宋_GB2312" w:hAnsi="Times New Roman" w:eastAsia="仿宋_GB2312" w:cs="Times New Roman"/>
                <w:lang w:bidi="en-US"/>
              </w:rPr>
              <w:t>涉气二类工业项目，</w:t>
            </w:r>
            <w:r>
              <w:rPr>
                <w:rFonts w:ascii="仿宋_GB2312" w:hAnsi="Times New Roman" w:eastAsia="仿宋_GB2312" w:cs="Times New Roman"/>
                <w:lang w:bidi="en-US"/>
              </w:rPr>
              <w:t>新建</w:t>
            </w:r>
            <w:r>
              <w:rPr>
                <w:rFonts w:hint="eastAsia" w:ascii="仿宋_GB2312" w:hAnsi="Times New Roman" w:eastAsia="仿宋_GB2312" w:cs="Times New Roman"/>
                <w:lang w:bidi="en-US"/>
              </w:rPr>
              <w:t>、扩建</w:t>
            </w:r>
            <w:r>
              <w:rPr>
                <w:rFonts w:ascii="仿宋_GB2312" w:hAnsi="Times New Roman" w:eastAsia="仿宋_GB2312" w:cs="Times New Roman"/>
                <w:lang w:bidi="en-US"/>
              </w:rPr>
              <w:t>二类工业项目污染物排放水平要达到同行业国内先进水平</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5.现有</w:t>
            </w:r>
            <w:r>
              <w:rPr>
                <w:rFonts w:hint="eastAsia" w:ascii="仿宋_GB2312" w:hAnsi="仿宋" w:eastAsia="仿宋_GB2312" w:cs="仿宋"/>
                <w:bCs/>
                <w:lang w:bidi="en-US"/>
              </w:rPr>
              <w:t>原油加工、天然气加工、油母页岩提炼原油、煤制原油及其他石油制品、煤化工、炼焦、煤炭热解、电石、除单纯混合和分装外的化学原料制造、化学品制造、炼钢、炼铁、金属冶炼等</w:t>
            </w:r>
            <w:r>
              <w:rPr>
                <w:rFonts w:ascii="仿宋_GB2312" w:hAnsi="Times New Roman" w:eastAsia="仿宋_GB2312" w:cs="Times New Roman"/>
                <w:lang w:bidi="en-US"/>
              </w:rPr>
              <w:t>三类工业项目应限期退出或关停</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6.</w:t>
            </w:r>
            <w:r>
              <w:rPr>
                <w:rFonts w:hint="eastAsia" w:ascii="仿宋_GB2312" w:hAnsi="Times New Roman" w:eastAsia="仿宋_GB2312" w:cs="Times New Roman"/>
                <w:lang w:bidi="en-US"/>
              </w:rPr>
              <w:t>推进新能源的开发和利用，鼓励发展风力发电和太阳能发电。</w:t>
            </w:r>
          </w:p>
        </w:tc>
        <w:tc>
          <w:tcPr>
            <w:tcW w:w="5647" w:type="dxa"/>
            <w:vMerge w:val="restart"/>
            <w:tcBorders>
              <w:top w:val="single" w:color="auto" w:sz="4" w:space="0"/>
              <w:left w:val="single" w:color="auto" w:sz="4" w:space="0"/>
              <w:right w:val="single" w:color="auto" w:sz="4" w:space="0"/>
            </w:tcBorders>
            <w:vAlign w:val="center"/>
          </w:tcPr>
          <w:p>
            <w:pPr>
              <w:adjustRightInd w:val="0"/>
              <w:snapToGrid w:val="0"/>
              <w:rPr>
                <w:rFonts w:ascii="仿宋_GB2312" w:hAnsi="仿宋" w:eastAsia="仿宋_GB2312" w:cs="仿宋"/>
                <w:lang w:bidi="en-US"/>
              </w:rPr>
            </w:pPr>
            <w:r>
              <w:rPr>
                <w:rFonts w:hint="eastAsia" w:ascii="仿宋_GB2312" w:hAnsi="仿宋" w:eastAsia="仿宋_GB2312" w:cs="仿宋"/>
                <w:b/>
                <w:lang w:bidi="en-US"/>
              </w:rPr>
              <w:t>单元特点：</w:t>
            </w:r>
            <w:r>
              <w:rPr>
                <w:rFonts w:hint="eastAsia" w:ascii="仿宋_GB2312" w:hAnsi="仿宋" w:eastAsia="仿宋_GB2312" w:cs="仿宋"/>
                <w:lang w:bidi="en-US"/>
              </w:rPr>
              <w:t>布局敏感区</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要素属性：</w:t>
            </w:r>
            <w:r>
              <w:rPr>
                <w:rFonts w:hint="eastAsia" w:ascii="仿宋_GB2312" w:hAnsi="仿宋" w:eastAsia="仿宋_GB2312" w:cs="仿宋"/>
                <w:lang w:bidi="en-US"/>
              </w:rPr>
              <w:t>大气布局敏感区</w:t>
            </w:r>
          </w:p>
          <w:p>
            <w:pPr>
              <w:adjustRightInd w:val="0"/>
              <w:snapToGrid w:val="0"/>
              <w:rPr>
                <w:rFonts w:ascii="仿宋_GB2312" w:hAnsi="Times New Roman" w:eastAsia="仿宋_GB2312" w:cs="Times New Roman"/>
                <w:lang w:bidi="en-US"/>
              </w:rPr>
            </w:pPr>
            <w:r>
              <w:rPr>
                <w:rFonts w:hint="eastAsia" w:ascii="仿宋_GB2312" w:hAnsi="仿宋" w:eastAsia="仿宋_GB2312" w:cs="仿宋"/>
                <w:b/>
                <w:lang w:bidi="en-US"/>
              </w:rPr>
              <w:t>相关要求：</w:t>
            </w:r>
            <w:r>
              <w:rPr>
                <w:rFonts w:hint="eastAsia" w:ascii="仿宋_GB2312" w:hAnsi="仿宋" w:eastAsia="仿宋_GB2312" w:cs="仿宋"/>
                <w:lang w:bidi="en-US"/>
              </w:rPr>
              <w:t>《吐鲁番市大气环境质量限期达标规划》、《吐鲁番市打赢蓝天保卫战三年行动计划实施方案》、《吐鲁番市生态环境保护“十四五”规划》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4"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98"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污染物排放管控</w:t>
            </w:r>
          </w:p>
        </w:tc>
        <w:tc>
          <w:tcPr>
            <w:tcW w:w="8930" w:type="dxa"/>
            <w:tcBorders>
              <w:top w:val="single" w:color="auto" w:sz="4" w:space="0"/>
              <w:left w:val="single" w:color="auto" w:sz="4" w:space="0"/>
              <w:bottom w:val="single" w:color="auto" w:sz="4" w:space="0"/>
              <w:right w:val="single" w:color="auto" w:sz="4" w:space="0"/>
            </w:tcBorders>
            <w:shd w:val="clear" w:color="auto" w:fill="auto"/>
          </w:tcPr>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1.</w:t>
            </w:r>
            <w:r>
              <w:rPr>
                <w:rFonts w:hint="eastAsia" w:ascii="仿宋_GB2312" w:hAnsi="Times New Roman" w:eastAsia="仿宋_GB2312" w:cs="Times New Roman"/>
                <w:lang w:bidi="en-US"/>
              </w:rPr>
              <w:t>对</w:t>
            </w:r>
            <w:r>
              <w:rPr>
                <w:rFonts w:ascii="仿宋_GB2312" w:hAnsi="Times New Roman" w:eastAsia="仿宋_GB2312" w:cs="Times New Roman"/>
                <w:lang w:bidi="en-US"/>
              </w:rPr>
              <w:t>SO</w:t>
            </w:r>
            <w:r>
              <w:rPr>
                <w:rFonts w:ascii="仿宋_GB2312" w:hAnsi="Times New Roman" w:eastAsia="仿宋_GB2312" w:cs="Times New Roman"/>
                <w:vertAlign w:val="subscript"/>
                <w:lang w:bidi="en-US"/>
              </w:rPr>
              <w:t>2</w:t>
            </w:r>
            <w:r>
              <w:rPr>
                <w:rFonts w:hint="eastAsia" w:ascii="仿宋_GB2312" w:hAnsi="Times New Roman" w:eastAsia="仿宋_GB2312" w:cs="Times New Roman"/>
                <w:lang w:bidi="en-US"/>
              </w:rPr>
              <w:t>、</w:t>
            </w:r>
            <w:r>
              <w:rPr>
                <w:rFonts w:ascii="仿宋_GB2312" w:hAnsi="Times New Roman" w:eastAsia="仿宋_GB2312" w:cs="Times New Roman"/>
                <w:lang w:bidi="en-US"/>
              </w:rPr>
              <w:t>NO</w:t>
            </w:r>
            <w:r>
              <w:rPr>
                <w:rFonts w:ascii="仿宋_GB2312" w:hAnsi="Times New Roman" w:eastAsia="仿宋_GB2312" w:cs="Times New Roman"/>
                <w:vertAlign w:val="subscript"/>
                <w:lang w:bidi="en-US"/>
              </w:rPr>
              <w:t>X</w:t>
            </w:r>
            <w:r>
              <w:rPr>
                <w:rFonts w:hint="eastAsia" w:ascii="仿宋_GB2312" w:hAnsi="Times New Roman" w:eastAsia="仿宋_GB2312" w:cs="Times New Roman"/>
                <w:lang w:bidi="en-US"/>
              </w:rPr>
              <w:t>、烟尘和V</w:t>
            </w:r>
            <w:r>
              <w:rPr>
                <w:rFonts w:ascii="仿宋_GB2312" w:hAnsi="Times New Roman" w:eastAsia="仿宋_GB2312" w:cs="Times New Roman"/>
                <w:lang w:bidi="en-US"/>
              </w:rPr>
              <w:t>OC</w:t>
            </w:r>
            <w:r>
              <w:rPr>
                <w:rFonts w:hint="eastAsia" w:ascii="仿宋_GB2312" w:hAnsi="Times New Roman" w:eastAsia="仿宋_GB2312" w:cs="Times New Roman"/>
                <w:lang w:bidi="en-US"/>
              </w:rPr>
              <w:t>s进行总量控制，新增工业项目所需的总量需在单元内平衡。</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2.新、改、扩建涉VOCs排放项目，应从源头加强控制，使用低（无）VOCs含量的原辅材料，加强废气收集，安装高效治理设施，废气收集率和处理率均达到国内先进水平。</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加快推进集中供热、煤改气、煤改电工程。</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因地制宜制定实施清洁取暖方案，实行散煤清洁化改造整村推进。通过以电代煤、气代煤以及风能、太阳能、地热能等清洁能源替代。</w:t>
            </w:r>
          </w:p>
        </w:tc>
        <w:tc>
          <w:tcPr>
            <w:tcW w:w="5647" w:type="dxa"/>
            <w:vMerge w:val="continue"/>
            <w:tcBorders>
              <w:left w:val="single" w:color="auto" w:sz="4" w:space="0"/>
              <w:right w:val="single" w:color="auto" w:sz="4" w:space="0"/>
            </w:tcBorders>
            <w:vAlign w:val="center"/>
          </w:tcPr>
          <w:p>
            <w:pPr>
              <w:adjustRightInd w:val="0"/>
              <w:snapToGrid w:val="0"/>
              <w:jc w:val="center"/>
              <w:rPr>
                <w:rFonts w:ascii="仿宋_GB2312" w:hAnsi="Times New Roman" w:eastAsia="仿宋_GB2312" w:cs="Times New Roman"/>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4"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98"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环境风险防控</w:t>
            </w:r>
          </w:p>
        </w:tc>
        <w:tc>
          <w:tcPr>
            <w:tcW w:w="8930" w:type="dxa"/>
            <w:tcBorders>
              <w:top w:val="single" w:color="auto" w:sz="4" w:space="0"/>
              <w:left w:val="single" w:color="auto" w:sz="4" w:space="0"/>
              <w:bottom w:val="single" w:color="auto" w:sz="4" w:space="0"/>
              <w:right w:val="single" w:color="auto" w:sz="4" w:space="0"/>
            </w:tcBorders>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1.强化企业环境风险防范设施设备建设和正常运行监管，建立常态化的企业隐患排查整治监管机制，涉危的风险企业应及时编制环境风险应急预案并定期更新，每年至少开展一次应急演练。</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.加强风险防控体系建设，防范环境风险</w:t>
            </w:r>
          </w:p>
        </w:tc>
        <w:tc>
          <w:tcPr>
            <w:tcW w:w="5647" w:type="dxa"/>
            <w:vMerge w:val="continue"/>
            <w:tcBorders>
              <w:left w:val="single" w:color="auto" w:sz="4" w:space="0"/>
              <w:right w:val="single" w:color="auto" w:sz="4" w:space="0"/>
            </w:tcBorders>
            <w:vAlign w:val="center"/>
          </w:tcPr>
          <w:p>
            <w:pPr>
              <w:adjustRightInd w:val="0"/>
              <w:snapToGrid w:val="0"/>
              <w:jc w:val="center"/>
              <w:rPr>
                <w:rFonts w:ascii="仿宋_GB2312" w:hAnsi="Times New Roman" w:eastAsia="仿宋_GB2312" w:cs="Times New Roman"/>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4"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98"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资源利用效率</w:t>
            </w:r>
          </w:p>
        </w:tc>
        <w:tc>
          <w:tcPr>
            <w:tcW w:w="8930" w:type="dxa"/>
            <w:tcBorders>
              <w:top w:val="single" w:color="auto" w:sz="4" w:space="0"/>
              <w:left w:val="single" w:color="auto" w:sz="4" w:space="0"/>
              <w:bottom w:val="single" w:color="auto" w:sz="4" w:space="0"/>
              <w:right w:val="single" w:color="auto" w:sz="4" w:space="0"/>
            </w:tcBorders>
            <w:shd w:val="clear" w:color="auto" w:fill="auto"/>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1.加强煤炭安全绿色开发和清洁高效利用，推广使用优质煤、洁净型煤。</w:t>
            </w:r>
          </w:p>
        </w:tc>
        <w:tc>
          <w:tcPr>
            <w:tcW w:w="5647" w:type="dxa"/>
            <w:vMerge w:val="continue"/>
            <w:tcBorders>
              <w:left w:val="single" w:color="auto" w:sz="4" w:space="0"/>
              <w:bottom w:val="single" w:color="auto" w:sz="4" w:space="0"/>
              <w:right w:val="single" w:color="auto" w:sz="4" w:space="0"/>
            </w:tcBorders>
            <w:vAlign w:val="center"/>
          </w:tcPr>
          <w:p>
            <w:pPr>
              <w:adjustRightInd w:val="0"/>
              <w:snapToGrid w:val="0"/>
              <w:jc w:val="center"/>
              <w:rPr>
                <w:rFonts w:ascii="仿宋_GB2312" w:hAnsi="Times New Roman" w:eastAsia="仿宋_GB2312" w:cs="Times New Roman"/>
                <w:lang w:bidi="en-US"/>
              </w:rPr>
            </w:pPr>
          </w:p>
        </w:tc>
      </w:tr>
      <w:bookmarkEnd w:id="3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ZH6504223000</w:t>
            </w:r>
            <w:r>
              <w:rPr>
                <w:rFonts w:ascii="仿宋_GB2312" w:hAnsi="Times New Roman" w:eastAsia="仿宋_GB2312" w:cs="Times New Roman"/>
                <w:lang w:bidi="en-US"/>
              </w:rPr>
              <w:t>2</w:t>
            </w:r>
          </w:p>
        </w:tc>
        <w:tc>
          <w:tcPr>
            <w:tcW w:w="1974"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托克逊县其他一般管控单元01</w:t>
            </w:r>
          </w:p>
        </w:tc>
        <w:tc>
          <w:tcPr>
            <w:tcW w:w="1198"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一般管控单元</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3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1.原则上禁止建设涉及一类重金属、持久性有机污染物排放的工业项目。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限制进行大规模高强度工业化、城镇化开发，严格控制金属冶炼、石油化工、焦化等“高污染、高环境风险产品”工业项目，原则上不增加产能。现有“高污染、高环境风险产品”工业项目持续削减污染物排放总量并严格控制环境风险。</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推进新能源的开发和利用，鼓励发展风力发电和太阳能发电。</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.建立集镇居住商业区、耕地保护区与工业功能区等集聚区块之间的防护带。</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严格执行畜禽养殖禁养区规定，根据区域用地和消纳水平，合理确定养殖规模。加强基本农田保护，严格限制非农项目占用耕地。</w:t>
            </w:r>
          </w:p>
        </w:tc>
        <w:tc>
          <w:tcPr>
            <w:tcW w:w="5647" w:type="dxa"/>
            <w:vMerge w:val="restart"/>
            <w:tcBorders>
              <w:top w:val="single" w:color="auto" w:sz="4" w:space="0"/>
              <w:left w:val="single" w:color="auto" w:sz="4" w:space="0"/>
              <w:right w:val="single" w:color="auto" w:sz="4" w:space="0"/>
            </w:tcBorders>
            <w:vAlign w:val="center"/>
          </w:tcPr>
          <w:p>
            <w:pPr>
              <w:adjustRightInd w:val="0"/>
              <w:snapToGrid w:val="0"/>
              <w:rPr>
                <w:rFonts w:ascii="仿宋_GB2312" w:hAnsi="仿宋" w:eastAsia="仿宋_GB2312" w:cs="仿宋"/>
                <w:lang w:bidi="en-US"/>
              </w:rPr>
            </w:pPr>
            <w:r>
              <w:rPr>
                <w:rFonts w:hint="eastAsia" w:ascii="仿宋_GB2312" w:hAnsi="仿宋" w:eastAsia="仿宋_GB2312" w:cs="仿宋"/>
                <w:b/>
                <w:lang w:bidi="en-US"/>
              </w:rPr>
              <w:t>要素属性：</w:t>
            </w:r>
            <w:r>
              <w:rPr>
                <w:rFonts w:hint="eastAsia" w:ascii="仿宋_GB2312" w:hAnsi="仿宋" w:eastAsia="仿宋_GB2312" w:cs="仿宋"/>
                <w:lang w:bidi="en-US"/>
              </w:rPr>
              <w:t>一般管控区</w:t>
            </w:r>
          </w:p>
          <w:p>
            <w:pPr>
              <w:adjustRightInd w:val="0"/>
              <w:snapToGrid w:val="0"/>
              <w:rPr>
                <w:rFonts w:ascii="仿宋_GB2312" w:hAnsi="Calibri" w:eastAsia="仿宋_GB2312" w:cs="Times New Roman"/>
                <w:lang w:bidi="en-US"/>
              </w:rPr>
            </w:pPr>
            <w:r>
              <w:rPr>
                <w:rFonts w:hint="eastAsia" w:ascii="仿宋_GB2312" w:hAnsi="仿宋" w:eastAsia="仿宋_GB2312" w:cs="仿宋"/>
                <w:b/>
                <w:lang w:bidi="en-US"/>
              </w:rPr>
              <w:t>相关要求：</w:t>
            </w:r>
            <w:r>
              <w:rPr>
                <w:rFonts w:hint="eastAsia" w:ascii="仿宋_GB2312" w:hAnsi="仿宋_GB2312" w:eastAsia="仿宋_GB2312" w:cs="仿宋_GB2312"/>
              </w:rPr>
              <w:t>《基本农田保护条例》、《农用地土壤环境管理办法》、</w:t>
            </w:r>
            <w:r>
              <w:rPr>
                <w:rFonts w:hint="eastAsia" w:ascii="仿宋_GB2312" w:hAnsi="仿宋" w:eastAsia="仿宋_GB2312" w:cs="仿宋"/>
                <w:lang w:bidi="en-US"/>
              </w:rPr>
              <w:t>《吐鲁番市生态环境保护“十四五”规划》、《吐鲁番市大气环境质量限期达标规划》、《吐鲁番市打赢蓝天保卫战三年行动计划实施方案（</w:t>
            </w:r>
            <w:r>
              <w:rPr>
                <w:rFonts w:ascii="仿宋_GB2312" w:hAnsi="仿宋" w:eastAsia="仿宋_GB2312" w:cs="仿宋"/>
                <w:lang w:bidi="en-US"/>
              </w:rPr>
              <w:t>2018-2020）》</w:t>
            </w:r>
            <w:r>
              <w:rPr>
                <w:rFonts w:hint="eastAsia" w:ascii="仿宋_GB2312" w:hAnsi="仿宋" w:eastAsia="仿宋_GB2312" w:cs="仿宋"/>
                <w:lang w:bidi="en-US"/>
              </w:rPr>
              <w:t>、《吐鲁番市水污染防治总体实施方案》</w:t>
            </w:r>
          </w:p>
          <w:p>
            <w:pPr>
              <w:adjustRightInd w:val="0"/>
              <w:snapToGrid w:val="0"/>
              <w:rPr>
                <w:rFonts w:ascii="仿宋_GB2312" w:hAnsi="Times New Roman" w:eastAsia="仿宋_GB2312" w:cs="Times New Roman"/>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4"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98"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污染物排放管控</w:t>
            </w:r>
          </w:p>
        </w:tc>
        <w:tc>
          <w:tcPr>
            <w:tcW w:w="893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bCs/>
              </w:rPr>
              <w:t>1</w:t>
            </w:r>
            <w:r>
              <w:rPr>
                <w:rFonts w:ascii="Times New Roman" w:hAnsi="Times New Roman" w:eastAsia="仿宋_GB2312" w:cs="Times New Roman"/>
                <w:bCs/>
              </w:rPr>
              <w:t>.加强农业面源污染治理，严格控制化肥农药施加量，逐步削减农业面源污染物排放量</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.加强矿产资源开采的环境保护工作。</w:t>
            </w:r>
          </w:p>
        </w:tc>
        <w:tc>
          <w:tcPr>
            <w:tcW w:w="5647" w:type="dxa"/>
            <w:vMerge w:val="continue"/>
            <w:tcBorders>
              <w:left w:val="single" w:color="auto" w:sz="4" w:space="0"/>
              <w:right w:val="single" w:color="auto" w:sz="4" w:space="0"/>
            </w:tcBorders>
            <w:vAlign w:val="center"/>
          </w:tcPr>
          <w:p>
            <w:pPr>
              <w:adjustRightInd w:val="0"/>
              <w:snapToGrid w:val="0"/>
              <w:jc w:val="center"/>
              <w:rPr>
                <w:rFonts w:ascii="仿宋_GB2312" w:hAnsi="Times New Roman" w:eastAsia="仿宋_GB2312" w:cs="Times New Roman"/>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4"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98"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环境风险防控</w:t>
            </w:r>
          </w:p>
        </w:tc>
        <w:tc>
          <w:tcPr>
            <w:tcW w:w="893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ascii="Times New Roman" w:hAnsi="Times New Roman" w:eastAsia="仿宋_GB2312" w:cs="Times New Roman"/>
                <w:bCs/>
              </w:rPr>
              <w:t>禁止向农用地排放重金属或者其他有毒有害物质含量超标的污水、污泥，以及可能造成土壤污染的尾矿、矿渣等。加强农田土壤、灌溉水的监测及评价，对周边或区域环境风险源进行评估</w:t>
            </w:r>
            <w:r>
              <w:rPr>
                <w:rFonts w:hint="eastAsia" w:ascii="Times New Roman" w:hAnsi="Times New Roman" w:eastAsia="仿宋_GB2312" w:cs="Times New Roman"/>
                <w:bCs/>
              </w:rPr>
              <w:t>。</w:t>
            </w:r>
          </w:p>
        </w:tc>
        <w:tc>
          <w:tcPr>
            <w:tcW w:w="5647" w:type="dxa"/>
            <w:vMerge w:val="continue"/>
            <w:tcBorders>
              <w:left w:val="single" w:color="auto" w:sz="4" w:space="0"/>
              <w:right w:val="single" w:color="auto" w:sz="4" w:space="0"/>
            </w:tcBorders>
            <w:vAlign w:val="center"/>
          </w:tcPr>
          <w:p>
            <w:pPr>
              <w:adjustRightInd w:val="0"/>
              <w:snapToGrid w:val="0"/>
              <w:jc w:val="center"/>
              <w:rPr>
                <w:rFonts w:ascii="仿宋_GB2312" w:hAnsi="Times New Roman" w:eastAsia="仿宋_GB2312" w:cs="Times New Roman"/>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4"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98"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资源利用效率</w:t>
            </w:r>
          </w:p>
        </w:tc>
        <w:tc>
          <w:tcPr>
            <w:tcW w:w="893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ascii="Times New Roman" w:hAnsi="Times New Roman" w:eastAsia="仿宋_GB2312" w:cs="Times New Roman"/>
                <w:bCs/>
              </w:rPr>
              <w:t>实行水资源消耗总量和强度双控，推进农业节水，提高农业用水效率。优化能源结构，加强能源清洁利用</w:t>
            </w:r>
            <w:r>
              <w:rPr>
                <w:rFonts w:hint="eastAsia" w:ascii="Times New Roman" w:hAnsi="Times New Roman" w:eastAsia="仿宋_GB2312" w:cs="Times New Roman"/>
                <w:bCs/>
              </w:rPr>
              <w:t>。</w:t>
            </w:r>
          </w:p>
        </w:tc>
        <w:tc>
          <w:tcPr>
            <w:tcW w:w="5647" w:type="dxa"/>
            <w:vMerge w:val="continue"/>
            <w:tcBorders>
              <w:left w:val="single" w:color="auto" w:sz="4" w:space="0"/>
              <w:bottom w:val="single" w:color="auto" w:sz="4" w:space="0"/>
              <w:right w:val="single" w:color="auto" w:sz="4" w:space="0"/>
            </w:tcBorders>
            <w:vAlign w:val="center"/>
          </w:tcPr>
          <w:p>
            <w:pPr>
              <w:adjustRightInd w:val="0"/>
              <w:snapToGrid w:val="0"/>
              <w:jc w:val="center"/>
              <w:rPr>
                <w:rFonts w:ascii="仿宋_GB2312" w:hAnsi="Times New Roman" w:eastAsia="仿宋_GB2312" w:cs="Times New Roman"/>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ZH65042230003</w:t>
            </w:r>
          </w:p>
        </w:tc>
        <w:tc>
          <w:tcPr>
            <w:tcW w:w="1974"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托克逊县其他一般管控单元02</w:t>
            </w:r>
          </w:p>
        </w:tc>
        <w:tc>
          <w:tcPr>
            <w:tcW w:w="1198" w:type="dxa"/>
            <w:vMerge w:val="restart"/>
            <w:shd w:val="clear" w:color="auto" w:fill="auto"/>
            <w:vAlign w:val="center"/>
          </w:tcPr>
          <w:p>
            <w:pPr>
              <w:adjustRightInd w:val="0"/>
              <w:snapToGrid w:val="0"/>
              <w:jc w:val="center"/>
              <w:rPr>
                <w:rFonts w:ascii="仿宋_GB2312" w:hAnsi="Times New Roman" w:eastAsia="仿宋_GB2312" w:cs="Times New Roman"/>
                <w:lang w:bidi="en-US"/>
              </w:rPr>
            </w:pPr>
            <w:r>
              <w:rPr>
                <w:rFonts w:hint="eastAsia" w:ascii="仿宋_GB2312" w:hAnsi="Times New Roman" w:eastAsia="仿宋_GB2312" w:cs="Times New Roman"/>
                <w:lang w:bidi="en-US"/>
              </w:rPr>
              <w:t>一般管控单元</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空间布局约束</w:t>
            </w:r>
          </w:p>
        </w:tc>
        <w:tc>
          <w:tcPr>
            <w:tcW w:w="893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1.原则上禁止建设涉及一类重金属、持久性有机污染物排放的工业项目。</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限制进行大规模高强度工业化、城镇化开发，严格控制金属冶炼、石油化工、焦化等“高污染、高环境风险产品”工业项目，原则上不增加产能。现有“高污染、高环境风险产品”工业项目持续削减污染物排放总量并严格控制环境风险。</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3.</w:t>
            </w:r>
            <w:r>
              <w:rPr>
                <w:rFonts w:hint="eastAsia" w:ascii="仿宋_GB2312" w:hAnsi="Times New Roman" w:eastAsia="仿宋_GB2312" w:cs="Times New Roman"/>
                <w:lang w:bidi="en-US"/>
              </w:rPr>
              <w:t>推进新能源的开发和利用，鼓励发展风力发电和太阳能发电。</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4</w:t>
            </w:r>
            <w:r>
              <w:rPr>
                <w:rFonts w:hint="eastAsia" w:ascii="仿宋_GB2312" w:hAnsi="Times New Roman" w:eastAsia="仿宋_GB2312" w:cs="Times New Roman"/>
                <w:lang w:bidi="en-US"/>
              </w:rPr>
              <w:t>.建立集镇居住商业区、耕地保护区与工业功能区等集聚区块之间的防护带。</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5.</w:t>
            </w:r>
            <w:r>
              <w:rPr>
                <w:rFonts w:hint="eastAsia" w:ascii="仿宋_GB2312" w:hAnsi="Times New Roman" w:eastAsia="仿宋_GB2312" w:cs="Times New Roman"/>
                <w:lang w:bidi="en-US"/>
              </w:rPr>
              <w:t>严格执行畜禽养殖禁养区规定，根据区域用地和消纳水平，合理确定养殖规模。加强基本农田保护，严格限制非农项目占用耕地。</w:t>
            </w:r>
          </w:p>
        </w:tc>
        <w:tc>
          <w:tcPr>
            <w:tcW w:w="5647" w:type="dxa"/>
            <w:vMerge w:val="restart"/>
            <w:tcBorders>
              <w:top w:val="single" w:color="auto" w:sz="4" w:space="0"/>
              <w:left w:val="single" w:color="auto" w:sz="4" w:space="0"/>
              <w:right w:val="single" w:color="auto" w:sz="4" w:space="0"/>
            </w:tcBorders>
            <w:vAlign w:val="center"/>
          </w:tcPr>
          <w:p>
            <w:pPr>
              <w:adjustRightInd w:val="0"/>
              <w:snapToGrid w:val="0"/>
              <w:rPr>
                <w:rFonts w:ascii="仿宋_GB2312" w:hAnsi="仿宋" w:eastAsia="仿宋_GB2312" w:cs="仿宋"/>
                <w:lang w:bidi="en-US"/>
              </w:rPr>
            </w:pPr>
            <w:r>
              <w:rPr>
                <w:rFonts w:hint="eastAsia" w:ascii="仿宋_GB2312" w:hAnsi="仿宋" w:eastAsia="仿宋_GB2312" w:cs="仿宋"/>
                <w:b/>
                <w:lang w:bidi="en-US"/>
              </w:rPr>
              <w:t>单元特点：</w:t>
            </w:r>
            <w:r>
              <w:rPr>
                <w:rFonts w:hint="eastAsia" w:ascii="仿宋_GB2312" w:hAnsi="仿宋" w:eastAsia="仿宋_GB2312" w:cs="仿宋"/>
                <w:lang w:bidi="en-US"/>
              </w:rPr>
              <w:t>涉及</w:t>
            </w:r>
            <w:r>
              <w:rPr>
                <w:rFonts w:hint="eastAsia" w:ascii="仿宋_GB2312" w:hAnsi="仿宋" w:eastAsia="仿宋_GB2312" w:cs="仿宋"/>
                <w:bCs/>
                <w:lang w:bidi="en-US"/>
              </w:rPr>
              <w:t>矿产资源开发利用、涉及基本农田</w:t>
            </w:r>
          </w:p>
          <w:p>
            <w:pPr>
              <w:adjustRightInd w:val="0"/>
              <w:snapToGrid w:val="0"/>
              <w:rPr>
                <w:rFonts w:ascii="仿宋_GB2312" w:hAnsi="仿宋" w:eastAsia="仿宋_GB2312" w:cs="仿宋"/>
                <w:lang w:bidi="en-US"/>
              </w:rPr>
            </w:pPr>
            <w:r>
              <w:rPr>
                <w:rFonts w:hint="eastAsia" w:ascii="仿宋_GB2312" w:hAnsi="仿宋" w:eastAsia="仿宋_GB2312" w:cs="仿宋"/>
                <w:b/>
                <w:lang w:bidi="en-US"/>
              </w:rPr>
              <w:t>要素属性：</w:t>
            </w:r>
            <w:r>
              <w:rPr>
                <w:rFonts w:hint="eastAsia" w:ascii="仿宋_GB2312" w:hAnsi="仿宋" w:eastAsia="仿宋_GB2312" w:cs="仿宋"/>
                <w:lang w:bidi="en-US"/>
              </w:rPr>
              <w:t>一般管控区</w:t>
            </w:r>
          </w:p>
          <w:p>
            <w:pPr>
              <w:adjustRightInd w:val="0"/>
              <w:snapToGrid w:val="0"/>
              <w:rPr>
                <w:rFonts w:ascii="仿宋_GB2312" w:hAnsi="Calibri" w:eastAsia="仿宋_GB2312" w:cs="Times New Roman"/>
                <w:lang w:bidi="en-US"/>
              </w:rPr>
            </w:pPr>
            <w:r>
              <w:rPr>
                <w:rFonts w:hint="eastAsia" w:ascii="仿宋_GB2312" w:hAnsi="仿宋" w:eastAsia="仿宋_GB2312" w:cs="仿宋"/>
                <w:b/>
                <w:lang w:bidi="en-US"/>
              </w:rPr>
              <w:t>相关要求：</w:t>
            </w:r>
            <w:r>
              <w:rPr>
                <w:rFonts w:hint="eastAsia" w:ascii="仿宋_GB2312" w:hAnsi="仿宋_GB2312" w:eastAsia="仿宋_GB2312" w:cs="仿宋_GB2312"/>
              </w:rPr>
              <w:t>《基本农田保护条例》、《农用地土壤环境管理办法》、</w:t>
            </w:r>
            <w:r>
              <w:rPr>
                <w:rFonts w:hint="eastAsia" w:ascii="仿宋_GB2312" w:hAnsi="仿宋" w:eastAsia="仿宋_GB2312" w:cs="仿宋"/>
                <w:lang w:bidi="en-US"/>
              </w:rPr>
              <w:t>《吐鲁番市生态环境保护“十四五”规划》、《吐鲁番市大气环境质量限期达标规划》、《吐鲁番市打赢蓝天保卫战三年行动计划实施方案（</w:t>
            </w:r>
            <w:r>
              <w:rPr>
                <w:rFonts w:ascii="仿宋_GB2312" w:hAnsi="仿宋" w:eastAsia="仿宋_GB2312" w:cs="仿宋"/>
                <w:lang w:bidi="en-US"/>
              </w:rPr>
              <w:t>2018-2020）》</w:t>
            </w:r>
            <w:r>
              <w:rPr>
                <w:rFonts w:hint="eastAsia" w:ascii="仿宋_GB2312" w:hAnsi="仿宋" w:eastAsia="仿宋_GB2312" w:cs="仿宋"/>
                <w:lang w:bidi="en-US"/>
              </w:rPr>
              <w:t>、《吐鲁番市水污染防治总体实施方案》</w:t>
            </w:r>
          </w:p>
          <w:p>
            <w:pPr>
              <w:adjustRightInd w:val="0"/>
              <w:snapToGrid w:val="0"/>
              <w:rPr>
                <w:rFonts w:ascii="仿宋_GB2312" w:hAnsi="Times New Roman" w:eastAsia="仿宋_GB2312" w:cs="Times New Roman"/>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4"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98"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污染物排放管控</w:t>
            </w:r>
          </w:p>
        </w:tc>
        <w:tc>
          <w:tcPr>
            <w:tcW w:w="893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Times New Roman" w:hAnsi="Times New Roman" w:eastAsia="仿宋_GB2312" w:cs="Times New Roman"/>
                <w:bCs/>
              </w:rPr>
              <w:t>1</w:t>
            </w:r>
            <w:r>
              <w:rPr>
                <w:rFonts w:ascii="Times New Roman" w:hAnsi="Times New Roman" w:eastAsia="仿宋_GB2312" w:cs="Times New Roman"/>
                <w:bCs/>
              </w:rPr>
              <w:t>.加强农业面源污染治理，严格控制化肥农药施加量，逐步削减农业面源污染物排放量</w:t>
            </w:r>
            <w:r>
              <w:rPr>
                <w:rFonts w:hint="eastAsia" w:ascii="仿宋_GB2312" w:hAnsi="Times New Roman" w:eastAsia="仿宋_GB2312" w:cs="Times New Roman"/>
                <w:lang w:bidi="en-US"/>
              </w:rPr>
              <w:t>。</w:t>
            </w:r>
          </w:p>
          <w:p>
            <w:pPr>
              <w:adjustRightInd w:val="0"/>
              <w:snapToGrid w:val="0"/>
              <w:rPr>
                <w:rFonts w:ascii="仿宋_GB2312" w:hAnsi="Times New Roman" w:eastAsia="仿宋_GB2312" w:cs="Times New Roman"/>
                <w:lang w:bidi="en-US"/>
              </w:rPr>
            </w:pPr>
            <w:r>
              <w:rPr>
                <w:rFonts w:ascii="仿宋_GB2312" w:hAnsi="Times New Roman" w:eastAsia="仿宋_GB2312" w:cs="Times New Roman"/>
                <w:lang w:bidi="en-US"/>
              </w:rPr>
              <w:t>2</w:t>
            </w:r>
            <w:r>
              <w:rPr>
                <w:rFonts w:hint="eastAsia" w:ascii="仿宋_GB2312" w:hAnsi="Times New Roman" w:eastAsia="仿宋_GB2312" w:cs="Times New Roman"/>
                <w:lang w:bidi="en-US"/>
              </w:rPr>
              <w:t>.加强矿产资源开采的环境保护工作。</w:t>
            </w:r>
          </w:p>
        </w:tc>
        <w:tc>
          <w:tcPr>
            <w:tcW w:w="5647" w:type="dxa"/>
            <w:vMerge w:val="continue"/>
            <w:tcBorders>
              <w:left w:val="single" w:color="auto" w:sz="4" w:space="0"/>
              <w:right w:val="single" w:color="auto" w:sz="4" w:space="0"/>
            </w:tcBorders>
            <w:vAlign w:val="center"/>
          </w:tcPr>
          <w:p>
            <w:pPr>
              <w:adjustRightInd w:val="0"/>
              <w:snapToGrid w:val="0"/>
              <w:jc w:val="center"/>
              <w:rPr>
                <w:rFonts w:ascii="仿宋_GB2312" w:hAnsi="Times New Roman" w:eastAsia="仿宋_GB2312" w:cs="Times New Roman"/>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4"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98"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环境风险防控</w:t>
            </w:r>
          </w:p>
        </w:tc>
        <w:tc>
          <w:tcPr>
            <w:tcW w:w="893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ascii="Times New Roman" w:hAnsi="Times New Roman" w:eastAsia="仿宋_GB2312" w:cs="Times New Roman"/>
                <w:bCs/>
              </w:rPr>
              <w:t>禁止向农用地排放重金属或者其他有毒有害物质含量超标的污水、污泥，以及可能造成土壤污染的尾矿、矿渣等。加强农田土壤、灌溉水的监测及评价，对周边或区域环境风险源进行评估</w:t>
            </w:r>
            <w:r>
              <w:rPr>
                <w:rFonts w:hint="eastAsia" w:ascii="Times New Roman" w:hAnsi="Times New Roman" w:eastAsia="仿宋_GB2312" w:cs="Times New Roman"/>
                <w:bCs/>
              </w:rPr>
              <w:t>。</w:t>
            </w:r>
          </w:p>
        </w:tc>
        <w:tc>
          <w:tcPr>
            <w:tcW w:w="5647" w:type="dxa"/>
            <w:vMerge w:val="continue"/>
            <w:tcBorders>
              <w:left w:val="single" w:color="auto" w:sz="4" w:space="0"/>
              <w:right w:val="single" w:color="auto" w:sz="4" w:space="0"/>
            </w:tcBorders>
            <w:vAlign w:val="center"/>
          </w:tcPr>
          <w:p>
            <w:pPr>
              <w:adjustRightInd w:val="0"/>
              <w:snapToGrid w:val="0"/>
              <w:jc w:val="center"/>
              <w:rPr>
                <w:rFonts w:ascii="仿宋_GB2312" w:hAnsi="Times New Roman" w:eastAsia="仿宋_GB2312" w:cs="Times New Roman"/>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2210"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974"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98" w:type="dxa"/>
            <w:vMerge w:val="continue"/>
            <w:shd w:val="clear" w:color="auto" w:fill="auto"/>
            <w:vAlign w:val="center"/>
          </w:tcPr>
          <w:p>
            <w:pPr>
              <w:adjustRightInd w:val="0"/>
              <w:snapToGrid w:val="0"/>
              <w:jc w:val="center"/>
              <w:rPr>
                <w:rFonts w:ascii="仿宋_GB2312" w:hAnsi="Times New Roman" w:eastAsia="仿宋_GB2312" w:cs="Times New Roman"/>
                <w:lang w:bidi="en-US"/>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hint="eastAsia" w:ascii="仿宋_GB2312" w:hAnsi="Times New Roman" w:eastAsia="仿宋_GB2312" w:cs="Times New Roman"/>
                <w:lang w:bidi="en-US"/>
              </w:rPr>
              <w:t>资源利用效率</w:t>
            </w:r>
          </w:p>
        </w:tc>
        <w:tc>
          <w:tcPr>
            <w:tcW w:w="893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ascii="仿宋_GB2312" w:hAnsi="Times New Roman" w:eastAsia="仿宋_GB2312" w:cs="Times New Roman"/>
                <w:lang w:bidi="en-US"/>
              </w:rPr>
            </w:pPr>
            <w:r>
              <w:rPr>
                <w:rFonts w:ascii="Times New Roman" w:hAnsi="Times New Roman" w:eastAsia="仿宋_GB2312" w:cs="Times New Roman"/>
                <w:bCs/>
              </w:rPr>
              <w:t>实行水资源消耗总量和强度双控，推进农业节水，提高农业用水效率。优化能源结构，加强能源清洁利用</w:t>
            </w:r>
            <w:r>
              <w:rPr>
                <w:rFonts w:hint="eastAsia" w:ascii="Times New Roman" w:hAnsi="Times New Roman" w:eastAsia="仿宋_GB2312" w:cs="Times New Roman"/>
                <w:bCs/>
              </w:rPr>
              <w:t>。</w:t>
            </w:r>
          </w:p>
        </w:tc>
        <w:tc>
          <w:tcPr>
            <w:tcW w:w="5647" w:type="dxa"/>
            <w:vMerge w:val="continue"/>
            <w:tcBorders>
              <w:left w:val="single" w:color="auto" w:sz="4" w:space="0"/>
              <w:bottom w:val="single" w:color="auto" w:sz="4" w:space="0"/>
              <w:right w:val="single" w:color="auto" w:sz="4" w:space="0"/>
            </w:tcBorders>
            <w:vAlign w:val="center"/>
          </w:tcPr>
          <w:p>
            <w:pPr>
              <w:adjustRightInd w:val="0"/>
              <w:snapToGrid w:val="0"/>
              <w:jc w:val="center"/>
              <w:rPr>
                <w:rFonts w:ascii="仿宋_GB2312" w:hAnsi="Times New Roman" w:eastAsia="仿宋_GB2312" w:cs="Times New Roman"/>
                <w:lang w:bidi="en-US"/>
              </w:rPr>
            </w:pPr>
          </w:p>
        </w:tc>
      </w:tr>
      <w:bookmarkEnd w:id="9"/>
      <w:bookmarkEnd w:id="10"/>
    </w:tbl>
    <w:p>
      <w:pPr>
        <w:outlineLvl w:val="1"/>
        <w:rPr>
          <w:rFonts w:ascii="仿宋_GB2312" w:hAnsi="Times New Roman" w:eastAsia="仿宋_GB2312" w:cs="Times New Roman"/>
          <w:b/>
          <w:iCs/>
          <w:sz w:val="28"/>
          <w:szCs w:val="21"/>
        </w:rPr>
      </w:pPr>
    </w:p>
    <w:bookmarkEnd w:id="0"/>
    <w:p>
      <w:pPr>
        <w:jc w:val="center"/>
        <w:rPr>
          <w:rFonts w:ascii="仿宋_GB2312" w:hAnsi="Times New Roman" w:eastAsia="仿宋_GB2312" w:cs="Times New Roman"/>
          <w:b/>
          <w:sz w:val="48"/>
          <w:szCs w:val="48"/>
        </w:rPr>
      </w:pPr>
    </w:p>
    <w:sectPr>
      <w:pgSz w:w="23757" w:h="16783"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华康简宋">
    <w:altName w:val="宋体"/>
    <w:panose1 w:val="00000000000000000000"/>
    <w:charset w:val="86"/>
    <w:family w:val="modern"/>
    <w:pitch w:val="default"/>
    <w:sig w:usb0="00000000" w:usb1="00000000" w:usb2="00000010" w:usb3="00000000" w:csb0="00040000" w:csb1="00000000"/>
  </w:font>
  <w:font w:name="DengXian-Light">
    <w:altName w:val="Arial"/>
    <w:panose1 w:val="00000000000000000000"/>
    <w:charset w:val="00"/>
    <w:family w:val="roman"/>
    <w:pitch w:val="default"/>
    <w:sig w:usb0="00000000" w:usb1="00000000" w:usb2="00000000" w:usb3="00000000" w:csb0="00000000" w:csb1="00000000"/>
  </w:font>
  <w:font w:name="方正仿宋_GBK">
    <w:altName w:val="微软雅黑"/>
    <w:panose1 w:val="00000000000000000000"/>
    <w:charset w:val="86"/>
    <w:family w:val="auto"/>
    <w:pitch w:val="default"/>
    <w:sig w:usb0="00000000" w:usb1="00000000" w:usb2="00000000" w:usb3="00000000" w:csb0="00040000" w:csb1="00000000"/>
  </w:font>
  <w:font w:name="font-weight : 400">
    <w:altName w:val="Arial"/>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default"/>
    <w:sig w:usb0="E00002FF" w:usb1="400004FF" w:usb2="00000000"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3018727"/>
      <w:showingPlcHdr/>
    </w:sdtPr>
    <w:sdtContent>
      <w:p>
        <w:pPr>
          <w:pStyle w:val="25"/>
          <w:jc w:val="center"/>
        </w:pPr>
        <w: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27692"/>
    <w:multiLevelType w:val="multilevel"/>
    <w:tmpl w:val="0C927692"/>
    <w:lvl w:ilvl="0" w:tentative="0">
      <w:start w:val="1"/>
      <w:numFmt w:val="decimal"/>
      <w:lvlText w:val="%1"/>
      <w:lvlJc w:val="left"/>
      <w:pPr>
        <w:ind w:left="0" w:firstLine="0"/>
      </w:pPr>
      <w:rPr>
        <w:rFonts w:hint="eastAsia" w:ascii="仿宋" w:hAnsi="仿宋" w:eastAsia="仿宋"/>
        <w:b w:val="0"/>
        <w:bCs w:val="0"/>
        <w:i w:val="0"/>
        <w:iCs w:val="0"/>
        <w:caps w:val="0"/>
        <w:smallCaps w:val="0"/>
        <w:strike w:val="0"/>
        <w:dstrike w:val="0"/>
        <w:vanish w:val="0"/>
        <w:color w:val="000000"/>
        <w:spacing w:val="0"/>
        <w:position w:val="0"/>
        <w:u w:val="none"/>
        <w:vertAlign w:val="baseline"/>
      </w:rPr>
    </w:lvl>
    <w:lvl w:ilvl="1" w:tentative="0">
      <w:start w:val="1"/>
      <w:numFmt w:val="decimal"/>
      <w:lvlText w:val="%1.%2"/>
      <w:lvlJc w:val="left"/>
      <w:pPr>
        <w:ind w:left="0" w:firstLine="0"/>
      </w:pPr>
      <w:rPr>
        <w:rFonts w:hint="eastAsia"/>
        <w:b w:val="0"/>
        <w:bCs w:val="0"/>
        <w:i w:val="0"/>
        <w:iCs w:val="0"/>
        <w:caps w:val="0"/>
        <w:smallCaps w:val="0"/>
        <w:strike w:val="0"/>
        <w:dstrike w:val="0"/>
        <w:vanish w:val="0"/>
        <w:color w:val="000000"/>
        <w:spacing w:val="0"/>
        <w:position w:val="0"/>
        <w:u w:val="none"/>
        <w:vertAlign w:val="baseline"/>
      </w:rPr>
    </w:lvl>
    <w:lvl w:ilvl="2" w:tentative="0">
      <w:start w:val="1"/>
      <w:numFmt w:val="decimal"/>
      <w:pStyle w:val="175"/>
      <w:lvlText w:val="%1.%2.%3"/>
      <w:lvlJc w:val="left"/>
      <w:pPr>
        <w:ind w:left="0" w:firstLine="0"/>
      </w:pPr>
      <w:rPr>
        <w:rFonts w:hint="eastAsia"/>
        <w:b w:val="0"/>
        <w:bCs w:val="0"/>
        <w:i w:val="0"/>
        <w:iCs w:val="0"/>
        <w:caps w:val="0"/>
        <w:smallCaps w:val="0"/>
        <w:strike w:val="0"/>
        <w:dstrike w:val="0"/>
        <w:vanish w:val="0"/>
        <w:color w:val="000000"/>
        <w:spacing w:val="0"/>
        <w:position w:val="0"/>
        <w:u w:val="none"/>
        <w:vertAlign w:val="baseline"/>
      </w:rPr>
    </w:lvl>
    <w:lvl w:ilvl="3" w:tentative="0">
      <w:start w:val="1"/>
      <w:numFmt w:val="decimal"/>
      <w:lvlText w:val="%1.%2.%3.%4"/>
      <w:lvlJc w:val="left"/>
      <w:pPr>
        <w:ind w:left="0" w:firstLine="0"/>
      </w:pPr>
      <w:rPr>
        <w:rFonts w:hint="eastAsia"/>
        <w:b w:val="0"/>
        <w:bCs w:val="0"/>
        <w:i w:val="0"/>
        <w:iCs w:val="0"/>
        <w:caps w:val="0"/>
        <w:smallCaps w:val="0"/>
        <w:strike w:val="0"/>
        <w:dstrike w:val="0"/>
        <w:vanish w:val="0"/>
        <w:color w:val="000000"/>
        <w:spacing w:val="0"/>
        <w:position w:val="0"/>
        <w:u w:val="none"/>
        <w:vertAlign w:val="baseline"/>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171C34CA"/>
    <w:multiLevelType w:val="multilevel"/>
    <w:tmpl w:val="171C34CA"/>
    <w:lvl w:ilvl="0" w:tentative="0">
      <w:start w:val="1"/>
      <w:numFmt w:val="decimal"/>
      <w:pStyle w:val="2"/>
      <w:suff w:val="space"/>
      <w:lvlText w:val="%1"/>
      <w:lvlJc w:val="left"/>
      <w:pPr>
        <w:ind w:left="0" w:firstLine="0"/>
      </w:pPr>
      <w:rPr>
        <w:rFonts w:hint="default" w:ascii="Times New Roman" w:hAnsi="Times New Roman"/>
        <w:spacing w:val="0"/>
        <w:kern w:val="10"/>
        <w:position w:val="0"/>
      </w:rPr>
    </w:lvl>
    <w:lvl w:ilvl="1" w:tentative="0">
      <w:start w:val="1"/>
      <w:numFmt w:val="decimal"/>
      <w:pStyle w:val="3"/>
      <w:suff w:val="space"/>
      <w:lvlText w:val="%1.%2"/>
      <w:lvlJc w:val="left"/>
      <w:pPr>
        <w:ind w:left="284" w:firstLine="0"/>
      </w:pPr>
      <w:rPr>
        <w:rFonts w:hint="default" w:ascii="Times New Roman" w:hAnsi="Times New Roman"/>
      </w:rPr>
    </w:lvl>
    <w:lvl w:ilvl="2" w:tentative="0">
      <w:start w:val="1"/>
      <w:numFmt w:val="decimal"/>
      <w:suff w:val="space"/>
      <w:lvlText w:val="%1.%2.%3"/>
      <w:lvlJc w:val="left"/>
      <w:pPr>
        <w:ind w:left="852" w:firstLine="0"/>
      </w:pPr>
      <w:rPr>
        <w:rFonts w:hint="default" w:ascii="Times New Roman" w:hAnsi="Times New Roman"/>
      </w:rPr>
    </w:lvl>
    <w:lvl w:ilvl="3" w:tentative="0">
      <w:start w:val="1"/>
      <w:numFmt w:val="decimal"/>
      <w:pStyle w:val="5"/>
      <w:suff w:val="space"/>
      <w:lvlText w:val="%1.%2.%3.%4"/>
      <w:lvlJc w:val="left"/>
      <w:pPr>
        <w:ind w:left="993" w:firstLine="0"/>
      </w:pPr>
      <w:rPr>
        <w:rFonts w:hint="default" w:ascii="Times New Roman" w:hAnsi="Times New Roman"/>
        <w:b w:val="0"/>
        <w:lang w:val="en-US"/>
      </w:rPr>
    </w:lvl>
    <w:lvl w:ilvl="4" w:tentative="0">
      <w:start w:val="1"/>
      <w:numFmt w:val="decimal"/>
      <w:pStyle w:val="6"/>
      <w:suff w:val="nothing"/>
      <w:lvlText w:val="(%5)"/>
      <w:lvlJc w:val="left"/>
      <w:pPr>
        <w:ind w:left="710" w:firstLine="0"/>
      </w:pPr>
      <w:rPr>
        <w:rFonts w:hint="default" w:ascii="Times New Roman" w:hAnsi="Times New Roman"/>
      </w:rPr>
    </w:lvl>
    <w:lvl w:ilvl="5" w:tentative="0">
      <w:start w:val="1"/>
      <w:numFmt w:val="none"/>
      <w:pStyle w:val="7"/>
      <w:suff w:val="space"/>
      <w:lvlText w:val=""/>
      <w:lvlJc w:val="left"/>
      <w:pPr>
        <w:ind w:left="0" w:firstLine="0"/>
      </w:pPr>
      <w:rPr>
        <w:rFonts w:hint="default"/>
        <w:color w:val="auto"/>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
    <w:nsid w:val="19C846E8"/>
    <w:multiLevelType w:val="multilevel"/>
    <w:tmpl w:val="19C846E8"/>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2CCC4257"/>
    <w:multiLevelType w:val="multilevel"/>
    <w:tmpl w:val="2CCC4257"/>
    <w:lvl w:ilvl="0" w:tentative="0">
      <w:start w:val="1"/>
      <w:numFmt w:val="decimal"/>
      <w:suff w:val="nothing"/>
      <w:lvlText w:val="%1."/>
      <w:lvlJc w:val="left"/>
      <w:pPr>
        <w:ind w:left="0" w:firstLine="0"/>
      </w:pPr>
      <w:rPr>
        <w:rFonts w:hint="eastAsia"/>
      </w:rPr>
    </w:lvl>
    <w:lvl w:ilvl="1" w:tentative="0">
      <w:start w:val="2"/>
      <w:numFmt w:val="decimalEnclosedCircle"/>
      <w:lvlText w:val="%2"/>
      <w:lvlJc w:val="left"/>
      <w:pPr>
        <w:ind w:left="1340" w:hanging="360"/>
      </w:pPr>
      <w:rPr>
        <w:rFonts w:hint="default" w:ascii="仿宋" w:hAnsi="仿宋" w:eastAsia="仿宋"/>
        <w:sz w:val="28"/>
      </w:r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4">
    <w:nsid w:val="33D70940"/>
    <w:multiLevelType w:val="multilevel"/>
    <w:tmpl w:val="33D70940"/>
    <w:lvl w:ilvl="0" w:tentative="0">
      <w:start w:val="1"/>
      <w:numFmt w:val="decimal"/>
      <w:lvlText w:val="%1."/>
      <w:lvlJc w:val="left"/>
      <w:pPr>
        <w:ind w:left="425" w:hanging="425"/>
      </w:pPr>
      <w:rPr>
        <w:rFonts w:hint="eastAsia"/>
      </w:rPr>
    </w:lvl>
    <w:lvl w:ilvl="1" w:tentative="0">
      <w:start w:val="1"/>
      <w:numFmt w:val="decimal"/>
      <w:pStyle w:val="116"/>
      <w:lvlText w:val="%1.%2."/>
      <w:lvlJc w:val="left"/>
      <w:pPr>
        <w:ind w:left="567" w:hanging="567"/>
      </w:pPr>
      <w:rPr>
        <w:rFonts w:hint="eastAsia"/>
      </w:rPr>
    </w:lvl>
    <w:lvl w:ilvl="2" w:tentative="0">
      <w:start w:val="1"/>
      <w:numFmt w:val="decimal"/>
      <w:pStyle w:val="118"/>
      <w:lvlText w:val="%1.%2.%3."/>
      <w:lvlJc w:val="left"/>
      <w:pPr>
        <w:ind w:left="993" w:hanging="709"/>
      </w:pPr>
      <w:rPr>
        <w:rFonts w:hint="eastAsia"/>
      </w:rPr>
    </w:lvl>
    <w:lvl w:ilvl="3" w:tentative="0">
      <w:start w:val="1"/>
      <w:numFmt w:val="decimal"/>
      <w:pStyle w:val="120"/>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36B154C9"/>
    <w:multiLevelType w:val="multilevel"/>
    <w:tmpl w:val="36B154C9"/>
    <w:lvl w:ilvl="0" w:tentative="0">
      <w:start w:val="1"/>
      <w:numFmt w:val="decimal"/>
      <w:suff w:val="nothing"/>
      <w:lvlText w:val="%1."/>
      <w:lvlJc w:val="left"/>
      <w:pPr>
        <w:ind w:left="0" w:firstLine="0"/>
      </w:pPr>
      <w:rPr>
        <w:rFonts w:hint="eastAsia"/>
      </w:rPr>
    </w:lvl>
    <w:lvl w:ilvl="1" w:tentative="0">
      <w:start w:val="2"/>
      <w:numFmt w:val="decimalEnclosedCircle"/>
      <w:lvlText w:val="%2"/>
      <w:lvlJc w:val="left"/>
      <w:pPr>
        <w:ind w:left="1340" w:hanging="360"/>
      </w:pPr>
      <w:rPr>
        <w:rFonts w:hint="default" w:ascii="仿宋" w:hAnsi="仿宋" w:eastAsia="仿宋"/>
        <w:sz w:val="28"/>
      </w:r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6">
    <w:nsid w:val="42EC09EA"/>
    <w:multiLevelType w:val="multilevel"/>
    <w:tmpl w:val="42EC09EA"/>
    <w:lvl w:ilvl="0" w:tentative="0">
      <w:start w:val="1"/>
      <w:numFmt w:val="decimal"/>
      <w:suff w:val="nothing"/>
      <w:lvlText w:val="%1."/>
      <w:lvlJc w:val="left"/>
      <w:pPr>
        <w:ind w:left="0" w:firstLine="0"/>
      </w:pPr>
      <w:rPr>
        <w:rFonts w:hint="eastAsia"/>
        <w:b/>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4FDA368F"/>
    <w:multiLevelType w:val="multilevel"/>
    <w:tmpl w:val="4FDA368F"/>
    <w:lvl w:ilvl="0" w:tentative="0">
      <w:start w:val="1"/>
      <w:numFmt w:val="decimal"/>
      <w:suff w:val="nothing"/>
      <w:lvlText w:val="（%1）"/>
      <w:lvlJc w:val="left"/>
      <w:pPr>
        <w:ind w:left="0" w:firstLine="0"/>
      </w:pPr>
      <w:rPr>
        <w:rFonts w:hint="eastAsia"/>
        <w:b w:val="0"/>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8A56FC5"/>
    <w:multiLevelType w:val="multilevel"/>
    <w:tmpl w:val="58A56FC5"/>
    <w:lvl w:ilvl="0" w:tentative="0">
      <w:start w:val="1"/>
      <w:numFmt w:val="decimal"/>
      <w:suff w:val="nothing"/>
      <w:lvlText w:val="（%1）"/>
      <w:lvlJc w:val="left"/>
      <w:pPr>
        <w:ind w:left="0" w:firstLine="0"/>
      </w:pPr>
      <w:rPr>
        <w:rFonts w:hint="eastAsia"/>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93F01B1"/>
    <w:multiLevelType w:val="multilevel"/>
    <w:tmpl w:val="593F01B1"/>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4"/>
  </w:num>
  <w:num w:numId="3">
    <w:abstractNumId w:val="0"/>
  </w:num>
  <w:num w:numId="4">
    <w:abstractNumId w:val="6"/>
  </w:num>
  <w:num w:numId="5">
    <w:abstractNumId w:val="2"/>
  </w:num>
  <w:num w:numId="6">
    <w:abstractNumId w:val="7"/>
  </w:num>
  <w:num w:numId="7">
    <w:abstractNumId w:val="3"/>
  </w:num>
  <w:num w:numId="8">
    <w:abstractNumId w:val="8"/>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1A0"/>
    <w:rsid w:val="00053A36"/>
    <w:rsid w:val="00071153"/>
    <w:rsid w:val="00090F70"/>
    <w:rsid w:val="000E5654"/>
    <w:rsid w:val="00126231"/>
    <w:rsid w:val="001270F1"/>
    <w:rsid w:val="001371A0"/>
    <w:rsid w:val="00191455"/>
    <w:rsid w:val="001F0B7E"/>
    <w:rsid w:val="0020359F"/>
    <w:rsid w:val="00242D1C"/>
    <w:rsid w:val="0027680C"/>
    <w:rsid w:val="002D144A"/>
    <w:rsid w:val="002D181A"/>
    <w:rsid w:val="00362974"/>
    <w:rsid w:val="00363098"/>
    <w:rsid w:val="00372585"/>
    <w:rsid w:val="003754EE"/>
    <w:rsid w:val="003D4FF1"/>
    <w:rsid w:val="003F7637"/>
    <w:rsid w:val="004171CF"/>
    <w:rsid w:val="004471C4"/>
    <w:rsid w:val="00450759"/>
    <w:rsid w:val="00474750"/>
    <w:rsid w:val="00493893"/>
    <w:rsid w:val="004C12B6"/>
    <w:rsid w:val="004C32E5"/>
    <w:rsid w:val="004D21A6"/>
    <w:rsid w:val="004F43EB"/>
    <w:rsid w:val="00523FE3"/>
    <w:rsid w:val="005A1311"/>
    <w:rsid w:val="005A67E7"/>
    <w:rsid w:val="005A7123"/>
    <w:rsid w:val="005A7558"/>
    <w:rsid w:val="005C0741"/>
    <w:rsid w:val="00614F30"/>
    <w:rsid w:val="00640F8F"/>
    <w:rsid w:val="00644876"/>
    <w:rsid w:val="00646411"/>
    <w:rsid w:val="00692FED"/>
    <w:rsid w:val="00693BAF"/>
    <w:rsid w:val="006D0C1F"/>
    <w:rsid w:val="006D29ED"/>
    <w:rsid w:val="006F13DA"/>
    <w:rsid w:val="006F62E8"/>
    <w:rsid w:val="00717208"/>
    <w:rsid w:val="00725783"/>
    <w:rsid w:val="0073299B"/>
    <w:rsid w:val="00736283"/>
    <w:rsid w:val="007407E6"/>
    <w:rsid w:val="00761461"/>
    <w:rsid w:val="00832C5C"/>
    <w:rsid w:val="00866B39"/>
    <w:rsid w:val="008809C9"/>
    <w:rsid w:val="00886545"/>
    <w:rsid w:val="008B5BB6"/>
    <w:rsid w:val="008E1E74"/>
    <w:rsid w:val="00945110"/>
    <w:rsid w:val="0096545D"/>
    <w:rsid w:val="009769C2"/>
    <w:rsid w:val="009B1B05"/>
    <w:rsid w:val="009B487A"/>
    <w:rsid w:val="009B7E32"/>
    <w:rsid w:val="009C5971"/>
    <w:rsid w:val="00A04BAC"/>
    <w:rsid w:val="00A301D9"/>
    <w:rsid w:val="00A8210D"/>
    <w:rsid w:val="00AB09B0"/>
    <w:rsid w:val="00AB5881"/>
    <w:rsid w:val="00AC0419"/>
    <w:rsid w:val="00AE1197"/>
    <w:rsid w:val="00AE3DEF"/>
    <w:rsid w:val="00AF25A6"/>
    <w:rsid w:val="00B044F1"/>
    <w:rsid w:val="00B132AA"/>
    <w:rsid w:val="00B24E47"/>
    <w:rsid w:val="00BA5A20"/>
    <w:rsid w:val="00BB016F"/>
    <w:rsid w:val="00BB1D93"/>
    <w:rsid w:val="00BB4BC2"/>
    <w:rsid w:val="00BC2AE5"/>
    <w:rsid w:val="00BC53F8"/>
    <w:rsid w:val="00C12906"/>
    <w:rsid w:val="00C306B6"/>
    <w:rsid w:val="00C52A00"/>
    <w:rsid w:val="00C54DC2"/>
    <w:rsid w:val="00C72FE1"/>
    <w:rsid w:val="00C82566"/>
    <w:rsid w:val="00C95477"/>
    <w:rsid w:val="00CA0F2B"/>
    <w:rsid w:val="00CB5AC4"/>
    <w:rsid w:val="00CD0829"/>
    <w:rsid w:val="00CF67D6"/>
    <w:rsid w:val="00D567BE"/>
    <w:rsid w:val="00D56944"/>
    <w:rsid w:val="00DB68AD"/>
    <w:rsid w:val="00DE7E61"/>
    <w:rsid w:val="00E06F2A"/>
    <w:rsid w:val="00E51D9E"/>
    <w:rsid w:val="00E5411D"/>
    <w:rsid w:val="00EF4FAE"/>
    <w:rsid w:val="00EF7C9C"/>
    <w:rsid w:val="00F10998"/>
    <w:rsid w:val="00F629A8"/>
    <w:rsid w:val="00F83526"/>
    <w:rsid w:val="00F94EEA"/>
    <w:rsid w:val="00F97345"/>
    <w:rsid w:val="00FE3479"/>
    <w:rsid w:val="00FE355E"/>
    <w:rsid w:val="00FF3A56"/>
    <w:rsid w:val="0E393849"/>
    <w:rsid w:val="14C46147"/>
    <w:rsid w:val="18AC0384"/>
    <w:rsid w:val="39296C89"/>
    <w:rsid w:val="3D583EAE"/>
    <w:rsid w:val="51AA441E"/>
    <w:rsid w:val="666B6609"/>
    <w:rsid w:val="6B09008B"/>
    <w:rsid w:val="77090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9" w:semiHidden="0" w:name="heading 3"/>
    <w:lsdException w:qFormat="1" w:uiPriority="0" w:semiHidden="0" w:name="heading 4"/>
    <w:lsdException w:qFormat="1" w:uiPriority="0"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9"/>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50"/>
    <w:unhideWhenUsed/>
    <w:qFormat/>
    <w:uiPriority w:val="9"/>
    <w:pPr>
      <w:keepNext/>
      <w:keepLines/>
      <w:widowControl/>
      <w:numPr>
        <w:ilvl w:val="1"/>
        <w:numId w:val="1"/>
      </w:numPr>
      <w:adjustRightInd w:val="0"/>
      <w:snapToGrid w:val="0"/>
      <w:spacing w:before="260" w:after="260" w:line="416" w:lineRule="auto"/>
      <w:ind w:firstLine="200" w:firstLineChars="200"/>
      <w:outlineLvl w:val="1"/>
    </w:pPr>
    <w:rPr>
      <w:rFonts w:ascii="等线 Light" w:hAnsi="等线 Light" w:eastAsia="等线 Light" w:cs="Times New Roman"/>
      <w:b/>
      <w:bCs/>
      <w:sz w:val="32"/>
      <w:szCs w:val="32"/>
      <w:lang w:bidi="en-US"/>
    </w:rPr>
  </w:style>
  <w:style w:type="paragraph" w:styleId="4">
    <w:name w:val="heading 3"/>
    <w:basedOn w:val="1"/>
    <w:next w:val="1"/>
    <w:link w:val="51"/>
    <w:qFormat/>
    <w:uiPriority w:val="9"/>
    <w:pPr>
      <w:keepNext/>
      <w:keepLines/>
      <w:widowControl/>
      <w:adjustRightInd w:val="0"/>
      <w:snapToGrid w:val="0"/>
      <w:spacing w:before="260" w:after="260" w:line="416" w:lineRule="auto"/>
      <w:ind w:firstLine="200" w:firstLineChars="200"/>
      <w:outlineLvl w:val="2"/>
    </w:pPr>
    <w:rPr>
      <w:rFonts w:ascii="Calibri" w:hAnsi="Calibri" w:eastAsia="仿宋" w:cs="Times New Roman"/>
      <w:b/>
      <w:bCs/>
      <w:sz w:val="32"/>
      <w:szCs w:val="32"/>
      <w:lang w:bidi="en-US"/>
    </w:rPr>
  </w:style>
  <w:style w:type="paragraph" w:styleId="5">
    <w:name w:val="heading 4"/>
    <w:basedOn w:val="1"/>
    <w:next w:val="1"/>
    <w:link w:val="52"/>
    <w:unhideWhenUsed/>
    <w:qFormat/>
    <w:uiPriority w:val="0"/>
    <w:pPr>
      <w:keepNext/>
      <w:keepLines/>
      <w:widowControl/>
      <w:numPr>
        <w:ilvl w:val="3"/>
        <w:numId w:val="1"/>
      </w:numPr>
      <w:adjustRightInd w:val="0"/>
      <w:snapToGrid w:val="0"/>
      <w:spacing w:before="280" w:after="290" w:line="376" w:lineRule="auto"/>
      <w:ind w:firstLine="200" w:firstLineChars="200"/>
      <w:outlineLvl w:val="3"/>
    </w:pPr>
    <w:rPr>
      <w:rFonts w:ascii="等线 Light" w:hAnsi="等线 Light" w:eastAsia="等线 Light" w:cs="Times New Roman"/>
      <w:b/>
      <w:bCs/>
      <w:sz w:val="28"/>
      <w:szCs w:val="28"/>
      <w:lang w:bidi="en-US"/>
    </w:rPr>
  </w:style>
  <w:style w:type="paragraph" w:styleId="6">
    <w:name w:val="heading 5"/>
    <w:basedOn w:val="1"/>
    <w:next w:val="1"/>
    <w:link w:val="53"/>
    <w:unhideWhenUsed/>
    <w:qFormat/>
    <w:uiPriority w:val="0"/>
    <w:pPr>
      <w:keepNext/>
      <w:keepLines/>
      <w:widowControl/>
      <w:numPr>
        <w:ilvl w:val="4"/>
        <w:numId w:val="1"/>
      </w:numPr>
      <w:adjustRightInd w:val="0"/>
      <w:snapToGrid w:val="0"/>
      <w:spacing w:before="280" w:after="290" w:line="376" w:lineRule="auto"/>
      <w:ind w:firstLine="200" w:firstLineChars="200"/>
      <w:outlineLvl w:val="4"/>
    </w:pPr>
    <w:rPr>
      <w:rFonts w:ascii="Calibri" w:hAnsi="Calibri" w:eastAsia="仿宋" w:cs="Times New Roman"/>
      <w:b/>
      <w:bCs/>
      <w:sz w:val="28"/>
      <w:szCs w:val="28"/>
      <w:lang w:bidi="en-US"/>
    </w:rPr>
  </w:style>
  <w:style w:type="paragraph" w:styleId="7">
    <w:name w:val="heading 6"/>
    <w:basedOn w:val="1"/>
    <w:next w:val="1"/>
    <w:link w:val="54"/>
    <w:unhideWhenUsed/>
    <w:qFormat/>
    <w:uiPriority w:val="9"/>
    <w:pPr>
      <w:keepNext/>
      <w:keepLines/>
      <w:widowControl/>
      <w:numPr>
        <w:ilvl w:val="5"/>
        <w:numId w:val="1"/>
      </w:numPr>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55"/>
    <w:unhideWhenUsed/>
    <w:qFormat/>
    <w:uiPriority w:val="9"/>
    <w:pPr>
      <w:keepNext/>
      <w:keepLines/>
      <w:widowControl/>
      <w:spacing w:before="240" w:after="64" w:line="320" w:lineRule="auto"/>
      <w:ind w:left="1296"/>
      <w:outlineLvl w:val="6"/>
    </w:pPr>
    <w:rPr>
      <w:rFonts w:eastAsia="宋体"/>
      <w:b/>
      <w:bCs/>
      <w:sz w:val="24"/>
      <w:szCs w:val="24"/>
    </w:rPr>
  </w:style>
  <w:style w:type="paragraph" w:styleId="9">
    <w:name w:val="heading 8"/>
    <w:basedOn w:val="1"/>
    <w:next w:val="1"/>
    <w:link w:val="56"/>
    <w:unhideWhenUsed/>
    <w:qFormat/>
    <w:uiPriority w:val="9"/>
    <w:pPr>
      <w:keepNext/>
      <w:keepLines/>
      <w:widowControl/>
      <w:spacing w:before="240" w:after="64" w:line="320" w:lineRule="auto"/>
      <w:ind w:left="1440"/>
      <w:outlineLvl w:val="7"/>
    </w:pPr>
    <w:rPr>
      <w:rFonts w:asciiTheme="majorHAnsi" w:hAnsiTheme="majorHAnsi" w:eastAsiaTheme="majorEastAsia" w:cstheme="majorBidi"/>
      <w:sz w:val="24"/>
      <w:szCs w:val="24"/>
    </w:rPr>
  </w:style>
  <w:style w:type="paragraph" w:styleId="10">
    <w:name w:val="heading 9"/>
    <w:basedOn w:val="1"/>
    <w:next w:val="1"/>
    <w:link w:val="57"/>
    <w:unhideWhenUsed/>
    <w:qFormat/>
    <w:uiPriority w:val="9"/>
    <w:pPr>
      <w:keepNext/>
      <w:keepLines/>
      <w:widowControl/>
      <w:spacing w:before="240" w:after="64" w:line="320" w:lineRule="auto"/>
      <w:ind w:left="1584"/>
      <w:outlineLvl w:val="8"/>
    </w:pPr>
    <w:rPr>
      <w:rFonts w:asciiTheme="majorHAnsi" w:hAnsiTheme="majorHAnsi" w:eastAsiaTheme="majorEastAsia" w:cstheme="majorBidi"/>
      <w:szCs w:val="21"/>
    </w:rPr>
  </w:style>
  <w:style w:type="character" w:default="1" w:styleId="39">
    <w:name w:val="Default Paragraph Font"/>
    <w:semiHidden/>
    <w:unhideWhenUsed/>
    <w:qFormat/>
    <w:uiPriority w:val="1"/>
  </w:style>
  <w:style w:type="table" w:default="1" w:styleId="37">
    <w:name w:val="Normal Table"/>
    <w:semiHidden/>
    <w:unhideWhenUsed/>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widowControl/>
      <w:ind w:left="1440"/>
      <w:jc w:val="left"/>
    </w:pPr>
    <w:rPr>
      <w:rFonts w:hAnsi="宋体" w:cs="宋体" w:eastAsiaTheme="minorHAnsi"/>
      <w:kern w:val="0"/>
      <w:sz w:val="20"/>
      <w:szCs w:val="20"/>
    </w:rPr>
  </w:style>
  <w:style w:type="paragraph" w:styleId="12">
    <w:name w:val="Normal Indent"/>
    <w:basedOn w:val="1"/>
    <w:qFormat/>
    <w:uiPriority w:val="0"/>
    <w:pPr>
      <w:adjustRightInd w:val="0"/>
      <w:spacing w:after="120" w:line="336" w:lineRule="auto"/>
      <w:ind w:firstLine="480" w:firstLineChars="200"/>
      <w:textAlignment w:val="baseline"/>
    </w:pPr>
    <w:rPr>
      <w:rFonts w:ascii="Times New Roman" w:hAnsi="Times New Roman" w:eastAsia="华康简宋" w:cs="Times New Roman"/>
      <w:sz w:val="24"/>
      <w:szCs w:val="20"/>
    </w:rPr>
  </w:style>
  <w:style w:type="paragraph" w:styleId="13">
    <w:name w:val="caption"/>
    <w:basedOn w:val="1"/>
    <w:next w:val="1"/>
    <w:link w:val="98"/>
    <w:unhideWhenUsed/>
    <w:qFormat/>
    <w:uiPriority w:val="35"/>
    <w:pPr>
      <w:widowControl/>
      <w:adjustRightInd w:val="0"/>
      <w:snapToGrid w:val="0"/>
      <w:spacing w:line="360" w:lineRule="auto"/>
      <w:ind w:firstLine="200" w:firstLineChars="200"/>
    </w:pPr>
    <w:rPr>
      <w:rFonts w:eastAsia="黑体" w:asciiTheme="majorHAnsi" w:hAnsiTheme="majorHAnsi" w:cstheme="majorBidi"/>
      <w:sz w:val="20"/>
      <w:szCs w:val="20"/>
      <w:lang w:bidi="en-US"/>
    </w:rPr>
  </w:style>
  <w:style w:type="paragraph" w:styleId="14">
    <w:name w:val="Document Map"/>
    <w:basedOn w:val="1"/>
    <w:link w:val="58"/>
    <w:unhideWhenUsed/>
    <w:qFormat/>
    <w:uiPriority w:val="99"/>
    <w:pPr>
      <w:widowControl/>
      <w:jc w:val="left"/>
    </w:pPr>
    <w:rPr>
      <w:rFonts w:ascii="宋体" w:hAnsi="宋体" w:eastAsia="宋体" w:cs="宋体"/>
      <w:kern w:val="0"/>
      <w:sz w:val="18"/>
      <w:szCs w:val="18"/>
    </w:rPr>
  </w:style>
  <w:style w:type="paragraph" w:styleId="15">
    <w:name w:val="annotation text"/>
    <w:basedOn w:val="1"/>
    <w:link w:val="79"/>
    <w:unhideWhenUsed/>
    <w:qFormat/>
    <w:uiPriority w:val="99"/>
    <w:pPr>
      <w:widowControl/>
      <w:jc w:val="left"/>
    </w:pPr>
    <w:rPr>
      <w:rFonts w:ascii="宋体" w:hAnsi="宋体" w:eastAsia="宋体" w:cs="宋体"/>
      <w:kern w:val="0"/>
      <w:sz w:val="24"/>
      <w:szCs w:val="24"/>
    </w:rPr>
  </w:style>
  <w:style w:type="paragraph" w:styleId="16">
    <w:name w:val="Body Text"/>
    <w:basedOn w:val="1"/>
    <w:link w:val="60"/>
    <w:qFormat/>
    <w:uiPriority w:val="99"/>
    <w:pPr>
      <w:widowControl/>
      <w:adjustRightInd w:val="0"/>
      <w:snapToGrid w:val="0"/>
      <w:spacing w:after="120" w:line="360" w:lineRule="auto"/>
      <w:ind w:firstLine="200" w:firstLineChars="200"/>
    </w:pPr>
    <w:rPr>
      <w:rFonts w:ascii="Times New Roman" w:hAnsi="Times New Roman" w:eastAsia="仿宋" w:cs="Times New Roman"/>
      <w:sz w:val="28"/>
      <w:szCs w:val="20"/>
      <w:lang w:bidi="en-US"/>
    </w:rPr>
  </w:style>
  <w:style w:type="paragraph" w:styleId="17">
    <w:name w:val="Body Text Indent"/>
    <w:basedOn w:val="1"/>
    <w:link w:val="61"/>
    <w:qFormat/>
    <w:uiPriority w:val="0"/>
    <w:pPr>
      <w:widowControl/>
      <w:adjustRightInd w:val="0"/>
      <w:snapToGrid w:val="0"/>
      <w:spacing w:after="120" w:line="360" w:lineRule="auto"/>
      <w:ind w:left="420" w:leftChars="200" w:firstLine="200" w:firstLineChars="200"/>
    </w:pPr>
    <w:rPr>
      <w:rFonts w:ascii="Calibri" w:hAnsi="Calibri" w:eastAsia="仿宋" w:cs="Times New Roman"/>
      <w:sz w:val="28"/>
      <w:szCs w:val="20"/>
      <w:lang w:bidi="en-US"/>
    </w:rPr>
  </w:style>
  <w:style w:type="paragraph" w:styleId="18">
    <w:name w:val="toc 5"/>
    <w:basedOn w:val="1"/>
    <w:next w:val="1"/>
    <w:unhideWhenUsed/>
    <w:qFormat/>
    <w:uiPriority w:val="39"/>
    <w:pPr>
      <w:widowControl/>
      <w:ind w:left="960"/>
      <w:jc w:val="left"/>
    </w:pPr>
    <w:rPr>
      <w:rFonts w:hAnsi="宋体" w:cs="宋体" w:eastAsiaTheme="minorHAnsi"/>
      <w:kern w:val="0"/>
      <w:sz w:val="20"/>
      <w:szCs w:val="20"/>
    </w:rPr>
  </w:style>
  <w:style w:type="paragraph" w:styleId="19">
    <w:name w:val="toc 3"/>
    <w:basedOn w:val="1"/>
    <w:next w:val="1"/>
    <w:unhideWhenUsed/>
    <w:qFormat/>
    <w:uiPriority w:val="39"/>
    <w:pPr>
      <w:widowControl/>
      <w:ind w:left="480"/>
      <w:jc w:val="left"/>
    </w:pPr>
    <w:rPr>
      <w:rFonts w:hAnsi="宋体" w:cs="宋体" w:eastAsiaTheme="minorHAnsi"/>
      <w:kern w:val="0"/>
      <w:sz w:val="20"/>
      <w:szCs w:val="20"/>
    </w:rPr>
  </w:style>
  <w:style w:type="paragraph" w:styleId="20">
    <w:name w:val="Plain Text"/>
    <w:basedOn w:val="1"/>
    <w:link w:val="62"/>
    <w:unhideWhenUsed/>
    <w:qFormat/>
    <w:uiPriority w:val="99"/>
    <w:pPr>
      <w:widowControl/>
    </w:pPr>
    <w:rPr>
      <w:rFonts w:ascii="宋体" w:hAnsi="Courier New" w:eastAsia="宋体" w:cs="Courier New"/>
      <w:szCs w:val="21"/>
    </w:rPr>
  </w:style>
  <w:style w:type="paragraph" w:styleId="21">
    <w:name w:val="toc 8"/>
    <w:basedOn w:val="1"/>
    <w:next w:val="1"/>
    <w:unhideWhenUsed/>
    <w:qFormat/>
    <w:uiPriority w:val="39"/>
    <w:pPr>
      <w:widowControl/>
      <w:ind w:left="1680"/>
      <w:jc w:val="left"/>
    </w:pPr>
    <w:rPr>
      <w:rFonts w:hAnsi="宋体" w:cs="宋体" w:eastAsiaTheme="minorHAnsi"/>
      <w:kern w:val="0"/>
      <w:sz w:val="20"/>
      <w:szCs w:val="20"/>
    </w:rPr>
  </w:style>
  <w:style w:type="paragraph" w:styleId="22">
    <w:name w:val="Date"/>
    <w:basedOn w:val="1"/>
    <w:next w:val="1"/>
    <w:link w:val="63"/>
    <w:qFormat/>
    <w:uiPriority w:val="0"/>
    <w:pPr>
      <w:widowControl/>
      <w:adjustRightInd w:val="0"/>
      <w:snapToGrid w:val="0"/>
      <w:spacing w:line="360" w:lineRule="auto"/>
      <w:ind w:left="100" w:leftChars="2500" w:firstLine="200" w:firstLineChars="200"/>
    </w:pPr>
    <w:rPr>
      <w:rFonts w:ascii="Calibri" w:hAnsi="Calibri" w:eastAsia="仿宋" w:cs="Times New Roman"/>
      <w:sz w:val="28"/>
      <w:szCs w:val="20"/>
      <w:lang w:bidi="en-US"/>
    </w:rPr>
  </w:style>
  <w:style w:type="paragraph" w:styleId="23">
    <w:name w:val="endnote text"/>
    <w:basedOn w:val="1"/>
    <w:next w:val="20"/>
    <w:link w:val="64"/>
    <w:qFormat/>
    <w:uiPriority w:val="0"/>
    <w:pPr>
      <w:adjustRightInd w:val="0"/>
      <w:spacing w:line="380" w:lineRule="atLeast"/>
      <w:jc w:val="center"/>
      <w:textAlignment w:val="baseline"/>
    </w:pPr>
    <w:rPr>
      <w:rFonts w:ascii="Times New Roman" w:hAnsi="Times New Roman" w:eastAsia="宋体" w:cs="Times New Roman"/>
      <w:kern w:val="0"/>
      <w:szCs w:val="20"/>
    </w:rPr>
  </w:style>
  <w:style w:type="paragraph" w:styleId="24">
    <w:name w:val="Balloon Text"/>
    <w:basedOn w:val="1"/>
    <w:link w:val="48"/>
    <w:unhideWhenUsed/>
    <w:qFormat/>
    <w:uiPriority w:val="0"/>
    <w:rPr>
      <w:sz w:val="18"/>
      <w:szCs w:val="18"/>
    </w:rPr>
  </w:style>
  <w:style w:type="paragraph" w:styleId="25">
    <w:name w:val="footer"/>
    <w:basedOn w:val="1"/>
    <w:link w:val="47"/>
    <w:unhideWhenUsed/>
    <w:qFormat/>
    <w:uiPriority w:val="99"/>
    <w:pPr>
      <w:tabs>
        <w:tab w:val="center" w:pos="4153"/>
        <w:tab w:val="right" w:pos="8306"/>
      </w:tabs>
      <w:snapToGrid w:val="0"/>
      <w:jc w:val="left"/>
    </w:pPr>
    <w:rPr>
      <w:sz w:val="18"/>
      <w:szCs w:val="18"/>
    </w:rPr>
  </w:style>
  <w:style w:type="paragraph" w:styleId="26">
    <w:name w:val="header"/>
    <w:basedOn w:val="1"/>
    <w:link w:val="46"/>
    <w:unhideWhenUsed/>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unhideWhenUsed/>
    <w:qFormat/>
    <w:uiPriority w:val="39"/>
    <w:pPr>
      <w:widowControl/>
      <w:spacing w:before="120"/>
      <w:jc w:val="left"/>
    </w:pPr>
    <w:rPr>
      <w:rFonts w:hAnsi="宋体" w:cs="宋体" w:eastAsiaTheme="minorHAnsi"/>
      <w:b/>
      <w:bCs/>
      <w:i/>
      <w:iCs/>
      <w:kern w:val="0"/>
      <w:sz w:val="24"/>
      <w:szCs w:val="24"/>
    </w:rPr>
  </w:style>
  <w:style w:type="paragraph" w:styleId="28">
    <w:name w:val="toc 4"/>
    <w:basedOn w:val="1"/>
    <w:next w:val="1"/>
    <w:unhideWhenUsed/>
    <w:qFormat/>
    <w:uiPriority w:val="39"/>
    <w:pPr>
      <w:widowControl/>
      <w:ind w:left="720"/>
      <w:jc w:val="left"/>
    </w:pPr>
    <w:rPr>
      <w:rFonts w:hAnsi="宋体" w:cs="宋体" w:eastAsiaTheme="minorHAnsi"/>
      <w:kern w:val="0"/>
      <w:sz w:val="20"/>
      <w:szCs w:val="20"/>
    </w:rPr>
  </w:style>
  <w:style w:type="paragraph" w:styleId="29">
    <w:name w:val="toc 6"/>
    <w:basedOn w:val="1"/>
    <w:next w:val="1"/>
    <w:unhideWhenUsed/>
    <w:qFormat/>
    <w:uiPriority w:val="39"/>
    <w:pPr>
      <w:widowControl/>
      <w:ind w:left="1200"/>
      <w:jc w:val="left"/>
    </w:pPr>
    <w:rPr>
      <w:rFonts w:hAnsi="宋体" w:cs="宋体" w:eastAsiaTheme="minorHAnsi"/>
      <w:kern w:val="0"/>
      <w:sz w:val="20"/>
      <w:szCs w:val="20"/>
    </w:rPr>
  </w:style>
  <w:style w:type="paragraph" w:styleId="30">
    <w:name w:val="table of figures"/>
    <w:basedOn w:val="1"/>
    <w:next w:val="1"/>
    <w:qFormat/>
    <w:uiPriority w:val="0"/>
    <w:pPr>
      <w:spacing w:line="360" w:lineRule="auto"/>
      <w:ind w:left="200" w:leftChars="200" w:hanging="200" w:hangingChars="200"/>
    </w:pPr>
    <w:rPr>
      <w:rFonts w:ascii="仿宋" w:hAnsi="仿宋" w:eastAsia="仿宋"/>
      <w:sz w:val="28"/>
      <w:szCs w:val="28"/>
    </w:rPr>
  </w:style>
  <w:style w:type="paragraph" w:styleId="31">
    <w:name w:val="toc 2"/>
    <w:basedOn w:val="1"/>
    <w:next w:val="1"/>
    <w:unhideWhenUsed/>
    <w:qFormat/>
    <w:uiPriority w:val="39"/>
    <w:pPr>
      <w:widowControl/>
      <w:spacing w:before="120"/>
      <w:ind w:left="240"/>
      <w:jc w:val="left"/>
    </w:pPr>
    <w:rPr>
      <w:rFonts w:hAnsi="宋体" w:cs="宋体" w:eastAsiaTheme="minorHAnsi"/>
      <w:b/>
      <w:bCs/>
      <w:kern w:val="0"/>
      <w:sz w:val="22"/>
    </w:rPr>
  </w:style>
  <w:style w:type="paragraph" w:styleId="32">
    <w:name w:val="toc 9"/>
    <w:basedOn w:val="1"/>
    <w:next w:val="1"/>
    <w:unhideWhenUsed/>
    <w:qFormat/>
    <w:uiPriority w:val="39"/>
    <w:pPr>
      <w:widowControl/>
      <w:ind w:left="1920"/>
      <w:jc w:val="left"/>
    </w:pPr>
    <w:rPr>
      <w:rFonts w:hAnsi="宋体" w:cs="宋体" w:eastAsiaTheme="minorHAnsi"/>
      <w:kern w:val="0"/>
      <w:sz w:val="20"/>
      <w:szCs w:val="20"/>
    </w:rPr>
  </w:style>
  <w:style w:type="paragraph" w:styleId="33">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paragraph" w:styleId="34">
    <w:name w:val="Title"/>
    <w:basedOn w:val="1"/>
    <w:next w:val="1"/>
    <w:link w:val="65"/>
    <w:qFormat/>
    <w:uiPriority w:val="10"/>
    <w:pPr>
      <w:widowControl/>
      <w:adjustRightInd w:val="0"/>
      <w:snapToGrid w:val="0"/>
      <w:spacing w:before="240" w:after="60" w:line="360" w:lineRule="auto"/>
      <w:ind w:firstLine="200" w:firstLineChars="200"/>
      <w:jc w:val="center"/>
      <w:outlineLvl w:val="0"/>
    </w:pPr>
    <w:rPr>
      <w:rFonts w:eastAsia="宋体" w:asciiTheme="majorHAnsi" w:hAnsiTheme="majorHAnsi" w:cstheme="majorBidi"/>
      <w:b/>
      <w:bCs/>
      <w:sz w:val="32"/>
      <w:szCs w:val="32"/>
      <w:lang w:bidi="en-US"/>
    </w:rPr>
  </w:style>
  <w:style w:type="paragraph" w:styleId="35">
    <w:name w:val="annotation subject"/>
    <w:basedOn w:val="15"/>
    <w:next w:val="15"/>
    <w:link w:val="66"/>
    <w:qFormat/>
    <w:uiPriority w:val="99"/>
    <w:pPr>
      <w:adjustRightInd w:val="0"/>
      <w:snapToGrid w:val="0"/>
      <w:spacing w:line="360" w:lineRule="auto"/>
      <w:ind w:firstLine="200" w:firstLineChars="200"/>
    </w:pPr>
    <w:rPr>
      <w:rFonts w:ascii="Calibri" w:hAnsi="Calibri" w:eastAsia="仿宋" w:cs="Times New Roman"/>
      <w:b/>
      <w:bCs/>
      <w:kern w:val="2"/>
      <w:sz w:val="28"/>
      <w:szCs w:val="20"/>
      <w:lang w:bidi="en-US"/>
    </w:rPr>
  </w:style>
  <w:style w:type="paragraph" w:styleId="36">
    <w:name w:val="Body Text First Indent 2"/>
    <w:basedOn w:val="17"/>
    <w:link w:val="67"/>
    <w:unhideWhenUsed/>
    <w:qFormat/>
    <w:uiPriority w:val="0"/>
    <w:pPr>
      <w:ind w:firstLine="420"/>
    </w:pPr>
  </w:style>
  <w:style w:type="table" w:styleId="38">
    <w:name w:val="Table Grid"/>
    <w:basedOn w:val="3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40">
    <w:name w:val="Strong"/>
    <w:basedOn w:val="39"/>
    <w:qFormat/>
    <w:uiPriority w:val="0"/>
    <w:rPr>
      <w:b/>
      <w:bCs/>
    </w:rPr>
  </w:style>
  <w:style w:type="character" w:styleId="41">
    <w:name w:val="FollowedHyperlink"/>
    <w:unhideWhenUsed/>
    <w:qFormat/>
    <w:uiPriority w:val="99"/>
    <w:rPr>
      <w:color w:val="954F72"/>
      <w:u w:val="single"/>
    </w:rPr>
  </w:style>
  <w:style w:type="character" w:styleId="42">
    <w:name w:val="Emphasis"/>
    <w:qFormat/>
    <w:uiPriority w:val="0"/>
    <w:rPr>
      <w:rFonts w:eastAsia="仿宋"/>
      <w:b/>
      <w:sz w:val="28"/>
    </w:rPr>
  </w:style>
  <w:style w:type="character" w:styleId="43">
    <w:name w:val="Hyperlink"/>
    <w:basedOn w:val="39"/>
    <w:unhideWhenUsed/>
    <w:qFormat/>
    <w:uiPriority w:val="99"/>
    <w:rPr>
      <w:color w:val="0563C1" w:themeColor="hyperlink"/>
      <w:u w:val="single"/>
      <w14:textFill>
        <w14:solidFill>
          <w14:schemeClr w14:val="hlink"/>
        </w14:solidFill>
      </w14:textFill>
    </w:rPr>
  </w:style>
  <w:style w:type="character" w:styleId="44">
    <w:name w:val="annotation reference"/>
    <w:basedOn w:val="39"/>
    <w:unhideWhenUsed/>
    <w:qFormat/>
    <w:uiPriority w:val="99"/>
    <w:rPr>
      <w:sz w:val="21"/>
      <w:szCs w:val="21"/>
    </w:rPr>
  </w:style>
  <w:style w:type="paragraph" w:styleId="45">
    <w:name w:val="List Paragraph"/>
    <w:basedOn w:val="1"/>
    <w:qFormat/>
    <w:uiPriority w:val="99"/>
    <w:pPr>
      <w:ind w:firstLine="420" w:firstLineChars="200"/>
    </w:pPr>
  </w:style>
  <w:style w:type="character" w:customStyle="1" w:styleId="46">
    <w:name w:val="页眉 Char1"/>
    <w:basedOn w:val="39"/>
    <w:link w:val="26"/>
    <w:qFormat/>
    <w:uiPriority w:val="99"/>
    <w:rPr>
      <w:sz w:val="18"/>
      <w:szCs w:val="18"/>
    </w:rPr>
  </w:style>
  <w:style w:type="character" w:customStyle="1" w:styleId="47">
    <w:name w:val="页脚 Char1"/>
    <w:basedOn w:val="39"/>
    <w:link w:val="25"/>
    <w:qFormat/>
    <w:uiPriority w:val="99"/>
    <w:rPr>
      <w:sz w:val="18"/>
      <w:szCs w:val="18"/>
    </w:rPr>
  </w:style>
  <w:style w:type="character" w:customStyle="1" w:styleId="48">
    <w:name w:val="批注框文本 Char1"/>
    <w:basedOn w:val="39"/>
    <w:link w:val="24"/>
    <w:qFormat/>
    <w:uiPriority w:val="0"/>
    <w:rPr>
      <w:sz w:val="18"/>
      <w:szCs w:val="18"/>
    </w:rPr>
  </w:style>
  <w:style w:type="character" w:customStyle="1" w:styleId="49">
    <w:name w:val="标题 1 Char"/>
    <w:basedOn w:val="39"/>
    <w:link w:val="2"/>
    <w:qFormat/>
    <w:uiPriority w:val="0"/>
    <w:rPr>
      <w:rFonts w:asciiTheme="minorHAnsi" w:hAnsiTheme="minorHAnsi" w:eastAsiaTheme="minorEastAsia" w:cstheme="minorBidi"/>
      <w:b/>
      <w:bCs/>
      <w:kern w:val="44"/>
      <w:sz w:val="44"/>
      <w:szCs w:val="44"/>
    </w:rPr>
  </w:style>
  <w:style w:type="character" w:customStyle="1" w:styleId="50">
    <w:name w:val="标题 2 Char"/>
    <w:basedOn w:val="39"/>
    <w:link w:val="3"/>
    <w:qFormat/>
    <w:uiPriority w:val="9"/>
    <w:rPr>
      <w:rFonts w:ascii="等线 Light" w:hAnsi="等线 Light" w:eastAsia="等线 Light"/>
      <w:b/>
      <w:bCs/>
      <w:kern w:val="2"/>
      <w:sz w:val="32"/>
      <w:szCs w:val="32"/>
      <w:lang w:bidi="en-US"/>
    </w:rPr>
  </w:style>
  <w:style w:type="character" w:customStyle="1" w:styleId="51">
    <w:name w:val="标题 3 Char"/>
    <w:basedOn w:val="39"/>
    <w:link w:val="4"/>
    <w:qFormat/>
    <w:uiPriority w:val="9"/>
    <w:rPr>
      <w:rFonts w:ascii="Calibri" w:hAnsi="Calibri" w:eastAsia="仿宋"/>
      <w:b/>
      <w:bCs/>
      <w:kern w:val="2"/>
      <w:sz w:val="32"/>
      <w:szCs w:val="32"/>
      <w:lang w:bidi="en-US"/>
    </w:rPr>
  </w:style>
  <w:style w:type="character" w:customStyle="1" w:styleId="52">
    <w:name w:val="标题 4 Char1"/>
    <w:basedOn w:val="39"/>
    <w:link w:val="5"/>
    <w:qFormat/>
    <w:uiPriority w:val="0"/>
    <w:rPr>
      <w:rFonts w:ascii="等线 Light" w:hAnsi="等线 Light" w:eastAsia="等线 Light"/>
      <w:b/>
      <w:bCs/>
      <w:kern w:val="2"/>
      <w:sz w:val="28"/>
      <w:szCs w:val="28"/>
      <w:lang w:bidi="en-US"/>
    </w:rPr>
  </w:style>
  <w:style w:type="character" w:customStyle="1" w:styleId="53">
    <w:name w:val="标题 5 Char"/>
    <w:basedOn w:val="39"/>
    <w:link w:val="6"/>
    <w:qFormat/>
    <w:uiPriority w:val="0"/>
    <w:rPr>
      <w:rFonts w:ascii="Calibri" w:hAnsi="Calibri" w:eastAsia="仿宋"/>
      <w:b/>
      <w:bCs/>
      <w:kern w:val="2"/>
      <w:sz w:val="28"/>
      <w:szCs w:val="28"/>
      <w:lang w:bidi="en-US"/>
    </w:rPr>
  </w:style>
  <w:style w:type="character" w:customStyle="1" w:styleId="54">
    <w:name w:val="标题 6 Char"/>
    <w:basedOn w:val="39"/>
    <w:link w:val="7"/>
    <w:qFormat/>
    <w:uiPriority w:val="9"/>
    <w:rPr>
      <w:rFonts w:asciiTheme="majorHAnsi" w:hAnsiTheme="majorHAnsi" w:eastAsiaTheme="majorEastAsia" w:cstheme="majorBidi"/>
      <w:b/>
      <w:bCs/>
      <w:kern w:val="2"/>
      <w:sz w:val="24"/>
      <w:szCs w:val="24"/>
    </w:rPr>
  </w:style>
  <w:style w:type="character" w:customStyle="1" w:styleId="55">
    <w:name w:val="标题 7 Char"/>
    <w:basedOn w:val="39"/>
    <w:link w:val="8"/>
    <w:qFormat/>
    <w:uiPriority w:val="9"/>
    <w:rPr>
      <w:rFonts w:asciiTheme="minorHAnsi" w:hAnsiTheme="minorHAnsi" w:cstheme="minorBidi"/>
      <w:b/>
      <w:bCs/>
      <w:kern w:val="2"/>
      <w:sz w:val="24"/>
      <w:szCs w:val="24"/>
    </w:rPr>
  </w:style>
  <w:style w:type="character" w:customStyle="1" w:styleId="56">
    <w:name w:val="标题 8 Char"/>
    <w:basedOn w:val="39"/>
    <w:link w:val="9"/>
    <w:qFormat/>
    <w:uiPriority w:val="9"/>
    <w:rPr>
      <w:rFonts w:asciiTheme="majorHAnsi" w:hAnsiTheme="majorHAnsi" w:eastAsiaTheme="majorEastAsia" w:cstheme="majorBidi"/>
      <w:kern w:val="2"/>
      <w:sz w:val="24"/>
      <w:szCs w:val="24"/>
    </w:rPr>
  </w:style>
  <w:style w:type="character" w:customStyle="1" w:styleId="57">
    <w:name w:val="标题 9 Char"/>
    <w:basedOn w:val="39"/>
    <w:link w:val="10"/>
    <w:qFormat/>
    <w:uiPriority w:val="9"/>
    <w:rPr>
      <w:rFonts w:asciiTheme="majorHAnsi" w:hAnsiTheme="majorHAnsi" w:eastAsiaTheme="majorEastAsia" w:cstheme="majorBidi"/>
      <w:kern w:val="2"/>
      <w:sz w:val="21"/>
      <w:szCs w:val="21"/>
    </w:rPr>
  </w:style>
  <w:style w:type="character" w:customStyle="1" w:styleId="58">
    <w:name w:val="文档结构图 Char"/>
    <w:basedOn w:val="39"/>
    <w:link w:val="14"/>
    <w:qFormat/>
    <w:uiPriority w:val="99"/>
    <w:rPr>
      <w:rFonts w:ascii="宋体" w:hAnsi="宋体" w:cs="宋体"/>
      <w:sz w:val="18"/>
      <w:szCs w:val="18"/>
    </w:rPr>
  </w:style>
  <w:style w:type="character" w:customStyle="1" w:styleId="59">
    <w:name w:val="批注文字 字符"/>
    <w:basedOn w:val="39"/>
    <w:qFormat/>
    <w:uiPriority w:val="99"/>
    <w:rPr>
      <w:rFonts w:asciiTheme="minorHAnsi" w:hAnsiTheme="minorHAnsi" w:eastAsiaTheme="minorEastAsia" w:cstheme="minorBidi"/>
      <w:kern w:val="2"/>
      <w:sz w:val="21"/>
      <w:szCs w:val="22"/>
    </w:rPr>
  </w:style>
  <w:style w:type="character" w:customStyle="1" w:styleId="60">
    <w:name w:val="正文文本 Char"/>
    <w:basedOn w:val="39"/>
    <w:link w:val="16"/>
    <w:qFormat/>
    <w:uiPriority w:val="99"/>
    <w:rPr>
      <w:rFonts w:eastAsia="仿宋"/>
      <w:kern w:val="2"/>
      <w:sz w:val="28"/>
      <w:lang w:bidi="en-US"/>
    </w:rPr>
  </w:style>
  <w:style w:type="character" w:customStyle="1" w:styleId="61">
    <w:name w:val="正文文本缩进 Char1"/>
    <w:basedOn w:val="39"/>
    <w:link w:val="17"/>
    <w:qFormat/>
    <w:uiPriority w:val="0"/>
    <w:rPr>
      <w:rFonts w:ascii="Calibri" w:hAnsi="Calibri" w:eastAsia="仿宋"/>
      <w:kern w:val="2"/>
      <w:sz w:val="28"/>
      <w:lang w:bidi="en-US"/>
    </w:rPr>
  </w:style>
  <w:style w:type="character" w:customStyle="1" w:styleId="62">
    <w:name w:val="纯文本 Char"/>
    <w:basedOn w:val="39"/>
    <w:link w:val="20"/>
    <w:qFormat/>
    <w:uiPriority w:val="99"/>
    <w:rPr>
      <w:rFonts w:ascii="宋体" w:hAnsi="Courier New" w:cs="Courier New"/>
      <w:kern w:val="2"/>
      <w:sz w:val="21"/>
      <w:szCs w:val="21"/>
    </w:rPr>
  </w:style>
  <w:style w:type="character" w:customStyle="1" w:styleId="63">
    <w:name w:val="日期 Char"/>
    <w:basedOn w:val="39"/>
    <w:link w:val="22"/>
    <w:qFormat/>
    <w:uiPriority w:val="0"/>
    <w:rPr>
      <w:rFonts w:ascii="Calibri" w:hAnsi="Calibri" w:eastAsia="仿宋"/>
      <w:kern w:val="2"/>
      <w:sz w:val="28"/>
      <w:lang w:bidi="en-US"/>
    </w:rPr>
  </w:style>
  <w:style w:type="character" w:customStyle="1" w:styleId="64">
    <w:name w:val="尾注文本 Char"/>
    <w:basedOn w:val="39"/>
    <w:link w:val="23"/>
    <w:qFormat/>
    <w:uiPriority w:val="0"/>
    <w:rPr>
      <w:sz w:val="21"/>
    </w:rPr>
  </w:style>
  <w:style w:type="character" w:customStyle="1" w:styleId="65">
    <w:name w:val="标题 Char"/>
    <w:basedOn w:val="39"/>
    <w:link w:val="34"/>
    <w:qFormat/>
    <w:uiPriority w:val="10"/>
    <w:rPr>
      <w:rFonts w:asciiTheme="majorHAnsi" w:hAnsiTheme="majorHAnsi" w:cstheme="majorBidi"/>
      <w:b/>
      <w:bCs/>
      <w:kern w:val="2"/>
      <w:sz w:val="32"/>
      <w:szCs w:val="32"/>
      <w:lang w:bidi="en-US"/>
    </w:rPr>
  </w:style>
  <w:style w:type="character" w:customStyle="1" w:styleId="66">
    <w:name w:val="批注主题 Char1"/>
    <w:basedOn w:val="59"/>
    <w:link w:val="35"/>
    <w:qFormat/>
    <w:uiPriority w:val="99"/>
    <w:rPr>
      <w:rFonts w:ascii="Calibri" w:hAnsi="Calibri" w:eastAsia="仿宋" w:cstheme="minorBidi"/>
      <w:b/>
      <w:bCs/>
      <w:kern w:val="2"/>
      <w:sz w:val="28"/>
      <w:szCs w:val="22"/>
      <w:lang w:bidi="en-US"/>
    </w:rPr>
  </w:style>
  <w:style w:type="character" w:customStyle="1" w:styleId="67">
    <w:name w:val="正文首行缩进 2 Char1"/>
    <w:basedOn w:val="61"/>
    <w:link w:val="36"/>
    <w:qFormat/>
    <w:uiPriority w:val="0"/>
    <w:rPr>
      <w:rFonts w:ascii="Calibri" w:hAnsi="Calibri" w:eastAsia="仿宋"/>
      <w:kern w:val="2"/>
      <w:sz w:val="28"/>
      <w:lang w:bidi="en-US"/>
    </w:rPr>
  </w:style>
  <w:style w:type="paragraph" w:customStyle="1" w:styleId="68">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table" w:customStyle="1" w:styleId="69">
    <w:name w:val="Table Normal1"/>
    <w:unhideWhenUsed/>
    <w:qFormat/>
    <w:uiPriority w:val="2"/>
    <w:pPr>
      <w:widowControl w:val="0"/>
    </w:pPr>
    <w:rPr>
      <w:rFonts w:ascii="等线" w:hAnsi="等线" w:eastAsia="等线" w:cs="等线"/>
      <w:sz w:val="22"/>
      <w:lang w:eastAsia="en-US"/>
    </w:rPr>
    <w:tblPr>
      <w:tblLayout w:type="fixed"/>
      <w:tblCellMar>
        <w:top w:w="0" w:type="dxa"/>
        <w:left w:w="0" w:type="dxa"/>
        <w:bottom w:w="0" w:type="dxa"/>
        <w:right w:w="0" w:type="dxa"/>
      </w:tblCellMar>
    </w:tblPr>
  </w:style>
  <w:style w:type="paragraph" w:customStyle="1" w:styleId="70">
    <w:name w:val="Table Paragraph"/>
    <w:basedOn w:val="1"/>
    <w:qFormat/>
    <w:uiPriority w:val="1"/>
    <w:pPr>
      <w:jc w:val="left"/>
    </w:pPr>
    <w:rPr>
      <w:kern w:val="0"/>
      <w:sz w:val="22"/>
      <w:lang w:eastAsia="en-US"/>
    </w:rPr>
  </w:style>
  <w:style w:type="character" w:customStyle="1" w:styleId="71">
    <w:name w:val="fontstyle01"/>
    <w:basedOn w:val="39"/>
    <w:qFormat/>
    <w:uiPriority w:val="0"/>
    <w:rPr>
      <w:rFonts w:hint="eastAsia" w:ascii="宋体" w:hAnsi="宋体" w:eastAsia="宋体"/>
      <w:color w:val="000000"/>
      <w:sz w:val="22"/>
      <w:szCs w:val="22"/>
    </w:rPr>
  </w:style>
  <w:style w:type="character" w:customStyle="1" w:styleId="72">
    <w:name w:val="fontstyle21"/>
    <w:basedOn w:val="39"/>
    <w:qFormat/>
    <w:uiPriority w:val="0"/>
    <w:rPr>
      <w:rFonts w:hint="default" w:ascii="DengXian-Light" w:hAnsi="DengXian-Light"/>
      <w:color w:val="000000"/>
      <w:sz w:val="22"/>
      <w:szCs w:val="22"/>
    </w:rPr>
  </w:style>
  <w:style w:type="paragraph" w:customStyle="1" w:styleId="73">
    <w:name w:val="列出段落1"/>
    <w:basedOn w:val="1"/>
    <w:link w:val="101"/>
    <w:qFormat/>
    <w:uiPriority w:val="34"/>
    <w:pPr>
      <w:widowControl/>
      <w:ind w:firstLine="420" w:firstLineChars="200"/>
      <w:jc w:val="left"/>
    </w:pPr>
    <w:rPr>
      <w:rFonts w:ascii="宋体" w:hAnsi="宋体" w:eastAsia="宋体" w:cs="宋体"/>
      <w:kern w:val="0"/>
      <w:sz w:val="24"/>
      <w:szCs w:val="24"/>
    </w:rPr>
  </w:style>
  <w:style w:type="character" w:customStyle="1" w:styleId="74">
    <w:name w:val="正文首行缩进 2 字符"/>
    <w:basedOn w:val="61"/>
    <w:semiHidden/>
    <w:qFormat/>
    <w:uiPriority w:val="99"/>
    <w:rPr>
      <w:rFonts w:ascii="Calibri" w:hAnsi="Calibri" w:eastAsia="仿宋" w:cs="Times New Roman"/>
      <w:kern w:val="2"/>
      <w:sz w:val="28"/>
      <w:lang w:bidi="en-US"/>
    </w:rPr>
  </w:style>
  <w:style w:type="paragraph" w:customStyle="1" w:styleId="75">
    <w:name w:val="列出段落8"/>
    <w:basedOn w:val="1"/>
    <w:unhideWhenUsed/>
    <w:qFormat/>
    <w:uiPriority w:val="34"/>
    <w:pPr>
      <w:widowControl/>
      <w:adjustRightInd w:val="0"/>
      <w:snapToGrid w:val="0"/>
      <w:spacing w:line="360" w:lineRule="auto"/>
      <w:ind w:firstLine="420" w:firstLineChars="200"/>
    </w:pPr>
    <w:rPr>
      <w:rFonts w:ascii="Calibri" w:hAnsi="Calibri" w:eastAsia="仿宋" w:cs="Times New Roman"/>
      <w:sz w:val="28"/>
      <w:szCs w:val="20"/>
      <w:lang w:bidi="en-US"/>
    </w:rPr>
  </w:style>
  <w:style w:type="paragraph" w:customStyle="1" w:styleId="76">
    <w:name w:val="列表段落1"/>
    <w:basedOn w:val="1"/>
    <w:unhideWhenUsed/>
    <w:qFormat/>
    <w:uiPriority w:val="99"/>
    <w:pPr>
      <w:widowControl/>
      <w:adjustRightInd w:val="0"/>
      <w:snapToGrid w:val="0"/>
      <w:spacing w:line="360" w:lineRule="auto"/>
      <w:ind w:firstLine="420" w:firstLineChars="200"/>
    </w:pPr>
    <w:rPr>
      <w:rFonts w:ascii="Calibri" w:hAnsi="Calibri" w:eastAsia="仿宋" w:cs="Times New Roman"/>
      <w:sz w:val="28"/>
      <w:szCs w:val="20"/>
      <w:lang w:bidi="en-US"/>
    </w:rPr>
  </w:style>
  <w:style w:type="paragraph" w:customStyle="1" w:styleId="77">
    <w:name w:val="表格1"/>
    <w:basedOn w:val="1"/>
    <w:link w:val="78"/>
    <w:qFormat/>
    <w:uiPriority w:val="0"/>
    <w:pPr>
      <w:adjustRightInd w:val="0"/>
      <w:snapToGrid w:val="0"/>
      <w:jc w:val="center"/>
    </w:pPr>
    <w:rPr>
      <w:rFonts w:ascii="Times New Roman" w:hAnsi="Times New Roman" w:eastAsia="方正仿宋_GBK" w:cs="Times New Roman"/>
      <w:color w:val="000000"/>
      <w:kern w:val="0"/>
      <w:szCs w:val="24"/>
    </w:rPr>
  </w:style>
  <w:style w:type="character" w:customStyle="1" w:styleId="78">
    <w:name w:val="表格1 Char"/>
    <w:link w:val="77"/>
    <w:qFormat/>
    <w:uiPriority w:val="0"/>
    <w:rPr>
      <w:rFonts w:eastAsia="方正仿宋_GBK"/>
      <w:color w:val="000000"/>
      <w:sz w:val="21"/>
      <w:szCs w:val="24"/>
    </w:rPr>
  </w:style>
  <w:style w:type="character" w:customStyle="1" w:styleId="79">
    <w:name w:val="批注文字 Char1"/>
    <w:basedOn w:val="39"/>
    <w:link w:val="15"/>
    <w:qFormat/>
    <w:uiPriority w:val="99"/>
    <w:rPr>
      <w:rFonts w:ascii="宋体" w:hAnsi="宋体" w:cs="宋体"/>
      <w:sz w:val="24"/>
      <w:szCs w:val="24"/>
    </w:rPr>
  </w:style>
  <w:style w:type="character" w:customStyle="1" w:styleId="80">
    <w:name w:val="批注框文本 字符1"/>
    <w:semiHidden/>
    <w:qFormat/>
    <w:uiPriority w:val="99"/>
    <w:rPr>
      <w:sz w:val="18"/>
      <w:szCs w:val="18"/>
    </w:rPr>
  </w:style>
  <w:style w:type="paragraph" w:customStyle="1" w:styleId="81">
    <w:name w:val="_Style 19"/>
    <w:basedOn w:val="1"/>
    <w:next w:val="76"/>
    <w:unhideWhenUsed/>
    <w:qFormat/>
    <w:uiPriority w:val="99"/>
    <w:pPr>
      <w:widowControl/>
      <w:adjustRightInd w:val="0"/>
      <w:snapToGrid w:val="0"/>
      <w:spacing w:line="360" w:lineRule="auto"/>
      <w:ind w:firstLine="420" w:firstLineChars="200"/>
    </w:pPr>
    <w:rPr>
      <w:rFonts w:ascii="Calibri" w:hAnsi="Calibri" w:eastAsia="仿宋" w:cs="Times New Roman"/>
      <w:sz w:val="28"/>
      <w:szCs w:val="20"/>
      <w:lang w:bidi="en-US"/>
    </w:rPr>
  </w:style>
  <w:style w:type="paragraph" w:customStyle="1" w:styleId="8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83">
    <w:name w:val="正文文本首行缩进 2 字符1"/>
    <w:semiHidden/>
    <w:qFormat/>
    <w:uiPriority w:val="99"/>
    <w:rPr>
      <w:rFonts w:eastAsia="仿宋" w:cs="Times New Roman"/>
      <w:kern w:val="2"/>
      <w:sz w:val="28"/>
      <w:lang w:bidi="en-US"/>
    </w:rPr>
  </w:style>
  <w:style w:type="paragraph" w:customStyle="1" w:styleId="84">
    <w:name w:val="_Style 10"/>
    <w:basedOn w:val="1"/>
    <w:next w:val="76"/>
    <w:unhideWhenUsed/>
    <w:qFormat/>
    <w:uiPriority w:val="99"/>
    <w:pPr>
      <w:widowControl/>
      <w:adjustRightInd w:val="0"/>
      <w:snapToGrid w:val="0"/>
      <w:spacing w:line="360" w:lineRule="auto"/>
      <w:ind w:firstLine="420" w:firstLineChars="200"/>
    </w:pPr>
    <w:rPr>
      <w:rFonts w:ascii="Calibri" w:hAnsi="Calibri" w:eastAsia="仿宋" w:cs="Times New Roman"/>
      <w:sz w:val="28"/>
      <w:szCs w:val="20"/>
      <w:lang w:bidi="en-US"/>
    </w:rPr>
  </w:style>
  <w:style w:type="character" w:customStyle="1" w:styleId="85">
    <w:name w:val="正文文本缩进 Char"/>
    <w:qFormat/>
    <w:uiPriority w:val="0"/>
    <w:rPr>
      <w:rFonts w:ascii="Times New Roman" w:hAnsi="Times New Roman" w:eastAsia="仿宋"/>
      <w:sz w:val="24"/>
    </w:rPr>
  </w:style>
  <w:style w:type="character" w:customStyle="1" w:styleId="86">
    <w:name w:val="页脚 字符1"/>
    <w:qFormat/>
    <w:uiPriority w:val="99"/>
    <w:rPr>
      <w:rFonts w:ascii="Times New Roman" w:hAnsi="Times New Roman" w:eastAsia="仿宋"/>
      <w:sz w:val="18"/>
      <w:szCs w:val="18"/>
    </w:rPr>
  </w:style>
  <w:style w:type="character" w:customStyle="1" w:styleId="87">
    <w:name w:val="批注文字 Char"/>
    <w:qFormat/>
    <w:uiPriority w:val="0"/>
  </w:style>
  <w:style w:type="character" w:customStyle="1" w:styleId="88">
    <w:name w:val="批注主题 Char"/>
    <w:qFormat/>
    <w:uiPriority w:val="99"/>
    <w:rPr>
      <w:b/>
      <w:bCs/>
    </w:rPr>
  </w:style>
  <w:style w:type="character" w:customStyle="1" w:styleId="89">
    <w:name w:val="批注框文本 Char"/>
    <w:qFormat/>
    <w:uiPriority w:val="0"/>
    <w:rPr>
      <w:sz w:val="18"/>
      <w:szCs w:val="18"/>
    </w:rPr>
  </w:style>
  <w:style w:type="character" w:customStyle="1" w:styleId="90">
    <w:name w:val="页眉 Char"/>
    <w:qFormat/>
    <w:uiPriority w:val="99"/>
    <w:rPr>
      <w:sz w:val="18"/>
      <w:szCs w:val="18"/>
    </w:rPr>
  </w:style>
  <w:style w:type="character" w:customStyle="1" w:styleId="91">
    <w:name w:val="页脚 Char"/>
    <w:qFormat/>
    <w:uiPriority w:val="0"/>
    <w:rPr>
      <w:sz w:val="18"/>
      <w:szCs w:val="18"/>
    </w:rPr>
  </w:style>
  <w:style w:type="paragraph" w:customStyle="1" w:styleId="92">
    <w:name w:val="样式1标题2"/>
    <w:basedOn w:val="1"/>
    <w:link w:val="93"/>
    <w:qFormat/>
    <w:uiPriority w:val="0"/>
    <w:pPr>
      <w:widowControl/>
      <w:adjustRightInd w:val="0"/>
      <w:snapToGrid w:val="0"/>
      <w:spacing w:line="360" w:lineRule="auto"/>
      <w:ind w:firstLine="562" w:firstLineChars="200"/>
      <w:jc w:val="center"/>
      <w:outlineLvl w:val="1"/>
    </w:pPr>
    <w:rPr>
      <w:rFonts w:ascii="Calibri" w:hAnsi="Calibri" w:eastAsia="仿宋" w:cs="Times New Roman"/>
      <w:b/>
      <w:bCs/>
      <w:sz w:val="28"/>
      <w:szCs w:val="20"/>
      <w:lang w:bidi="en-US"/>
    </w:rPr>
  </w:style>
  <w:style w:type="character" w:customStyle="1" w:styleId="93">
    <w:name w:val="样式1标题2 字符"/>
    <w:link w:val="92"/>
    <w:qFormat/>
    <w:uiPriority w:val="0"/>
    <w:rPr>
      <w:rFonts w:ascii="Calibri" w:hAnsi="Calibri" w:eastAsia="仿宋"/>
      <w:b/>
      <w:bCs/>
      <w:kern w:val="2"/>
      <w:sz w:val="28"/>
      <w:lang w:bidi="en-US"/>
    </w:rPr>
  </w:style>
  <w:style w:type="paragraph" w:customStyle="1" w:styleId="94">
    <w:name w:val="表格内容"/>
    <w:link w:val="95"/>
    <w:qFormat/>
    <w:uiPriority w:val="0"/>
    <w:pPr>
      <w:adjustRightInd w:val="0"/>
      <w:snapToGrid w:val="0"/>
      <w:jc w:val="center"/>
    </w:pPr>
    <w:rPr>
      <w:rFonts w:ascii="Calibri" w:hAnsi="Calibri" w:eastAsia="仿宋" w:cs="Times New Roman"/>
      <w:kern w:val="2"/>
      <w:sz w:val="18"/>
      <w:lang w:val="en-US" w:eastAsia="zh-CN" w:bidi="en-US"/>
    </w:rPr>
  </w:style>
  <w:style w:type="character" w:customStyle="1" w:styleId="95">
    <w:name w:val="表格内容 字符"/>
    <w:link w:val="94"/>
    <w:qFormat/>
    <w:uiPriority w:val="0"/>
    <w:rPr>
      <w:rFonts w:ascii="Calibri" w:hAnsi="Calibri" w:eastAsia="仿宋"/>
      <w:kern w:val="2"/>
      <w:sz w:val="18"/>
      <w:lang w:bidi="en-US"/>
    </w:rPr>
  </w:style>
  <w:style w:type="paragraph" w:customStyle="1" w:styleId="96">
    <w:name w:val="目录样式一级标题"/>
    <w:basedOn w:val="1"/>
    <w:link w:val="97"/>
    <w:qFormat/>
    <w:uiPriority w:val="0"/>
    <w:pPr>
      <w:tabs>
        <w:tab w:val="right" w:leader="dot" w:pos="8296"/>
      </w:tabs>
      <w:spacing w:line="360" w:lineRule="auto"/>
    </w:pPr>
    <w:rPr>
      <w:rFonts w:ascii="宋体" w:hAnsi="宋体" w:eastAsia="宋体" w:cs="宋体"/>
      <w:b/>
      <w:bCs/>
      <w:kern w:val="0"/>
      <w:sz w:val="28"/>
      <w:szCs w:val="28"/>
    </w:rPr>
  </w:style>
  <w:style w:type="character" w:customStyle="1" w:styleId="97">
    <w:name w:val="目录样式一级标题 字符"/>
    <w:link w:val="96"/>
    <w:qFormat/>
    <w:uiPriority w:val="0"/>
    <w:rPr>
      <w:rFonts w:ascii="宋体" w:hAnsi="宋体" w:cs="宋体"/>
      <w:b/>
      <w:bCs/>
      <w:sz w:val="28"/>
      <w:szCs w:val="28"/>
    </w:rPr>
  </w:style>
  <w:style w:type="character" w:customStyle="1" w:styleId="98">
    <w:name w:val="题注 Char"/>
    <w:basedOn w:val="39"/>
    <w:link w:val="13"/>
    <w:qFormat/>
    <w:uiPriority w:val="35"/>
    <w:rPr>
      <w:rFonts w:eastAsia="黑体" w:asciiTheme="majorHAnsi" w:hAnsiTheme="majorHAnsi" w:cstheme="majorBidi"/>
      <w:kern w:val="2"/>
      <w:lang w:bidi="en-US"/>
    </w:rPr>
  </w:style>
  <w:style w:type="paragraph" w:customStyle="1" w:styleId="99">
    <w:name w:val="表格"/>
    <w:basedOn w:val="1"/>
    <w:next w:val="1"/>
    <w:link w:val="100"/>
    <w:qFormat/>
    <w:uiPriority w:val="0"/>
    <w:pPr>
      <w:adjustRightInd w:val="0"/>
      <w:snapToGrid w:val="0"/>
      <w:spacing w:line="400" w:lineRule="exact"/>
    </w:pPr>
    <w:rPr>
      <w:rFonts w:ascii="Times New Roman" w:hAnsi="Times New Roman" w:eastAsia="Times New Roman" w:cs="Times New Roman"/>
      <w:kern w:val="0"/>
      <w:szCs w:val="20"/>
      <w:lang w:bidi="en-US"/>
    </w:rPr>
  </w:style>
  <w:style w:type="character" w:customStyle="1" w:styleId="100">
    <w:name w:val="表格 Char"/>
    <w:basedOn w:val="39"/>
    <w:link w:val="99"/>
    <w:qFormat/>
    <w:uiPriority w:val="0"/>
    <w:rPr>
      <w:rFonts w:eastAsia="Times New Roman"/>
      <w:sz w:val="21"/>
      <w:lang w:bidi="en-US"/>
    </w:rPr>
  </w:style>
  <w:style w:type="character" w:customStyle="1" w:styleId="101">
    <w:name w:val="列出段落 Char"/>
    <w:basedOn w:val="39"/>
    <w:link w:val="73"/>
    <w:qFormat/>
    <w:uiPriority w:val="34"/>
    <w:rPr>
      <w:rFonts w:ascii="宋体" w:hAnsi="宋体" w:cs="宋体"/>
      <w:sz w:val="24"/>
      <w:szCs w:val="24"/>
    </w:rPr>
  </w:style>
  <w:style w:type="paragraph" w:customStyle="1" w:styleId="102">
    <w:name w:val="表头"/>
    <w:basedOn w:val="1"/>
    <w:link w:val="103"/>
    <w:qFormat/>
    <w:uiPriority w:val="0"/>
    <w:pPr>
      <w:widowControl/>
      <w:adjustRightInd w:val="0"/>
      <w:snapToGrid w:val="0"/>
      <w:spacing w:beforeLines="100"/>
      <w:jc w:val="center"/>
    </w:pPr>
    <w:rPr>
      <w:rFonts w:eastAsia="仿宋"/>
      <w:b/>
      <w:sz w:val="28"/>
      <w:szCs w:val="20"/>
      <w:lang w:bidi="en-US"/>
    </w:rPr>
  </w:style>
  <w:style w:type="character" w:customStyle="1" w:styleId="103">
    <w:name w:val="表头 Char"/>
    <w:basedOn w:val="39"/>
    <w:link w:val="102"/>
    <w:qFormat/>
    <w:uiPriority w:val="0"/>
    <w:rPr>
      <w:rFonts w:eastAsia="仿宋" w:asciiTheme="minorHAnsi" w:hAnsiTheme="minorHAnsi" w:cstheme="minorBidi"/>
      <w:b/>
      <w:kern w:val="2"/>
      <w:sz w:val="28"/>
      <w:lang w:bidi="en-US"/>
    </w:rPr>
  </w:style>
  <w:style w:type="character" w:customStyle="1" w:styleId="104">
    <w:name w:val="font01"/>
    <w:basedOn w:val="39"/>
    <w:qFormat/>
    <w:uiPriority w:val="0"/>
    <w:rPr>
      <w:rFonts w:ascii="font-weight : 400" w:hAnsi="font-weight : 400" w:eastAsia="font-weight : 400" w:cs="font-weight : 400"/>
      <w:color w:val="000000"/>
      <w:sz w:val="22"/>
      <w:szCs w:val="22"/>
      <w:u w:val="none"/>
    </w:rPr>
  </w:style>
  <w:style w:type="character" w:customStyle="1" w:styleId="105">
    <w:name w:val="font21"/>
    <w:basedOn w:val="39"/>
    <w:qFormat/>
    <w:uiPriority w:val="0"/>
    <w:rPr>
      <w:rFonts w:hint="default" w:ascii="font-weight : 400" w:hAnsi="font-weight : 400" w:eastAsia="font-weight : 400" w:cs="font-weight : 400"/>
      <w:color w:val="000000"/>
      <w:sz w:val="22"/>
      <w:szCs w:val="22"/>
      <w:u w:val="none"/>
      <w:vertAlign w:val="superscript"/>
    </w:rPr>
  </w:style>
  <w:style w:type="character" w:customStyle="1" w:styleId="106">
    <w:name w:val="font11"/>
    <w:basedOn w:val="39"/>
    <w:qFormat/>
    <w:uiPriority w:val="0"/>
    <w:rPr>
      <w:rFonts w:hint="eastAsia" w:ascii="宋体" w:hAnsi="宋体" w:eastAsia="宋体" w:cs="宋体"/>
      <w:b/>
      <w:color w:val="000000"/>
      <w:sz w:val="22"/>
      <w:szCs w:val="22"/>
      <w:u w:val="none"/>
    </w:rPr>
  </w:style>
  <w:style w:type="character" w:customStyle="1" w:styleId="107">
    <w:name w:val="font31"/>
    <w:basedOn w:val="39"/>
    <w:qFormat/>
    <w:uiPriority w:val="0"/>
    <w:rPr>
      <w:rFonts w:hint="default" w:ascii="font-weight : 400" w:hAnsi="font-weight : 400" w:eastAsia="font-weight : 400" w:cs="font-weight : 400"/>
      <w:color w:val="000000"/>
      <w:sz w:val="22"/>
      <w:szCs w:val="22"/>
      <w:u w:val="none"/>
      <w:vertAlign w:val="subscript"/>
    </w:rPr>
  </w:style>
  <w:style w:type="table" w:customStyle="1" w:styleId="108">
    <w:name w:val="网格型1"/>
    <w:basedOn w:val="37"/>
    <w:qFormat/>
    <w:uiPriority w:val="59"/>
    <w:rPr>
      <w:rFonts w:ascii="等线" w:hAnsi="等线"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09">
    <w:name w:val="灰度表格2"/>
    <w:basedOn w:val="37"/>
    <w:qFormat/>
    <w:uiPriority w:val="59"/>
    <w:rPr>
      <w:rFonts w:ascii="等线" w:hAnsi="等线" w:eastAsia="等线" w:cs="等线"/>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paragraph" w:customStyle="1" w:styleId="110">
    <w:name w:val="列出段落111"/>
    <w:basedOn w:val="1"/>
    <w:qFormat/>
    <w:uiPriority w:val="34"/>
    <w:pPr>
      <w:widowControl/>
      <w:adjustRightInd w:val="0"/>
      <w:snapToGrid w:val="0"/>
      <w:spacing w:line="360" w:lineRule="auto"/>
      <w:ind w:firstLine="420" w:firstLineChars="200"/>
    </w:pPr>
    <w:rPr>
      <w:rFonts w:eastAsia="仿宋"/>
      <w:sz w:val="28"/>
      <w:szCs w:val="20"/>
      <w:lang w:bidi="en-US"/>
    </w:rPr>
  </w:style>
  <w:style w:type="paragraph" w:customStyle="1" w:styleId="111">
    <w:name w:val="列出段落11"/>
    <w:basedOn w:val="1"/>
    <w:qFormat/>
    <w:uiPriority w:val="34"/>
    <w:pPr>
      <w:widowControl/>
      <w:adjustRightInd w:val="0"/>
      <w:snapToGrid w:val="0"/>
      <w:spacing w:line="360" w:lineRule="auto"/>
      <w:ind w:firstLine="420" w:firstLineChars="200"/>
    </w:pPr>
    <w:rPr>
      <w:rFonts w:eastAsia="仿宋"/>
      <w:sz w:val="28"/>
      <w:szCs w:val="20"/>
      <w:lang w:bidi="en-US"/>
    </w:rPr>
  </w:style>
  <w:style w:type="paragraph" w:customStyle="1" w:styleId="112">
    <w:name w:val="表内容"/>
    <w:qFormat/>
    <w:uiPriority w:val="99"/>
    <w:pPr>
      <w:spacing w:line="264" w:lineRule="auto"/>
      <w:jc w:val="center"/>
    </w:pPr>
    <w:rPr>
      <w:rFonts w:ascii="Times New Roman" w:hAnsi="Times New Roman" w:eastAsia="仿宋" w:cs="Times New Roman"/>
      <w:sz w:val="24"/>
      <w:lang w:val="en-US" w:eastAsia="zh-CN" w:bidi="ar-SA"/>
    </w:rPr>
  </w:style>
  <w:style w:type="character" w:customStyle="1" w:styleId="113">
    <w:name w:val="不明显强调1"/>
    <w:basedOn w:val="39"/>
    <w:qFormat/>
    <w:uiPriority w:val="19"/>
    <w:rPr>
      <w:i/>
      <w:iCs/>
      <w:color w:val="000000" w:themeColor="text1"/>
      <w14:textFill>
        <w14:solidFill>
          <w14:schemeClr w14:val="tx1"/>
        </w14:solidFill>
      </w14:textFill>
    </w:rPr>
  </w:style>
  <w:style w:type="paragraph" w:customStyle="1" w:styleId="114">
    <w:name w:val="图表名00"/>
    <w:basedOn w:val="1"/>
    <w:next w:val="30"/>
    <w:link w:val="115"/>
    <w:qFormat/>
    <w:uiPriority w:val="0"/>
    <w:pPr>
      <w:jc w:val="center"/>
    </w:pPr>
    <w:rPr>
      <w:rFonts w:ascii="仿宋" w:hAnsi="仿宋" w:eastAsia="仿宋"/>
      <w:b/>
      <w:iCs/>
      <w:sz w:val="28"/>
      <w:szCs w:val="28"/>
    </w:rPr>
  </w:style>
  <w:style w:type="character" w:customStyle="1" w:styleId="115">
    <w:name w:val="图表名00 Char"/>
    <w:basedOn w:val="39"/>
    <w:link w:val="114"/>
    <w:qFormat/>
    <w:uiPriority w:val="0"/>
    <w:rPr>
      <w:rFonts w:ascii="仿宋" w:hAnsi="仿宋" w:eastAsia="仿宋" w:cstheme="minorBidi"/>
      <w:b/>
      <w:iCs/>
      <w:kern w:val="2"/>
      <w:sz w:val="28"/>
      <w:szCs w:val="28"/>
    </w:rPr>
  </w:style>
  <w:style w:type="paragraph" w:customStyle="1" w:styleId="116">
    <w:name w:val="标题2"/>
    <w:basedOn w:val="73"/>
    <w:link w:val="117"/>
    <w:qFormat/>
    <w:uiPriority w:val="0"/>
    <w:pPr>
      <w:widowControl w:val="0"/>
      <w:numPr>
        <w:ilvl w:val="1"/>
        <w:numId w:val="2"/>
      </w:numPr>
      <w:spacing w:beforeLines="100" w:afterLines="50" w:line="360" w:lineRule="auto"/>
      <w:ind w:left="0" w:firstLine="0" w:firstLineChars="0"/>
      <w:jc w:val="both"/>
      <w:outlineLvl w:val="1"/>
    </w:pPr>
    <w:rPr>
      <w:rFonts w:eastAsia="仿宋" w:asciiTheme="minorHAnsi" w:hAnsiTheme="minorHAnsi" w:cstheme="minorBidi"/>
      <w:b/>
      <w:vanish/>
      <w:kern w:val="2"/>
      <w:sz w:val="32"/>
      <w:szCs w:val="30"/>
      <w:lang w:bidi="en-US"/>
    </w:rPr>
  </w:style>
  <w:style w:type="character" w:customStyle="1" w:styleId="117">
    <w:name w:val="标题2 Char"/>
    <w:basedOn w:val="101"/>
    <w:link w:val="116"/>
    <w:qFormat/>
    <w:uiPriority w:val="0"/>
    <w:rPr>
      <w:rFonts w:eastAsia="仿宋" w:asciiTheme="minorHAnsi" w:hAnsiTheme="minorHAnsi" w:cstheme="minorBidi"/>
      <w:b/>
      <w:vanish/>
      <w:kern w:val="2"/>
      <w:sz w:val="32"/>
      <w:szCs w:val="30"/>
      <w:lang w:bidi="en-US"/>
    </w:rPr>
  </w:style>
  <w:style w:type="paragraph" w:customStyle="1" w:styleId="118">
    <w:name w:val="标题3"/>
    <w:basedOn w:val="73"/>
    <w:link w:val="119"/>
    <w:qFormat/>
    <w:uiPriority w:val="0"/>
    <w:pPr>
      <w:widowControl w:val="0"/>
      <w:numPr>
        <w:ilvl w:val="2"/>
        <w:numId w:val="2"/>
      </w:numPr>
      <w:spacing w:line="360" w:lineRule="auto"/>
      <w:ind w:firstLine="0" w:firstLineChars="0"/>
      <w:jc w:val="both"/>
      <w:outlineLvl w:val="2"/>
    </w:pPr>
    <w:rPr>
      <w:rFonts w:eastAsia="仿宋" w:asciiTheme="minorHAnsi" w:hAnsiTheme="minorHAnsi" w:cstheme="minorBidi"/>
      <w:b/>
      <w:vanish/>
      <w:kern w:val="2"/>
      <w:sz w:val="30"/>
      <w:szCs w:val="30"/>
      <w:lang w:bidi="en-US"/>
    </w:rPr>
  </w:style>
  <w:style w:type="character" w:customStyle="1" w:styleId="119">
    <w:name w:val="标题3 Char"/>
    <w:basedOn w:val="101"/>
    <w:link w:val="118"/>
    <w:qFormat/>
    <w:uiPriority w:val="0"/>
    <w:rPr>
      <w:rFonts w:eastAsia="仿宋" w:asciiTheme="minorHAnsi" w:hAnsiTheme="minorHAnsi" w:cstheme="minorBidi"/>
      <w:b/>
      <w:vanish/>
      <w:kern w:val="2"/>
      <w:sz w:val="30"/>
      <w:szCs w:val="30"/>
      <w:lang w:bidi="en-US"/>
    </w:rPr>
  </w:style>
  <w:style w:type="paragraph" w:customStyle="1" w:styleId="120">
    <w:name w:val="标题4"/>
    <w:basedOn w:val="5"/>
    <w:link w:val="121"/>
    <w:qFormat/>
    <w:uiPriority w:val="0"/>
    <w:pPr>
      <w:keepNext w:val="0"/>
      <w:keepLines w:val="0"/>
      <w:widowControl w:val="0"/>
      <w:numPr>
        <w:numId w:val="2"/>
      </w:numPr>
      <w:adjustRightInd/>
      <w:snapToGrid/>
      <w:spacing w:before="0" w:after="0" w:line="360" w:lineRule="auto"/>
      <w:ind w:firstLine="0" w:firstLineChars="0"/>
      <w:jc w:val="left"/>
    </w:pPr>
    <w:rPr>
      <w:rFonts w:ascii="仿宋" w:hAnsi="仿宋" w:eastAsia="仿宋" w:cstheme="majorBidi"/>
      <w:bCs w:val="0"/>
    </w:rPr>
  </w:style>
  <w:style w:type="character" w:customStyle="1" w:styleId="121">
    <w:name w:val="标题4 Char"/>
    <w:basedOn w:val="52"/>
    <w:link w:val="120"/>
    <w:qFormat/>
    <w:uiPriority w:val="0"/>
    <w:rPr>
      <w:rFonts w:ascii="仿宋" w:hAnsi="仿宋" w:eastAsia="仿宋" w:cstheme="majorBidi"/>
      <w:bCs w:val="0"/>
      <w:kern w:val="2"/>
      <w:sz w:val="28"/>
      <w:szCs w:val="28"/>
      <w:lang w:bidi="en-US"/>
    </w:rPr>
  </w:style>
  <w:style w:type="paragraph" w:customStyle="1" w:styleId="122">
    <w:name w:val="font7"/>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123">
    <w:name w:val="题注1"/>
    <w:basedOn w:val="1"/>
    <w:qFormat/>
    <w:uiPriority w:val="0"/>
    <w:pPr>
      <w:spacing w:line="360" w:lineRule="auto"/>
      <w:jc w:val="center"/>
    </w:pPr>
    <w:rPr>
      <w:rFonts w:ascii="仿宋" w:hAnsi="仿宋" w:eastAsia="黑体" w:cs="Times New Roman"/>
      <w:sz w:val="24"/>
      <w:szCs w:val="28"/>
    </w:rPr>
  </w:style>
  <w:style w:type="table" w:customStyle="1" w:styleId="124">
    <w:name w:val="网格型6"/>
    <w:basedOn w:val="37"/>
    <w:qFormat/>
    <w:uiPriority w:val="0"/>
    <w:rPr>
      <w:rFonts w:ascii="等线" w:hAnsi="等线"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25">
    <w:name w:val="列出段落2"/>
    <w:basedOn w:val="1"/>
    <w:unhideWhenUsed/>
    <w:qFormat/>
    <w:uiPriority w:val="34"/>
    <w:pPr>
      <w:spacing w:line="360" w:lineRule="auto"/>
      <w:ind w:firstLine="420" w:firstLineChars="200"/>
    </w:pPr>
    <w:rPr>
      <w:rFonts w:ascii="仿宋" w:hAnsi="仿宋" w:eastAsia="仿宋"/>
      <w:sz w:val="28"/>
      <w:szCs w:val="28"/>
    </w:rPr>
  </w:style>
  <w:style w:type="character" w:customStyle="1" w:styleId="126">
    <w:name w:val="不明显强调2"/>
    <w:basedOn w:val="39"/>
    <w:qFormat/>
    <w:uiPriority w:val="19"/>
    <w:rPr>
      <w:i/>
      <w:iCs/>
      <w:color w:val="808080" w:themeColor="text1" w:themeTint="80"/>
      <w14:textFill>
        <w14:solidFill>
          <w14:schemeClr w14:val="tx1">
            <w14:lumMod w14:val="50000"/>
            <w14:lumOff w14:val="50000"/>
          </w14:schemeClr>
        </w14:solidFill>
      </w14:textFill>
    </w:rPr>
  </w:style>
  <w:style w:type="paragraph" w:customStyle="1" w:styleId="127">
    <w:name w:val="开县正文12"/>
    <w:basedOn w:val="5"/>
    <w:qFormat/>
    <w:uiPriority w:val="0"/>
    <w:pPr>
      <w:keepNext w:val="0"/>
      <w:keepLines w:val="0"/>
      <w:widowControl w:val="0"/>
      <w:tabs>
        <w:tab w:val="left" w:pos="1134"/>
      </w:tabs>
      <w:adjustRightInd/>
      <w:snapToGrid/>
      <w:spacing w:before="0" w:after="0" w:line="440" w:lineRule="exact"/>
      <w:ind w:left="1171" w:hanging="847"/>
    </w:pPr>
    <w:rPr>
      <w:rFonts w:ascii="Times New Roman" w:hAnsi="Times New Roman" w:eastAsia="宋体"/>
      <w:b w:val="0"/>
      <w:sz w:val="24"/>
      <w:shd w:val="clear" w:color="auto" w:fill="FFFFFF"/>
      <w:lang w:bidi="ar-SA"/>
    </w:rPr>
  </w:style>
  <w:style w:type="character" w:customStyle="1" w:styleId="128">
    <w:name w:val="表格 Char Char"/>
    <w:qFormat/>
    <w:uiPriority w:val="0"/>
    <w:rPr>
      <w:rFonts w:ascii="Times New Roman" w:hAnsi="Times New Roman" w:eastAsia="方正仿宋_GBK" w:cs="Times New Roman"/>
      <w:spacing w:val="8"/>
      <w:kern w:val="0"/>
      <w:sz w:val="24"/>
      <w:szCs w:val="21"/>
    </w:rPr>
  </w:style>
  <w:style w:type="paragraph" w:customStyle="1" w:styleId="129">
    <w:name w:val="列出段落21"/>
    <w:basedOn w:val="1"/>
    <w:unhideWhenUsed/>
    <w:qFormat/>
    <w:uiPriority w:val="99"/>
    <w:pPr>
      <w:spacing w:line="360" w:lineRule="auto"/>
      <w:ind w:firstLine="420" w:firstLineChars="200"/>
    </w:pPr>
    <w:rPr>
      <w:rFonts w:ascii="仿宋" w:hAnsi="仿宋" w:eastAsia="仿宋"/>
      <w:sz w:val="28"/>
      <w:szCs w:val="28"/>
    </w:rPr>
  </w:style>
  <w:style w:type="paragraph" w:customStyle="1" w:styleId="130">
    <w:name w:val="图表内容"/>
    <w:basedOn w:val="1"/>
    <w:link w:val="131"/>
    <w:qFormat/>
    <w:uiPriority w:val="0"/>
    <w:pPr>
      <w:framePr w:hSpace="180" w:wrap="around" w:vAnchor="text" w:hAnchor="text" w:xAlign="center" w:y="1"/>
      <w:widowControl/>
      <w:spacing w:line="300" w:lineRule="exact"/>
      <w:jc w:val="center"/>
      <w:textAlignment w:val="center"/>
    </w:pPr>
    <w:rPr>
      <w:rFonts w:ascii="Times New Roman" w:hAnsi="Times New Roman" w:cs="Times New Roman"/>
      <w:color w:val="000000"/>
      <w:kern w:val="0"/>
      <w:szCs w:val="21"/>
    </w:rPr>
  </w:style>
  <w:style w:type="character" w:customStyle="1" w:styleId="131">
    <w:name w:val="图表内容 Char"/>
    <w:basedOn w:val="39"/>
    <w:link w:val="130"/>
    <w:qFormat/>
    <w:locked/>
    <w:uiPriority w:val="0"/>
    <w:rPr>
      <w:rFonts w:eastAsiaTheme="minorEastAsia"/>
      <w:color w:val="000000"/>
      <w:sz w:val="21"/>
      <w:szCs w:val="21"/>
    </w:rPr>
  </w:style>
  <w:style w:type="character" w:customStyle="1" w:styleId="132">
    <w:name w:val="标题 3 Char1"/>
    <w:qFormat/>
    <w:locked/>
    <w:uiPriority w:val="0"/>
    <w:rPr>
      <w:rFonts w:ascii="Calibri" w:hAnsi="Calibri" w:eastAsia="宋体" w:cs="Times New Roman"/>
      <w:b/>
      <w:kern w:val="2"/>
      <w:sz w:val="32"/>
    </w:rPr>
  </w:style>
  <w:style w:type="paragraph" w:customStyle="1" w:styleId="133">
    <w:name w:val="A-正文"/>
    <w:basedOn w:val="1"/>
    <w:link w:val="134"/>
    <w:qFormat/>
    <w:uiPriority w:val="0"/>
    <w:pPr>
      <w:spacing w:line="560" w:lineRule="exact"/>
      <w:ind w:firstLine="560" w:firstLineChars="200"/>
    </w:pPr>
    <w:rPr>
      <w:rFonts w:ascii="Times New Roman" w:hAnsi="Times New Roman" w:eastAsia="仿宋_GB2312" w:cs="Times New Roman"/>
      <w:kern w:val="0"/>
      <w:sz w:val="24"/>
      <w:szCs w:val="20"/>
    </w:rPr>
  </w:style>
  <w:style w:type="character" w:customStyle="1" w:styleId="134">
    <w:name w:val="A-正文 Char"/>
    <w:basedOn w:val="39"/>
    <w:link w:val="133"/>
    <w:qFormat/>
    <w:uiPriority w:val="0"/>
    <w:rPr>
      <w:rFonts w:eastAsia="仿宋_GB2312"/>
      <w:sz w:val="24"/>
    </w:rPr>
  </w:style>
  <w:style w:type="paragraph" w:customStyle="1" w:styleId="135">
    <w:name w:val="标准正文"/>
    <w:basedOn w:val="1"/>
    <w:link w:val="136"/>
    <w:qFormat/>
    <w:uiPriority w:val="0"/>
    <w:pPr>
      <w:snapToGrid w:val="0"/>
      <w:spacing w:beforeLines="50" w:line="360" w:lineRule="auto"/>
      <w:ind w:firstLine="560" w:firstLineChars="200"/>
    </w:pPr>
    <w:rPr>
      <w:rFonts w:ascii="Times New Roman" w:hAnsi="Times New Roman" w:eastAsia="仿宋_GB2312" w:cs="Times New Roman"/>
      <w:sz w:val="28"/>
      <w:szCs w:val="24"/>
      <w:lang w:val="zh-CN"/>
    </w:rPr>
  </w:style>
  <w:style w:type="character" w:customStyle="1" w:styleId="136">
    <w:name w:val="标准正文 Char"/>
    <w:link w:val="135"/>
    <w:qFormat/>
    <w:uiPriority w:val="0"/>
    <w:rPr>
      <w:rFonts w:eastAsia="仿宋_GB2312"/>
      <w:kern w:val="2"/>
      <w:sz w:val="28"/>
      <w:szCs w:val="24"/>
      <w:lang w:val="zh-CN"/>
    </w:rPr>
  </w:style>
  <w:style w:type="paragraph" w:customStyle="1" w:styleId="137">
    <w:name w:val="达标-正文"/>
    <w:basedOn w:val="1"/>
    <w:link w:val="138"/>
    <w:qFormat/>
    <w:uiPriority w:val="0"/>
    <w:pPr>
      <w:spacing w:beforeLines="50" w:line="480" w:lineRule="exact"/>
      <w:ind w:firstLine="482" w:firstLineChars="200"/>
    </w:pPr>
    <w:rPr>
      <w:rFonts w:ascii="Times New Roman" w:hAnsi="Times New Roman" w:eastAsia="宋体"/>
      <w:sz w:val="24"/>
    </w:rPr>
  </w:style>
  <w:style w:type="character" w:customStyle="1" w:styleId="138">
    <w:name w:val="达标-正文 Char"/>
    <w:basedOn w:val="39"/>
    <w:link w:val="137"/>
    <w:qFormat/>
    <w:locked/>
    <w:uiPriority w:val="0"/>
    <w:rPr>
      <w:rFonts w:cstheme="minorBidi"/>
      <w:kern w:val="2"/>
      <w:sz w:val="24"/>
      <w:szCs w:val="22"/>
    </w:rPr>
  </w:style>
  <w:style w:type="paragraph" w:customStyle="1" w:styleId="139">
    <w:name w:val="表格字体"/>
    <w:basedOn w:val="1"/>
    <w:next w:val="1"/>
    <w:link w:val="140"/>
    <w:qFormat/>
    <w:uiPriority w:val="0"/>
    <w:pPr>
      <w:widowControl/>
      <w:jc w:val="center"/>
    </w:pPr>
    <w:rPr>
      <w:rFonts w:ascii="仿宋" w:hAnsi="仿宋" w:eastAsia="仿宋" w:cs="宋体"/>
      <w:color w:val="000000"/>
      <w:kern w:val="0"/>
      <w:szCs w:val="21"/>
    </w:rPr>
  </w:style>
  <w:style w:type="character" w:customStyle="1" w:styleId="140">
    <w:name w:val="表格字体 Char"/>
    <w:basedOn w:val="39"/>
    <w:link w:val="139"/>
    <w:qFormat/>
    <w:uiPriority w:val="0"/>
    <w:rPr>
      <w:rFonts w:ascii="仿宋" w:hAnsi="仿宋" w:eastAsia="仿宋" w:cs="宋体"/>
      <w:color w:val="000000"/>
      <w:sz w:val="21"/>
      <w:szCs w:val="21"/>
    </w:rPr>
  </w:style>
  <w:style w:type="paragraph" w:customStyle="1" w:styleId="141">
    <w:name w:val="无间隔1"/>
    <w:link w:val="142"/>
    <w:qFormat/>
    <w:uiPriority w:val="1"/>
    <w:pPr>
      <w:widowControl w:val="0"/>
      <w:spacing w:beforeLines="50"/>
      <w:ind w:firstLine="200" w:firstLineChars="200"/>
      <w:jc w:val="both"/>
    </w:pPr>
    <w:rPr>
      <w:rFonts w:eastAsia="宋体" w:asciiTheme="minorHAnsi" w:hAnsiTheme="minorHAnsi" w:cstheme="minorBidi"/>
      <w:kern w:val="2"/>
      <w:sz w:val="28"/>
      <w:szCs w:val="22"/>
      <w:lang w:val="en-US" w:eastAsia="zh-CN" w:bidi="ar-SA"/>
    </w:rPr>
  </w:style>
  <w:style w:type="character" w:customStyle="1" w:styleId="142">
    <w:name w:val="无间隔 Char"/>
    <w:basedOn w:val="39"/>
    <w:link w:val="141"/>
    <w:qFormat/>
    <w:uiPriority w:val="1"/>
    <w:rPr>
      <w:rFonts w:asciiTheme="minorHAnsi" w:hAnsiTheme="minorHAnsi" w:cstheme="minorBidi"/>
      <w:kern w:val="2"/>
      <w:sz w:val="28"/>
      <w:szCs w:val="22"/>
    </w:rPr>
  </w:style>
  <w:style w:type="paragraph" w:customStyle="1" w:styleId="143">
    <w:name w:val="标题1"/>
    <w:basedOn w:val="2"/>
    <w:link w:val="144"/>
    <w:qFormat/>
    <w:uiPriority w:val="0"/>
    <w:pPr>
      <w:spacing w:before="0" w:after="0" w:line="480" w:lineRule="exact"/>
      <w:ind w:left="432"/>
      <w:jc w:val="left"/>
    </w:pPr>
    <w:rPr>
      <w:bCs w:val="0"/>
      <w:sz w:val="28"/>
      <w:lang w:bidi="en-US"/>
    </w:rPr>
  </w:style>
  <w:style w:type="character" w:customStyle="1" w:styleId="144">
    <w:name w:val="标题1 Char"/>
    <w:basedOn w:val="49"/>
    <w:link w:val="143"/>
    <w:qFormat/>
    <w:uiPriority w:val="0"/>
    <w:rPr>
      <w:rFonts w:asciiTheme="minorHAnsi" w:hAnsiTheme="minorHAnsi" w:eastAsiaTheme="minorEastAsia" w:cstheme="minorBidi"/>
      <w:bCs w:val="0"/>
      <w:kern w:val="44"/>
      <w:sz w:val="28"/>
      <w:szCs w:val="44"/>
      <w:lang w:bidi="en-US"/>
    </w:rPr>
  </w:style>
  <w:style w:type="character" w:customStyle="1" w:styleId="145">
    <w:name w:val="头 Char Char"/>
    <w:basedOn w:val="39"/>
    <w:qFormat/>
    <w:uiPriority w:val="0"/>
    <w:rPr>
      <w:rFonts w:ascii="Times New Roman" w:hAnsi="Times New Roman" w:eastAsia="宋体"/>
      <w:b/>
      <w:bCs/>
      <w:sz w:val="21"/>
      <w:szCs w:val="24"/>
      <w:lang w:val="en-US" w:eastAsia="zh-CN" w:bidi="ar-SA"/>
    </w:rPr>
  </w:style>
  <w:style w:type="paragraph" w:customStyle="1" w:styleId="146">
    <w:name w:val="首行缩进"/>
    <w:basedOn w:val="1"/>
    <w:link w:val="147"/>
    <w:qFormat/>
    <w:uiPriority w:val="0"/>
    <w:pPr>
      <w:spacing w:line="360" w:lineRule="auto"/>
      <w:ind w:firstLine="480" w:firstLineChars="200"/>
    </w:pPr>
    <w:rPr>
      <w:rFonts w:ascii="Times New Roman" w:hAnsi="Times New Roman" w:eastAsia="宋体" w:cs="Times New Roman"/>
      <w:color w:val="000000" w:themeColor="text1"/>
      <w:sz w:val="28"/>
      <w:szCs w:val="24"/>
      <w14:textFill>
        <w14:solidFill>
          <w14:schemeClr w14:val="tx1"/>
        </w14:solidFill>
      </w14:textFill>
    </w:rPr>
  </w:style>
  <w:style w:type="character" w:customStyle="1" w:styleId="147">
    <w:name w:val="首行缩进 Char"/>
    <w:link w:val="146"/>
    <w:qFormat/>
    <w:uiPriority w:val="0"/>
    <w:rPr>
      <w:color w:val="000000" w:themeColor="text1"/>
      <w:kern w:val="2"/>
      <w:sz w:val="28"/>
      <w:szCs w:val="24"/>
      <w14:textFill>
        <w14:solidFill>
          <w14:schemeClr w14:val="tx1"/>
        </w14:solidFill>
      </w14:textFill>
    </w:rPr>
  </w:style>
  <w:style w:type="paragraph" w:customStyle="1" w:styleId="148">
    <w:name w:val="表格文字0508"/>
    <w:basedOn w:val="1"/>
    <w:qFormat/>
    <w:uiPriority w:val="0"/>
    <w:pPr>
      <w:jc w:val="center"/>
    </w:pPr>
    <w:rPr>
      <w:rFonts w:ascii="Times New Roman" w:hAnsi="Times New Roman" w:eastAsia="楷体_GB2312" w:cs="Times New Roman"/>
      <w:szCs w:val="21"/>
    </w:rPr>
  </w:style>
  <w:style w:type="paragraph" w:customStyle="1" w:styleId="149">
    <w:name w:val="正文啊"/>
    <w:basedOn w:val="1"/>
    <w:link w:val="150"/>
    <w:qFormat/>
    <w:uiPriority w:val="0"/>
    <w:pPr>
      <w:spacing w:line="560" w:lineRule="exact"/>
      <w:ind w:firstLine="200" w:firstLineChars="200"/>
    </w:pPr>
    <w:rPr>
      <w:rFonts w:ascii="仿宋_GB2312" w:hAnsi="Times New Roman" w:eastAsia="仿宋_GB2312" w:cs="Times New Roman"/>
      <w:sz w:val="28"/>
      <w:szCs w:val="24"/>
    </w:rPr>
  </w:style>
  <w:style w:type="character" w:customStyle="1" w:styleId="150">
    <w:name w:val="正文啊 Char"/>
    <w:basedOn w:val="39"/>
    <w:link w:val="149"/>
    <w:qFormat/>
    <w:uiPriority w:val="0"/>
    <w:rPr>
      <w:rFonts w:ascii="仿宋_GB2312" w:eastAsia="仿宋_GB2312"/>
      <w:kern w:val="2"/>
      <w:sz w:val="28"/>
      <w:szCs w:val="24"/>
    </w:rPr>
  </w:style>
  <w:style w:type="paragraph" w:customStyle="1" w:styleId="151">
    <w:name w:val="表头啊"/>
    <w:basedOn w:val="1"/>
    <w:link w:val="152"/>
    <w:qFormat/>
    <w:uiPriority w:val="0"/>
    <w:pPr>
      <w:spacing w:after="60" w:line="560" w:lineRule="exact"/>
      <w:ind w:firstLine="120" w:firstLineChars="50"/>
    </w:pPr>
    <w:rPr>
      <w:rFonts w:ascii="黑体" w:hAnsi="Times New Roman" w:eastAsia="黑体" w:cs="宋体"/>
      <w:sz w:val="24"/>
      <w:szCs w:val="20"/>
    </w:rPr>
  </w:style>
  <w:style w:type="character" w:customStyle="1" w:styleId="152">
    <w:name w:val="表头啊 Char"/>
    <w:basedOn w:val="39"/>
    <w:link w:val="151"/>
    <w:qFormat/>
    <w:uiPriority w:val="0"/>
    <w:rPr>
      <w:rFonts w:ascii="黑体" w:eastAsia="黑体" w:cs="宋体"/>
      <w:kern w:val="2"/>
      <w:sz w:val="24"/>
    </w:rPr>
  </w:style>
  <w:style w:type="paragraph" w:customStyle="1" w:styleId="153">
    <w:name w:val="图表1"/>
    <w:basedOn w:val="33"/>
    <w:link w:val="154"/>
    <w:qFormat/>
    <w:uiPriority w:val="0"/>
    <w:pPr>
      <w:widowControl/>
      <w:shd w:val="clear" w:color="auto" w:fill="FFFFFF"/>
      <w:spacing w:before="0" w:beforeAutospacing="0" w:after="0" w:afterAutospacing="0" w:line="360" w:lineRule="auto"/>
      <w:jc w:val="center"/>
    </w:pPr>
    <w:rPr>
      <w:rFonts w:ascii="Times New Roman" w:hAnsi="Times New Roman" w:eastAsia="方正仿宋_GBK"/>
      <w:color w:val="000000"/>
      <w:sz w:val="30"/>
      <w:szCs w:val="30"/>
    </w:rPr>
  </w:style>
  <w:style w:type="character" w:customStyle="1" w:styleId="154">
    <w:name w:val="图表1 Char"/>
    <w:basedOn w:val="39"/>
    <w:link w:val="153"/>
    <w:qFormat/>
    <w:uiPriority w:val="0"/>
    <w:rPr>
      <w:rFonts w:eastAsia="方正仿宋_GBK"/>
      <w:color w:val="000000"/>
      <w:sz w:val="30"/>
      <w:szCs w:val="30"/>
      <w:shd w:val="clear" w:color="auto" w:fill="FFFFFF"/>
    </w:rPr>
  </w:style>
  <w:style w:type="paragraph" w:customStyle="1" w:styleId="155">
    <w:name w:val="正文1"/>
    <w:basedOn w:val="33"/>
    <w:link w:val="156"/>
    <w:qFormat/>
    <w:uiPriority w:val="0"/>
    <w:pPr>
      <w:widowControl/>
      <w:shd w:val="clear" w:color="auto" w:fill="FFFFFF"/>
      <w:spacing w:before="0" w:beforeAutospacing="0" w:after="0" w:afterAutospacing="0" w:line="360" w:lineRule="auto"/>
      <w:ind w:firstLine="420"/>
      <w:jc w:val="both"/>
    </w:pPr>
    <w:rPr>
      <w:rFonts w:ascii="Times New Roman" w:hAnsi="Times New Roman" w:eastAsia="方正仿宋_GBK"/>
      <w:color w:val="000000"/>
      <w:sz w:val="30"/>
      <w:szCs w:val="30"/>
    </w:rPr>
  </w:style>
  <w:style w:type="character" w:customStyle="1" w:styleId="156">
    <w:name w:val="正文1 Char"/>
    <w:basedOn w:val="39"/>
    <w:link w:val="155"/>
    <w:qFormat/>
    <w:uiPriority w:val="0"/>
    <w:rPr>
      <w:rFonts w:eastAsia="方正仿宋_GBK"/>
      <w:color w:val="000000"/>
      <w:sz w:val="30"/>
      <w:szCs w:val="30"/>
      <w:shd w:val="clear" w:color="auto" w:fill="FFFFFF"/>
    </w:rPr>
  </w:style>
  <w:style w:type="character" w:customStyle="1" w:styleId="157">
    <w:name w:val="15"/>
    <w:qFormat/>
    <w:uiPriority w:val="0"/>
    <w:rPr>
      <w:rFonts w:hint="default" w:ascii="Calibri" w:hAnsi="Calibri" w:cs="Calibri"/>
      <w:sz w:val="21"/>
      <w:szCs w:val="21"/>
    </w:rPr>
  </w:style>
  <w:style w:type="table" w:customStyle="1" w:styleId="158">
    <w:name w:val="网格型2"/>
    <w:basedOn w:val="37"/>
    <w:qFormat/>
    <w:uiPriority w:val="0"/>
    <w:rPr>
      <w:rFonts w:ascii="等线" w:hAnsi="等线"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59">
    <w:name w:val="网格型26"/>
    <w:basedOn w:val="37"/>
    <w:qFormat/>
    <w:uiPriority w:val="0"/>
    <w:rPr>
      <w:rFonts w:ascii="等线" w:hAnsi="等线"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60">
    <w:name w:val="网格型5"/>
    <w:basedOn w:val="37"/>
    <w:qFormat/>
    <w:uiPriority w:val="0"/>
    <w:rPr>
      <w:rFonts w:ascii="等线" w:hAnsi="等线"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61">
    <w:name w:val="列出段落3"/>
    <w:basedOn w:val="1"/>
    <w:unhideWhenUsed/>
    <w:qFormat/>
    <w:uiPriority w:val="34"/>
    <w:pPr>
      <w:spacing w:line="360" w:lineRule="auto"/>
      <w:ind w:firstLine="420" w:firstLineChars="200"/>
    </w:pPr>
    <w:rPr>
      <w:rFonts w:ascii="仿宋" w:hAnsi="仿宋" w:eastAsia="仿宋"/>
      <w:sz w:val="28"/>
      <w:szCs w:val="28"/>
    </w:rPr>
  </w:style>
  <w:style w:type="paragraph" w:customStyle="1" w:styleId="162">
    <w:name w:val="列出段落4"/>
    <w:basedOn w:val="1"/>
    <w:qFormat/>
    <w:uiPriority w:val="34"/>
    <w:pPr>
      <w:widowControl/>
      <w:adjustRightInd w:val="0"/>
      <w:snapToGrid w:val="0"/>
      <w:spacing w:line="360" w:lineRule="auto"/>
      <w:ind w:firstLine="420" w:firstLineChars="200"/>
    </w:pPr>
    <w:rPr>
      <w:rFonts w:eastAsia="仿宋"/>
      <w:sz w:val="28"/>
      <w:szCs w:val="20"/>
      <w:lang w:bidi="en-US"/>
    </w:rPr>
  </w:style>
  <w:style w:type="table" w:customStyle="1" w:styleId="163">
    <w:name w:val="灰度表格21"/>
    <w:basedOn w:val="37"/>
    <w:qFormat/>
    <w:uiPriority w:val="59"/>
    <w:rPr>
      <w:rFonts w:ascii="等线" w:hAnsi="等线" w:eastAsia="等线" w:cs="等线"/>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64">
    <w:name w:val="网格型3"/>
    <w:basedOn w:val="37"/>
    <w:qFormat/>
    <w:uiPriority w:val="0"/>
    <w:rPr>
      <w:rFonts w:ascii="等线" w:hAnsi="等线" w:eastAsia="Times New Roman"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65">
    <w:name w:val="网格型4"/>
    <w:basedOn w:val="37"/>
    <w:qFormat/>
    <w:uiPriority w:val="0"/>
    <w:rPr>
      <w:rFonts w:ascii="等线" w:hAnsi="等线" w:eastAsia="Times New Roman"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66">
    <w:name w:val="网格型7"/>
    <w:basedOn w:val="37"/>
    <w:qFormat/>
    <w:uiPriority w:val="0"/>
    <w:rPr>
      <w:rFonts w:ascii="等线" w:hAnsi="等线" w:eastAsia="Times New Roman"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67">
    <w:name w:val="网格型8"/>
    <w:basedOn w:val="37"/>
    <w:qFormat/>
    <w:uiPriority w:val="0"/>
    <w:rPr>
      <w:rFonts w:ascii="等线" w:hAnsi="等线" w:eastAsia="Times New Roman"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68">
    <w:name w:val="网格型51"/>
    <w:basedOn w:val="37"/>
    <w:qFormat/>
    <w:uiPriority w:val="0"/>
    <w:rPr>
      <w:rFonts w:ascii="Calibri" w:hAnsi="Calibri"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69">
    <w:name w:val="列出段落5"/>
    <w:basedOn w:val="1"/>
    <w:qFormat/>
    <w:uiPriority w:val="99"/>
    <w:pPr>
      <w:widowControl/>
      <w:adjustRightInd w:val="0"/>
      <w:snapToGrid w:val="0"/>
      <w:spacing w:line="360" w:lineRule="auto"/>
      <w:ind w:firstLine="420" w:firstLineChars="200"/>
    </w:pPr>
    <w:rPr>
      <w:rFonts w:eastAsia="仿宋"/>
      <w:sz w:val="28"/>
      <w:szCs w:val="20"/>
      <w:lang w:bidi="en-US"/>
    </w:rPr>
  </w:style>
  <w:style w:type="paragraph" w:customStyle="1" w:styleId="170">
    <w:name w:val="列出段落6"/>
    <w:basedOn w:val="1"/>
    <w:unhideWhenUsed/>
    <w:qFormat/>
    <w:uiPriority w:val="99"/>
    <w:pPr>
      <w:widowControl/>
      <w:adjustRightInd w:val="0"/>
      <w:snapToGrid w:val="0"/>
      <w:spacing w:line="360" w:lineRule="auto"/>
      <w:ind w:firstLine="420" w:firstLineChars="200"/>
    </w:pPr>
    <w:rPr>
      <w:rFonts w:eastAsia="仿宋"/>
      <w:sz w:val="28"/>
      <w:szCs w:val="20"/>
      <w:lang w:bidi="en-US"/>
    </w:rPr>
  </w:style>
  <w:style w:type="paragraph" w:customStyle="1" w:styleId="171">
    <w:name w:val="列表段落11"/>
    <w:basedOn w:val="1"/>
    <w:unhideWhenUsed/>
    <w:qFormat/>
    <w:uiPriority w:val="99"/>
    <w:pPr>
      <w:widowControl/>
      <w:adjustRightInd w:val="0"/>
      <w:snapToGrid w:val="0"/>
      <w:spacing w:line="360" w:lineRule="auto"/>
      <w:ind w:firstLine="420" w:firstLineChars="200"/>
    </w:pPr>
    <w:rPr>
      <w:rFonts w:eastAsia="仿宋"/>
      <w:sz w:val="28"/>
      <w:szCs w:val="20"/>
      <w:lang w:bidi="en-US"/>
    </w:rPr>
  </w:style>
  <w:style w:type="paragraph" w:customStyle="1" w:styleId="172">
    <w:name w:val="列出段落7"/>
    <w:basedOn w:val="1"/>
    <w:qFormat/>
    <w:uiPriority w:val="99"/>
    <w:pPr>
      <w:widowControl/>
      <w:adjustRightInd w:val="0"/>
      <w:snapToGrid w:val="0"/>
      <w:spacing w:line="360" w:lineRule="auto"/>
      <w:ind w:firstLine="420" w:firstLineChars="200"/>
    </w:pPr>
    <w:rPr>
      <w:rFonts w:eastAsia="仿宋"/>
      <w:sz w:val="28"/>
      <w:szCs w:val="20"/>
      <w:lang w:bidi="en-US"/>
    </w:rPr>
  </w:style>
  <w:style w:type="paragraph" w:customStyle="1" w:styleId="173">
    <w:name w:val="MY正文文本"/>
    <w:basedOn w:val="1"/>
    <w:qFormat/>
    <w:uiPriority w:val="0"/>
    <w:pPr>
      <w:widowControl/>
      <w:adjustRightInd w:val="0"/>
      <w:snapToGrid w:val="0"/>
      <w:spacing w:line="360" w:lineRule="auto"/>
      <w:ind w:firstLine="200" w:firstLineChars="200"/>
    </w:pPr>
    <w:rPr>
      <w:rFonts w:ascii="Times New Roman" w:hAnsi="Times New Roman" w:eastAsia="仿宋" w:cs="Times New Roman"/>
      <w:sz w:val="28"/>
      <w:szCs w:val="20"/>
      <w:lang w:bidi="en-US"/>
    </w:rPr>
  </w:style>
  <w:style w:type="character" w:customStyle="1" w:styleId="174">
    <w:name w:val="ca-0"/>
    <w:basedOn w:val="39"/>
    <w:semiHidden/>
    <w:qFormat/>
    <w:uiPriority w:val="0"/>
  </w:style>
  <w:style w:type="paragraph" w:customStyle="1" w:styleId="175">
    <w:name w:val="标题3MY"/>
    <w:basedOn w:val="3"/>
    <w:next w:val="1"/>
    <w:qFormat/>
    <w:uiPriority w:val="0"/>
    <w:pPr>
      <w:keepNext w:val="0"/>
      <w:numPr>
        <w:ilvl w:val="2"/>
        <w:numId w:val="3"/>
      </w:numPr>
      <w:spacing w:before="0" w:after="0" w:line="360" w:lineRule="auto"/>
      <w:ind w:firstLineChars="0"/>
      <w:jc w:val="left"/>
      <w:textAlignment w:val="baseline"/>
      <w:outlineLvl w:val="2"/>
    </w:pPr>
    <w:rPr>
      <w:rFonts w:ascii="Times New Roman" w:hAnsi="Times New Roman" w:eastAsia="仿宋"/>
      <w:spacing w:val="8"/>
      <w:kern w:val="0"/>
      <w:sz w:val="30"/>
      <w:szCs w:val="20"/>
    </w:rPr>
  </w:style>
  <w:style w:type="table" w:customStyle="1" w:styleId="176">
    <w:name w:val="网格型33"/>
    <w:basedOn w:val="37"/>
    <w:qFormat/>
    <w:uiPriority w:val="0"/>
    <w:rPr>
      <w:rFonts w:ascii="等线" w:hAnsi="等线"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77">
    <w:name w:val="表头1"/>
    <w:basedOn w:val="1"/>
    <w:qFormat/>
    <w:uiPriority w:val="0"/>
    <w:pPr>
      <w:widowControl/>
      <w:adjustRightInd w:val="0"/>
      <w:snapToGrid w:val="0"/>
      <w:jc w:val="center"/>
      <w:outlineLvl w:val="8"/>
    </w:pPr>
    <w:rPr>
      <w:rFonts w:eastAsia="仿宋"/>
      <w:b/>
      <w:sz w:val="28"/>
      <w:szCs w:val="36"/>
      <w:lang w:bidi="en-US"/>
    </w:rPr>
  </w:style>
  <w:style w:type="paragraph" w:customStyle="1" w:styleId="178">
    <w:name w:val="正文 A"/>
    <w:qFormat/>
    <w:uiPriority w:val="0"/>
    <w:pPr>
      <w:widowControl w:val="0"/>
      <w:jc w:val="both"/>
    </w:pPr>
    <w:rPr>
      <w:rFonts w:ascii="Times New Roman" w:hAnsi="Times New Roman" w:eastAsia="Times New Roman" w:cs="Times New Roman"/>
      <w:color w:val="000000"/>
      <w:kern w:val="2"/>
      <w:sz w:val="21"/>
      <w:szCs w:val="21"/>
      <w:lang w:val="en-US" w:eastAsia="zh-CN" w:bidi="ar-SA"/>
    </w:rPr>
  </w:style>
  <w:style w:type="paragraph" w:customStyle="1" w:styleId="179">
    <w:name w:val="列出段落71"/>
    <w:basedOn w:val="1"/>
    <w:unhideWhenUsed/>
    <w:qFormat/>
    <w:uiPriority w:val="99"/>
    <w:pPr>
      <w:widowControl/>
      <w:adjustRightInd w:val="0"/>
      <w:snapToGrid w:val="0"/>
      <w:spacing w:line="360" w:lineRule="auto"/>
      <w:ind w:firstLine="420" w:firstLineChars="200"/>
    </w:pPr>
    <w:rPr>
      <w:rFonts w:eastAsia="仿宋"/>
      <w:sz w:val="28"/>
      <w:szCs w:val="20"/>
      <w:lang w:bidi="en-US"/>
    </w:rPr>
  </w:style>
  <w:style w:type="paragraph" w:customStyle="1" w:styleId="180">
    <w:name w:val="3级标题"/>
    <w:basedOn w:val="1"/>
    <w:qFormat/>
    <w:uiPriority w:val="0"/>
    <w:pPr>
      <w:widowControl/>
      <w:adjustRightInd w:val="0"/>
      <w:snapToGrid w:val="0"/>
      <w:spacing w:line="360" w:lineRule="auto"/>
      <w:ind w:firstLine="200" w:firstLineChars="200"/>
      <w:jc w:val="left"/>
      <w:outlineLvl w:val="2"/>
    </w:pPr>
    <w:rPr>
      <w:rFonts w:ascii="仿宋" w:hAnsi="仿宋" w:eastAsia="仿宋"/>
      <w:b/>
      <w:sz w:val="30"/>
      <w:szCs w:val="30"/>
      <w:lang w:bidi="en-US"/>
    </w:rPr>
  </w:style>
  <w:style w:type="paragraph" w:customStyle="1" w:styleId="181">
    <w:name w:val="_Style 3"/>
    <w:basedOn w:val="1"/>
    <w:qFormat/>
    <w:uiPriority w:val="99"/>
    <w:pPr>
      <w:widowControl/>
      <w:adjustRightInd w:val="0"/>
      <w:snapToGrid w:val="0"/>
      <w:spacing w:line="360" w:lineRule="auto"/>
      <w:ind w:firstLine="420" w:firstLineChars="200"/>
    </w:pPr>
    <w:rPr>
      <w:rFonts w:ascii="Calibri" w:hAnsi="Calibri" w:eastAsia="仿宋" w:cs="Times New Roman"/>
      <w:sz w:val="28"/>
      <w:szCs w:val="20"/>
      <w:lang w:bidi="en-US"/>
    </w:rPr>
  </w:style>
  <w:style w:type="paragraph" w:customStyle="1" w:styleId="182">
    <w:name w:val="表格-HF"/>
    <w:basedOn w:val="1"/>
    <w:qFormat/>
    <w:uiPriority w:val="1"/>
    <w:pPr>
      <w:widowControl/>
      <w:adjustRightInd w:val="0"/>
      <w:snapToGrid w:val="0"/>
      <w:ind w:firstLine="446"/>
      <w:jc w:val="left"/>
    </w:pPr>
    <w:rPr>
      <w:rFonts w:ascii="仿宋" w:hAnsi="仿宋" w:eastAsia="仿宋"/>
      <w:szCs w:val="20"/>
      <w:lang w:bidi="en-US"/>
    </w:rPr>
  </w:style>
  <w:style w:type="paragraph" w:customStyle="1" w:styleId="183">
    <w:name w:val="5级标题"/>
    <w:basedOn w:val="1"/>
    <w:qFormat/>
    <w:uiPriority w:val="0"/>
    <w:pPr>
      <w:spacing w:line="360" w:lineRule="auto"/>
    </w:pPr>
    <w:rPr>
      <w:rFonts w:ascii="Times New Roman" w:hAnsi="Times New Roman" w:eastAsia="仿宋" w:cs="Times New Roman"/>
      <w:b/>
      <w:sz w:val="28"/>
    </w:rPr>
  </w:style>
  <w:style w:type="paragraph" w:customStyle="1" w:styleId="184">
    <w:name w:val="表头图题"/>
    <w:basedOn w:val="1"/>
    <w:qFormat/>
    <w:uiPriority w:val="0"/>
    <w:pPr>
      <w:widowControl/>
      <w:spacing w:beforeLines="50" w:afterLines="50"/>
      <w:jc w:val="center"/>
    </w:pPr>
    <w:rPr>
      <w:rFonts w:ascii="Times New Roman" w:hAnsi="Times New Roman" w:eastAsia="仿宋" w:cs="Times New Roman"/>
      <w:b/>
      <w:bCs/>
      <w:sz w:val="28"/>
      <w:szCs w:val="28"/>
    </w:rPr>
  </w:style>
  <w:style w:type="paragraph" w:customStyle="1" w:styleId="18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6">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87">
    <w:name w:val="样式 标题 2 + 宋体 段前: 0 磅 段后: 0 磅 行距: 1.5 倍行距"/>
    <w:basedOn w:val="3"/>
    <w:qFormat/>
    <w:uiPriority w:val="0"/>
    <w:pPr>
      <w:widowControl w:val="0"/>
      <w:adjustRightInd/>
      <w:snapToGrid/>
      <w:spacing w:beforeLines="50" w:afterLines="50" w:line="360" w:lineRule="auto"/>
    </w:pPr>
    <w:rPr>
      <w:rFonts w:ascii="宋体" w:hAnsi="宋体" w:eastAsia="宋体" w:cs="宋体"/>
      <w:sz w:val="30"/>
      <w:szCs w:val="20"/>
      <w:lang w:bidi="ar-SA"/>
    </w:rPr>
  </w:style>
  <w:style w:type="paragraph" w:customStyle="1" w:styleId="188">
    <w:name w:val="xl31"/>
    <w:basedOn w:val="1"/>
    <w:qFormat/>
    <w:uiPriority w:val="0"/>
    <w:pPr>
      <w:widowControl/>
      <w:pBdr>
        <w:bottom w:val="single" w:color="auto" w:sz="4" w:space="0"/>
        <w:right w:val="single" w:color="auto" w:sz="4" w:space="0"/>
      </w:pBdr>
      <w:spacing w:before="100" w:beforeAutospacing="1" w:after="100" w:afterAutospacing="1" w:line="520" w:lineRule="exact"/>
      <w:ind w:firstLine="720" w:firstLineChars="200"/>
      <w:jc w:val="center"/>
    </w:pPr>
    <w:rPr>
      <w:rFonts w:ascii="Arial Unicode MS" w:hAnsi="Arial Unicode MS" w:eastAsia="Arial Unicode MS" w:cs="Arial Unicode MS"/>
      <w:kern w:val="0"/>
      <w:sz w:val="24"/>
      <w:szCs w:val="24"/>
    </w:rPr>
  </w:style>
  <w:style w:type="paragraph" w:customStyle="1" w:styleId="189">
    <w:name w:val="12 Char Char Char Char Char Char Char"/>
    <w:basedOn w:val="1"/>
    <w:qFormat/>
    <w:uiPriority w:val="0"/>
    <w:pPr>
      <w:spacing w:line="360" w:lineRule="auto"/>
      <w:ind w:firstLine="200" w:firstLineChars="200"/>
      <w:jc w:val="left"/>
    </w:pPr>
    <w:rPr>
      <w:rFonts w:ascii="Times New Roman" w:hAnsi="Times New Roman" w:eastAsia="宋体" w:cs="Times New Roman"/>
      <w:szCs w:val="20"/>
    </w:rPr>
  </w:style>
  <w:style w:type="paragraph" w:customStyle="1" w:styleId="190">
    <w:name w:val="默认段落字体 Para Char"/>
    <w:basedOn w:val="1"/>
    <w:next w:val="1"/>
    <w:qFormat/>
    <w:uiPriority w:val="0"/>
    <w:pPr>
      <w:spacing w:line="360" w:lineRule="auto"/>
      <w:ind w:firstLine="200" w:firstLineChars="200"/>
    </w:pPr>
    <w:rPr>
      <w:rFonts w:ascii="宋体" w:hAnsi="宋体" w:eastAsia="宋体" w:cs="宋体"/>
      <w:sz w:val="24"/>
      <w:szCs w:val="24"/>
    </w:rPr>
  </w:style>
  <w:style w:type="character" w:customStyle="1" w:styleId="191">
    <w:name w:val="正文新 Char1"/>
    <w:link w:val="192"/>
    <w:qFormat/>
    <w:uiPriority w:val="0"/>
    <w:rPr>
      <w:rFonts w:cs="宋体"/>
      <w:kern w:val="2"/>
      <w:sz w:val="24"/>
      <w:szCs w:val="24"/>
    </w:rPr>
  </w:style>
  <w:style w:type="paragraph" w:customStyle="1" w:styleId="192">
    <w:name w:val="正文新"/>
    <w:basedOn w:val="12"/>
    <w:link w:val="191"/>
    <w:qFormat/>
    <w:uiPriority w:val="0"/>
    <w:pPr>
      <w:adjustRightInd/>
      <w:spacing w:after="0" w:line="360" w:lineRule="auto"/>
      <w:ind w:firstLine="880"/>
      <w:textAlignment w:val="auto"/>
    </w:pPr>
    <w:rPr>
      <w:rFonts w:eastAsia="宋体" w:cs="宋体"/>
      <w:szCs w:val="24"/>
    </w:rPr>
  </w:style>
  <w:style w:type="paragraph" w:customStyle="1" w:styleId="193">
    <w:name w:val="xl3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18"/>
      <w:szCs w:val="18"/>
    </w:rPr>
  </w:style>
  <w:style w:type="paragraph" w:customStyle="1" w:styleId="194">
    <w:name w:val="三线一单表格样式"/>
    <w:basedOn w:val="1"/>
    <w:link w:val="195"/>
    <w:qFormat/>
    <w:uiPriority w:val="0"/>
    <w:pPr>
      <w:jc w:val="center"/>
    </w:pPr>
    <w:rPr>
      <w:rFonts w:ascii="Times New Roman" w:hAnsi="Times New Roman" w:eastAsia="仿宋_GB2312" w:cs="Times New Roman"/>
      <w:szCs w:val="21"/>
    </w:rPr>
  </w:style>
  <w:style w:type="character" w:customStyle="1" w:styleId="195">
    <w:name w:val="三线一单表格样式 字符"/>
    <w:basedOn w:val="39"/>
    <w:link w:val="194"/>
    <w:qFormat/>
    <w:uiPriority w:val="0"/>
    <w:rPr>
      <w:rFonts w:eastAsia="仿宋_GB2312"/>
      <w:kern w:val="2"/>
      <w:sz w:val="21"/>
      <w:szCs w:val="21"/>
    </w:rPr>
  </w:style>
  <w:style w:type="paragraph" w:customStyle="1" w:styleId="196">
    <w:name w:val="表格编号"/>
    <w:basedOn w:val="76"/>
    <w:qFormat/>
    <w:uiPriority w:val="0"/>
    <w:pPr>
      <w:tabs>
        <w:tab w:val="left" w:pos="1050"/>
      </w:tabs>
      <w:spacing w:line="240" w:lineRule="auto"/>
      <w:jc w:val="left"/>
    </w:pPr>
    <w:rPr>
      <w:rFonts w:eastAsia="仿宋_GB2312"/>
      <w:sz w:val="24"/>
    </w:rPr>
  </w:style>
  <w:style w:type="paragraph" w:customStyle="1" w:styleId="197">
    <w:name w:val="列出段落9"/>
    <w:basedOn w:val="1"/>
    <w:unhideWhenUsed/>
    <w:qFormat/>
    <w:uiPriority w:val="99"/>
    <w:pPr>
      <w:widowControl/>
      <w:ind w:firstLine="420"/>
      <w:jc w:val="left"/>
    </w:pPr>
    <w:rPr>
      <w:rFonts w:ascii="宋体" w:hAnsi="宋体" w:eastAsia="宋体" w:cs="宋体"/>
      <w:kern w:val="0"/>
      <w:sz w:val="24"/>
      <w:szCs w:val="24"/>
    </w:rPr>
  </w:style>
  <w:style w:type="paragraph" w:customStyle="1" w:styleId="198">
    <w:name w:val="_Style 15"/>
    <w:basedOn w:val="1"/>
    <w:next w:val="181"/>
    <w:qFormat/>
    <w:uiPriority w:val="99"/>
    <w:pPr>
      <w:widowControl/>
      <w:ind w:firstLine="420"/>
      <w:jc w:val="left"/>
    </w:pPr>
    <w:rPr>
      <w:rFonts w:ascii="宋体" w:hAnsi="宋体" w:eastAsia="宋体" w:cs="宋体"/>
      <w:kern w:val="0"/>
      <w:sz w:val="24"/>
      <w:szCs w:val="24"/>
    </w:rPr>
  </w:style>
  <w:style w:type="paragraph" w:customStyle="1" w:styleId="199">
    <w:name w:val="_Style 2"/>
    <w:basedOn w:val="1"/>
    <w:qFormat/>
    <w:uiPriority w:val="99"/>
    <w:pPr>
      <w:widowControl/>
      <w:ind w:firstLine="420"/>
      <w:jc w:val="left"/>
    </w:pPr>
    <w:rPr>
      <w:rFonts w:ascii="Calibri" w:hAnsi="Calibri" w:eastAsia="宋体" w:cs="Times New Roman"/>
      <w:kern w:val="0"/>
      <w:sz w:val="24"/>
      <w:szCs w:val="24"/>
    </w:rPr>
  </w:style>
  <w:style w:type="character" w:customStyle="1" w:styleId="200">
    <w:name w:val="font41"/>
    <w:basedOn w:val="39"/>
    <w:qFormat/>
    <w:uiPriority w:val="0"/>
    <w:rPr>
      <w:rFonts w:ascii="仿宋" w:hAnsi="仿宋" w:eastAsia="仿宋" w:cs="仿宋"/>
      <w:color w:val="000000"/>
      <w:sz w:val="24"/>
      <w:szCs w:val="24"/>
      <w:u w:val="none"/>
    </w:rPr>
  </w:style>
  <w:style w:type="character" w:customStyle="1" w:styleId="201">
    <w:name w:val="font61"/>
    <w:basedOn w:val="39"/>
    <w:uiPriority w:val="0"/>
    <w:rPr>
      <w:rFonts w:hint="default" w:ascii="Times New Roman" w:hAnsi="Times New Roman" w:cs="Times New Roman"/>
      <w:color w:val="000000"/>
      <w:sz w:val="24"/>
      <w:szCs w:val="24"/>
      <w:u w:val="none"/>
    </w:rPr>
  </w:style>
  <w:style w:type="character" w:customStyle="1" w:styleId="202">
    <w:name w:val="font51"/>
    <w:basedOn w:val="39"/>
    <w:uiPriority w:val="0"/>
    <w:rPr>
      <w:rFonts w:hint="default" w:ascii="Times New Roman" w:hAnsi="Times New Roman" w:cs="Times New Roman"/>
      <w:color w:val="000000"/>
      <w:sz w:val="24"/>
      <w:szCs w:val="24"/>
      <w:u w:val="none"/>
    </w:rPr>
  </w:style>
  <w:style w:type="paragraph" w:customStyle="1" w:styleId="203">
    <w:name w:val="列出段落10"/>
    <w:basedOn w:val="1"/>
    <w:qFormat/>
    <w:uiPriority w:val="99"/>
    <w:pPr>
      <w:widowControl/>
      <w:adjustRightInd w:val="0"/>
      <w:snapToGrid w:val="0"/>
      <w:spacing w:line="360" w:lineRule="auto"/>
      <w:ind w:firstLine="420" w:firstLineChars="200"/>
    </w:pPr>
    <w:rPr>
      <w:rFonts w:ascii="Calibri" w:hAnsi="Calibri" w:eastAsia="仿宋" w:cs="Times New Roman"/>
      <w:sz w:val="28"/>
      <w:szCs w:val="20"/>
      <w:lang w:bidi="en-US"/>
    </w:rPr>
  </w:style>
  <w:style w:type="character" w:customStyle="1" w:styleId="204">
    <w:name w:val="正文首行缩进 2 Char"/>
    <w:basedOn w:val="85"/>
    <w:link w:val="205"/>
    <w:qFormat/>
    <w:uiPriority w:val="0"/>
    <w:rPr>
      <w:rFonts w:ascii="Times New Roman" w:hAnsi="Times New Roman" w:eastAsia="仿宋"/>
      <w:kern w:val="2"/>
      <w:sz w:val="28"/>
      <w:lang w:bidi="en-US"/>
    </w:rPr>
  </w:style>
  <w:style w:type="paragraph" w:customStyle="1" w:styleId="205">
    <w:name w:val="_Style 204"/>
    <w:basedOn w:val="17"/>
    <w:next w:val="36"/>
    <w:link w:val="204"/>
    <w:unhideWhenUsed/>
    <w:qFormat/>
    <w:uiPriority w:val="0"/>
    <w:pPr>
      <w:ind w:firstLine="420"/>
    </w:pPr>
    <w:rPr>
      <w:rFonts w:ascii="Times New Roman" w:hAnsi="Times New Roman"/>
    </w:rPr>
  </w:style>
  <w:style w:type="character" w:customStyle="1" w:styleId="206">
    <w:name w:val="标题 4 Char"/>
    <w:semiHidden/>
    <w:qFormat/>
    <w:uiPriority w:val="0"/>
    <w:rPr>
      <w:rFonts w:ascii="Cambria" w:hAnsi="Cambria" w:eastAsia="宋体" w:cs="Times New Roman"/>
      <w:b/>
      <w:bCs/>
      <w:kern w:val="2"/>
      <w:sz w:val="28"/>
      <w:szCs w:val="28"/>
      <w:lang w:bidi="en-US"/>
    </w:rPr>
  </w:style>
  <w:style w:type="paragraph" w:customStyle="1" w:styleId="207">
    <w:name w:val="表格格式1"/>
    <w:qFormat/>
    <w:uiPriority w:val="0"/>
    <w:pPr>
      <w:jc w:val="both"/>
    </w:pPr>
    <w:rPr>
      <w:rFonts w:ascii="Times New Roman" w:hAnsi="Times New Roman" w:eastAsia="宋体" w:cs="Times New Roman"/>
      <w:kern w:val="2"/>
      <w:sz w:val="21"/>
      <w:szCs w:val="21"/>
      <w:lang w:val="en-US" w:eastAsia="zh-CN" w:bidi="ar-SA"/>
    </w:rPr>
  </w:style>
  <w:style w:type="character" w:customStyle="1" w:styleId="208">
    <w:name w:val="正文文本缩进 字符1"/>
    <w:basedOn w:val="39"/>
    <w:semiHidden/>
    <w:qFormat/>
    <w:uiPriority w:val="99"/>
    <w:rPr>
      <w:kern w:val="2"/>
      <w:sz w:val="21"/>
      <w:szCs w:val="22"/>
    </w:rPr>
  </w:style>
  <w:style w:type="character" w:customStyle="1" w:styleId="209">
    <w:name w:val="页眉 字符1"/>
    <w:basedOn w:val="39"/>
    <w:semiHidden/>
    <w:qFormat/>
    <w:uiPriority w:val="99"/>
    <w:rPr>
      <w:kern w:val="2"/>
      <w:sz w:val="18"/>
      <w:szCs w:val="18"/>
    </w:rPr>
  </w:style>
  <w:style w:type="paragraph" w:customStyle="1" w:styleId="210">
    <w:name w:val="k正文"/>
    <w:basedOn w:val="1"/>
    <w:qFormat/>
    <w:uiPriority w:val="0"/>
    <w:pPr>
      <w:widowControl/>
      <w:adjustRightInd w:val="0"/>
      <w:snapToGrid w:val="0"/>
      <w:spacing w:line="360" w:lineRule="auto"/>
      <w:ind w:firstLine="200" w:firstLineChars="200"/>
    </w:pPr>
    <w:rPr>
      <w:rFonts w:ascii="Courier New" w:hAnsi="方正仿宋_GBK" w:eastAsia="Courier New" w:cs="Times New Roman"/>
      <w:bCs/>
      <w:sz w:val="28"/>
      <w:szCs w:val="20"/>
      <w:lang w:bidi="en-US"/>
    </w:rPr>
  </w:style>
  <w:style w:type="paragraph" w:customStyle="1" w:styleId="211">
    <w:name w:val="WPSOffice手动目录 1"/>
    <w:qFormat/>
    <w:uiPriority w:val="0"/>
    <w:rPr>
      <w:rFonts w:asciiTheme="minorHAnsi" w:hAnsiTheme="minorHAnsi" w:eastAsiaTheme="minorEastAsia" w:cstheme="minorBidi"/>
      <w:lang w:val="en-US" w:eastAsia="zh-CN" w:bidi="ar-SA"/>
    </w:rPr>
  </w:style>
  <w:style w:type="paragraph" w:customStyle="1" w:styleId="212">
    <w:name w:val="WPSOffice手动目录 2"/>
    <w:qFormat/>
    <w:uiPriority w:val="0"/>
    <w:pPr>
      <w:ind w:left="200" w:leftChars="200"/>
    </w:pPr>
    <w:rPr>
      <w:rFonts w:asciiTheme="minorHAnsi" w:hAnsiTheme="minorHAnsi" w:eastAsiaTheme="minorEastAsia" w:cstheme="minorBidi"/>
      <w:lang w:val="en-US" w:eastAsia="zh-CN" w:bidi="ar-SA"/>
    </w:rPr>
  </w:style>
  <w:style w:type="character" w:customStyle="1" w:styleId="213">
    <w:name w:val="正文 仿宋 四号 Char"/>
    <w:link w:val="214"/>
    <w:uiPriority w:val="0"/>
    <w:rPr>
      <w:rFonts w:ascii="仿宋" w:hAnsi="仿宋" w:eastAsia="仿宋" w:cs="宋体"/>
      <w:color w:val="000000"/>
      <w:sz w:val="28"/>
    </w:rPr>
  </w:style>
  <w:style w:type="paragraph" w:customStyle="1" w:styleId="214">
    <w:name w:val="正文 仿宋 四号"/>
    <w:basedOn w:val="1"/>
    <w:link w:val="213"/>
    <w:qFormat/>
    <w:uiPriority w:val="0"/>
    <w:pPr>
      <w:spacing w:line="480" w:lineRule="exact"/>
      <w:ind w:firstLine="560" w:firstLineChars="200"/>
    </w:pPr>
    <w:rPr>
      <w:rFonts w:ascii="仿宋" w:hAnsi="仿宋" w:eastAsia="仿宋" w:cs="宋体"/>
      <w:color w:val="000000"/>
      <w:kern w:val="0"/>
      <w:sz w:val="28"/>
      <w:szCs w:val="20"/>
    </w:rPr>
  </w:style>
  <w:style w:type="paragraph" w:customStyle="1" w:styleId="215">
    <w:name w:val="Char"/>
    <w:basedOn w:val="1"/>
    <w:qFormat/>
    <w:uiPriority w:val="0"/>
    <w:pPr>
      <w:adjustRightInd w:val="0"/>
      <w:spacing w:line="360" w:lineRule="auto"/>
      <w:ind w:firstLine="560" w:firstLineChars="200"/>
    </w:pPr>
    <w:rPr>
      <w:rFonts w:ascii="Times New Roman" w:hAnsi="Times New Roman" w:eastAsia="仿宋" w:cs="Times New Roman"/>
      <w:sz w:val="28"/>
      <w:szCs w:val="20"/>
    </w:rPr>
  </w:style>
  <w:style w:type="paragraph" w:customStyle="1" w:styleId="216">
    <w:name w:val="List Paragraph1"/>
    <w:basedOn w:val="1"/>
    <w:uiPriority w:val="99"/>
    <w:pPr>
      <w:widowControl/>
      <w:ind w:firstLine="420" w:firstLineChars="200"/>
      <w:jc w:val="left"/>
    </w:pPr>
    <w:rPr>
      <w:rFonts w:ascii="宋体" w:hAnsi="宋体" w:eastAsia="宋体" w:cs="宋体"/>
      <w:kern w:val="0"/>
      <w:sz w:val="24"/>
      <w:szCs w:val="24"/>
    </w:rPr>
  </w:style>
  <w:style w:type="paragraph" w:customStyle="1" w:styleId="217">
    <w:name w:val="_Style 1"/>
    <w:basedOn w:val="1"/>
    <w:qFormat/>
    <w:uiPriority w:val="99"/>
    <w:pPr>
      <w:widowControl/>
      <w:ind w:firstLine="420"/>
      <w:jc w:val="left"/>
    </w:pPr>
    <w:rPr>
      <w:rFonts w:ascii="Calibri" w:hAnsi="Calibri" w:eastAsia="宋体"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11572</Words>
  <Characters>65962</Characters>
  <Lines>549</Lines>
  <Paragraphs>154</Paragraphs>
  <TotalTime>15</TotalTime>
  <ScaleCrop>false</ScaleCrop>
  <LinksUpToDate>false</LinksUpToDate>
  <CharactersWithSpaces>77380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2021-06-25T11:13:00Z</dcterms:created>
  <dc:creator>Feng Jiqin</dc:creator>
  <cp:lastModifiedBy>Administrator</cp:lastModifiedBy>
  <dcterms:modified xsi:type="dcterms:W3CDTF">2023-07-28T04:07:44Z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